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144780</wp:posOffset>
            </wp:positionV>
            <wp:extent cx="7259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120650</wp:posOffset>
            </wp:positionV>
            <wp:extent cx="183959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9595" cy="34290"/>
                    </a:xfrm>
                    <a:prstGeom prst="rect">
                      <a:avLst/>
                    </a:prstGeom>
                    <a:noFill/>
                  </pic:spPr>
                </pic:pic>
              </a:graphicData>
            </a:graphic>
          </wp:anchor>
        </w:drawing>
      </w:r>
    </w:p>
    <w:p>
      <w:pPr>
        <w:spacing w:after="0" w:line="392"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FORM 10-Q</w:t>
      </w:r>
    </w:p>
    <w:p>
      <w:pPr>
        <w:spacing w:after="0" w:line="212" w:lineRule="exact"/>
        <w:rPr>
          <w:sz w:val="24"/>
          <w:szCs w:val="24"/>
          <w:color w:val="auto"/>
        </w:rPr>
      </w:pPr>
    </w:p>
    <w:p>
      <w:pPr>
        <w:ind w:left="3600" w:right="2160" w:hanging="1177"/>
        <w:spacing w:after="0" w:line="274" w:lineRule="auto"/>
        <w:tabs>
          <w:tab w:leader="none" w:pos="2557" w:val="left"/>
        </w:tabs>
        <w:numPr>
          <w:ilvl w:val="0"/>
          <w:numId w:val="1"/>
        </w:numPr>
        <w:rPr>
          <w:rFonts w:ascii="Arial" w:cs="Arial" w:eastAsia="Arial" w:hAnsi="Arial"/>
          <w:sz w:val="21"/>
          <w:szCs w:val="21"/>
          <w:color w:val="auto"/>
        </w:rPr>
      </w:pPr>
      <w:r>
        <w:rPr>
          <w:rFonts w:ascii="Arial" w:cs="Arial" w:eastAsia="Arial" w:hAnsi="Arial"/>
          <w:sz w:val="21"/>
          <w:szCs w:val="21"/>
          <w:color w:val="auto"/>
        </w:rPr>
        <w:t>X ] QUARTERLY REPORT PURSUANT TO SECTION 13 OR 15(d) OF THE SECURITIES EXCHANGE ACT OF 1934</w:t>
      </w:r>
    </w:p>
    <w:p>
      <w:pPr>
        <w:spacing w:after="0" w:line="145"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For the quarterly period ended June 30, 2005</w:t>
      </w:r>
    </w:p>
    <w:p>
      <w:pPr>
        <w:spacing w:after="0" w:line="239" w:lineRule="exact"/>
        <w:rPr>
          <w:sz w:val="24"/>
          <w:szCs w:val="24"/>
          <w:color w:val="auto"/>
        </w:rPr>
      </w:pPr>
    </w:p>
    <w:p>
      <w:pPr>
        <w:jc w:val="center"/>
        <w:ind w:right="-279"/>
        <w:spacing w:after="0"/>
        <w:rPr>
          <w:sz w:val="20"/>
          <w:szCs w:val="20"/>
          <w:color w:val="auto"/>
        </w:rPr>
      </w:pPr>
      <w:r>
        <w:rPr>
          <w:rFonts w:ascii="Arial" w:cs="Arial" w:eastAsia="Arial" w:hAnsi="Arial"/>
          <w:sz w:val="22"/>
          <w:szCs w:val="22"/>
          <w:color w:val="auto"/>
        </w:rPr>
        <w:t>or</w:t>
      </w:r>
    </w:p>
    <w:p>
      <w:pPr>
        <w:spacing w:after="0" w:line="206" w:lineRule="exact"/>
        <w:rPr>
          <w:sz w:val="24"/>
          <w:szCs w:val="24"/>
          <w:color w:val="auto"/>
        </w:rPr>
      </w:pPr>
    </w:p>
    <w:p>
      <w:pPr>
        <w:ind w:left="3600" w:right="2160" w:hanging="1164"/>
        <w:spacing w:after="0" w:line="274" w:lineRule="auto"/>
        <w:tabs>
          <w:tab w:leader="none" w:pos="2732" w:val="left"/>
        </w:tabs>
        <w:numPr>
          <w:ilvl w:val="0"/>
          <w:numId w:val="2"/>
        </w:numPr>
        <w:rPr>
          <w:rFonts w:ascii="Arial" w:cs="Arial" w:eastAsia="Arial" w:hAnsi="Arial"/>
          <w:sz w:val="21"/>
          <w:szCs w:val="21"/>
          <w:color w:val="auto"/>
        </w:rPr>
      </w:pPr>
      <w:r>
        <w:rPr>
          <w:rFonts w:ascii="Arial" w:cs="Arial" w:eastAsia="Arial" w:hAnsi="Arial"/>
          <w:sz w:val="21"/>
          <w:szCs w:val="21"/>
          <w:color w:val="auto"/>
        </w:rPr>
        <w:t>] TRANSITION REPORT PURSUANT TO SECTION 13 OR 15(d) OF THE SECURITIES EXCHANGE ACT OF 1934</w:t>
      </w:r>
    </w:p>
    <w:p>
      <w:pPr>
        <w:spacing w:after="0" w:line="151" w:lineRule="exact"/>
        <w:rPr>
          <w:sz w:val="24"/>
          <w:szCs w:val="24"/>
          <w:color w:val="auto"/>
        </w:rPr>
      </w:pPr>
    </w:p>
    <w:p>
      <w:pPr>
        <w:ind w:left="3500"/>
        <w:spacing w:after="0"/>
        <w:rPr>
          <w:sz w:val="20"/>
          <w:szCs w:val="20"/>
          <w:color w:val="auto"/>
        </w:rPr>
      </w:pPr>
      <w:r>
        <w:rPr>
          <w:rFonts w:ascii="Arial" w:cs="Arial" w:eastAsia="Arial" w:hAnsi="Arial"/>
          <w:sz w:val="22"/>
          <w:szCs w:val="22"/>
          <w:color w:val="auto"/>
        </w:rPr>
        <w:t>For the transition period from _______to _______.</w:t>
      </w:r>
    </w:p>
    <w:p>
      <w:pPr>
        <w:spacing w:after="0" w:line="200" w:lineRule="exact"/>
        <w:rPr>
          <w:sz w:val="24"/>
          <w:szCs w:val="24"/>
          <w:color w:val="auto"/>
        </w:rPr>
      </w:pPr>
    </w:p>
    <w:p>
      <w:pPr>
        <w:ind w:left="4320"/>
        <w:spacing w:after="0"/>
        <w:rPr>
          <w:sz w:val="20"/>
          <w:szCs w:val="20"/>
          <w:color w:val="auto"/>
        </w:rPr>
      </w:pPr>
      <w:r>
        <w:rPr>
          <w:rFonts w:ascii="Arial" w:cs="Arial" w:eastAsia="Arial" w:hAnsi="Arial"/>
          <w:sz w:val="22"/>
          <w:szCs w:val="22"/>
          <w:b w:val="1"/>
          <w:bCs w:val="1"/>
          <w:color w:val="auto"/>
        </w:rPr>
        <w:t>Commission File No. 33-98136</w:t>
      </w:r>
    </w:p>
    <w:p>
      <w:pPr>
        <w:spacing w:after="0" w:line="206" w:lineRule="exact"/>
        <w:rPr>
          <w:sz w:val="24"/>
          <w:szCs w:val="24"/>
          <w:color w:val="auto"/>
        </w:rPr>
      </w:pPr>
    </w:p>
    <w:p>
      <w:pPr>
        <w:ind w:left="4660"/>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22"/>
          <w:szCs w:val="22"/>
          <w:i w:val="1"/>
          <w:iCs w:val="1"/>
          <w:color w:val="auto"/>
        </w:rPr>
        <w:t>(Exact name of registrant as specified in its charter)</w:t>
      </w:r>
    </w:p>
    <w:tbl>
      <w:tblPr>
        <w:tblLayout w:type="fixed"/>
        <w:tblInd w:w="1420" w:type="dxa"/>
        <w:tblCellMar>
          <w:top w:w="0" w:type="dxa"/>
          <w:left w:w="0" w:type="dxa"/>
          <w:bottom w:w="0" w:type="dxa"/>
          <w:right w:w="0" w:type="dxa"/>
        </w:tblCellMar>
      </w:tblPr>
      <w:tr>
        <w:trPr>
          <w:trHeight w:val="225"/>
        </w:trPr>
        <w:tc>
          <w:tcPr>
            <w:tcW w:w="4620" w:type="dxa"/>
            <w:vAlign w:val="bottom"/>
          </w:tcPr>
          <w:p>
            <w:pPr>
              <w:jc w:val="center"/>
              <w:ind w:right="1632"/>
              <w:spacing w:after="0" w:line="225" w:lineRule="exact"/>
              <w:rPr>
                <w:sz w:val="20"/>
                <w:szCs w:val="20"/>
                <w:color w:val="auto"/>
              </w:rPr>
            </w:pPr>
            <w:r>
              <w:rPr>
                <w:rFonts w:ascii="Arial" w:cs="Arial" w:eastAsia="Arial" w:hAnsi="Arial"/>
                <w:sz w:val="22"/>
                <w:szCs w:val="22"/>
                <w:b w:val="1"/>
                <w:bCs w:val="1"/>
                <w:color w:val="auto"/>
                <w:w w:val="91"/>
              </w:rPr>
              <w:t>Delaware</w:t>
            </w:r>
          </w:p>
        </w:tc>
        <w:tc>
          <w:tcPr>
            <w:tcW w:w="3320" w:type="dxa"/>
            <w:vAlign w:val="bottom"/>
          </w:tcPr>
          <w:p>
            <w:pPr>
              <w:jc w:val="center"/>
              <w:ind w:left="1632"/>
              <w:spacing w:after="0" w:line="225" w:lineRule="exact"/>
              <w:rPr>
                <w:sz w:val="20"/>
                <w:szCs w:val="20"/>
                <w:color w:val="auto"/>
              </w:rPr>
            </w:pPr>
            <w:r>
              <w:rPr>
                <w:rFonts w:ascii="Arial" w:cs="Arial" w:eastAsia="Arial" w:hAnsi="Arial"/>
                <w:sz w:val="22"/>
                <w:szCs w:val="22"/>
                <w:b w:val="1"/>
                <w:bCs w:val="1"/>
                <w:color w:val="auto"/>
                <w:w w:val="90"/>
              </w:rPr>
              <w:t>22-3258100</w:t>
            </w:r>
          </w:p>
        </w:tc>
      </w:tr>
      <w:tr>
        <w:trPr>
          <w:trHeight w:val="243"/>
        </w:trPr>
        <w:tc>
          <w:tcPr>
            <w:tcW w:w="4620" w:type="dxa"/>
            <w:vAlign w:val="bottom"/>
          </w:tcPr>
          <w:p>
            <w:pPr>
              <w:jc w:val="center"/>
              <w:ind w:right="1632"/>
              <w:spacing w:after="0" w:line="243" w:lineRule="exact"/>
              <w:rPr>
                <w:sz w:val="20"/>
                <w:szCs w:val="20"/>
                <w:color w:val="auto"/>
              </w:rPr>
            </w:pPr>
            <w:r>
              <w:rPr>
                <w:rFonts w:ascii="Arial" w:cs="Arial" w:eastAsia="Arial" w:hAnsi="Arial"/>
                <w:sz w:val="22"/>
                <w:szCs w:val="22"/>
                <w:i w:val="1"/>
                <w:iCs w:val="1"/>
                <w:color w:val="auto"/>
                <w:w w:val="92"/>
              </w:rPr>
              <w:t>(State or other jurisdiction</w:t>
            </w:r>
          </w:p>
        </w:tc>
        <w:tc>
          <w:tcPr>
            <w:tcW w:w="3320" w:type="dxa"/>
            <w:vAlign w:val="bottom"/>
          </w:tcPr>
          <w:p>
            <w:pPr>
              <w:jc w:val="center"/>
              <w:ind w:left="1652"/>
              <w:spacing w:after="0" w:line="243" w:lineRule="exact"/>
              <w:rPr>
                <w:sz w:val="20"/>
                <w:szCs w:val="20"/>
                <w:color w:val="auto"/>
              </w:rPr>
            </w:pPr>
            <w:r>
              <w:rPr>
                <w:rFonts w:ascii="Arial" w:cs="Arial" w:eastAsia="Arial" w:hAnsi="Arial"/>
                <w:sz w:val="22"/>
                <w:szCs w:val="22"/>
                <w:i w:val="1"/>
                <w:iCs w:val="1"/>
                <w:color w:val="auto"/>
                <w:w w:val="89"/>
              </w:rPr>
              <w:t>(I.R.S. Employer</w:t>
            </w:r>
          </w:p>
        </w:tc>
      </w:tr>
      <w:tr>
        <w:trPr>
          <w:trHeight w:val="275"/>
        </w:trPr>
        <w:tc>
          <w:tcPr>
            <w:tcW w:w="4620" w:type="dxa"/>
            <w:vAlign w:val="bottom"/>
          </w:tcPr>
          <w:p>
            <w:pPr>
              <w:jc w:val="center"/>
              <w:ind w:right="1612"/>
              <w:spacing w:after="0"/>
              <w:rPr>
                <w:sz w:val="20"/>
                <w:szCs w:val="20"/>
                <w:color w:val="auto"/>
              </w:rPr>
            </w:pPr>
            <w:r>
              <w:rPr>
                <w:rFonts w:ascii="Arial" w:cs="Arial" w:eastAsia="Arial" w:hAnsi="Arial"/>
                <w:sz w:val="22"/>
                <w:szCs w:val="22"/>
                <w:i w:val="1"/>
                <w:iCs w:val="1"/>
                <w:color w:val="auto"/>
                <w:w w:val="93"/>
              </w:rPr>
              <w:t>of incorporation or organization)</w:t>
            </w:r>
          </w:p>
        </w:tc>
        <w:tc>
          <w:tcPr>
            <w:tcW w:w="3320" w:type="dxa"/>
            <w:vAlign w:val="bottom"/>
          </w:tcPr>
          <w:p>
            <w:pPr>
              <w:jc w:val="center"/>
              <w:ind w:left="1632"/>
              <w:spacing w:after="0"/>
              <w:rPr>
                <w:sz w:val="20"/>
                <w:szCs w:val="20"/>
                <w:color w:val="auto"/>
              </w:rPr>
            </w:pPr>
            <w:r>
              <w:rPr>
                <w:rFonts w:ascii="Arial" w:cs="Arial" w:eastAsia="Arial" w:hAnsi="Arial"/>
                <w:sz w:val="22"/>
                <w:szCs w:val="22"/>
                <w:i w:val="1"/>
                <w:iCs w:val="1"/>
                <w:color w:val="auto"/>
                <w:w w:val="92"/>
              </w:rPr>
              <w:t>Identification No.)</w:t>
            </w:r>
          </w:p>
        </w:tc>
      </w:tr>
    </w:tbl>
    <w:p>
      <w:pPr>
        <w:spacing w:after="0" w:line="200" w:lineRule="exact"/>
        <w:rPr>
          <w:sz w:val="24"/>
          <w:szCs w:val="24"/>
          <w:color w:val="auto"/>
        </w:rPr>
      </w:pPr>
    </w:p>
    <w:p>
      <w:pPr>
        <w:spacing w:after="0" w:line="222" w:lineRule="exact"/>
        <w:rPr>
          <w:sz w:val="24"/>
          <w:szCs w:val="24"/>
          <w:color w:val="auto"/>
        </w:rPr>
      </w:pPr>
    </w:p>
    <w:p>
      <w:pPr>
        <w:ind w:left="3200"/>
        <w:spacing w:after="0"/>
        <w:rPr>
          <w:sz w:val="20"/>
          <w:szCs w:val="20"/>
          <w:color w:val="auto"/>
        </w:rPr>
      </w:pPr>
      <w:r>
        <w:rPr>
          <w:rFonts w:ascii="Arial" w:cs="Arial" w:eastAsia="Arial" w:hAnsi="Arial"/>
          <w:sz w:val="22"/>
          <w:szCs w:val="22"/>
          <w:b w:val="1"/>
          <w:bCs w:val="1"/>
          <w:color w:val="auto"/>
        </w:rPr>
        <w:t>105 Eisenhower Parkway, Roseland, New Jersey 07068</w:t>
      </w:r>
    </w:p>
    <w:p>
      <w:pPr>
        <w:spacing w:after="0" w:line="14" w:lineRule="exact"/>
        <w:rPr>
          <w:sz w:val="24"/>
          <w:szCs w:val="24"/>
          <w:color w:val="auto"/>
        </w:rPr>
      </w:pPr>
    </w:p>
    <w:p>
      <w:pPr>
        <w:ind w:left="3580"/>
        <w:spacing w:after="0"/>
        <w:rPr>
          <w:sz w:val="20"/>
          <w:szCs w:val="20"/>
          <w:color w:val="auto"/>
        </w:rPr>
      </w:pPr>
      <w:r>
        <w:rPr>
          <w:rFonts w:ascii="Arial" w:cs="Arial" w:eastAsia="Arial" w:hAnsi="Arial"/>
          <w:sz w:val="22"/>
          <w:szCs w:val="22"/>
          <w:i w:val="1"/>
          <w:iCs w:val="1"/>
          <w:color w:val="auto"/>
        </w:rPr>
        <w:t>(Address of principal executive offices - zip code)</w:t>
      </w:r>
    </w:p>
    <w:p>
      <w:pPr>
        <w:spacing w:after="0" w:line="182"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(973) 228-6111</w:t>
      </w:r>
    </w:p>
    <w:p>
      <w:pPr>
        <w:spacing w:after="0" w:line="14" w:lineRule="exact"/>
        <w:rPr>
          <w:sz w:val="24"/>
          <w:szCs w:val="24"/>
          <w:color w:val="auto"/>
        </w:rPr>
      </w:pPr>
    </w:p>
    <w:p>
      <w:pPr>
        <w:jc w:val="center"/>
        <w:ind w:right="-279"/>
        <w:spacing w:after="0"/>
        <w:rPr>
          <w:sz w:val="20"/>
          <w:szCs w:val="20"/>
          <w:color w:val="auto"/>
        </w:rPr>
      </w:pPr>
      <w:r>
        <w:rPr>
          <w:rFonts w:ascii="Arial" w:cs="Arial" w:eastAsia="Arial" w:hAnsi="Arial"/>
          <w:sz w:val="22"/>
          <w:szCs w:val="22"/>
          <w:i w:val="1"/>
          <w:iCs w:val="1"/>
          <w:color w:val="auto"/>
        </w:rPr>
        <w:t>(Registrant's telephone number, including area code)</w:t>
      </w:r>
    </w:p>
    <w:p>
      <w:pPr>
        <w:spacing w:after="0" w:line="188" w:lineRule="exact"/>
        <w:rPr>
          <w:sz w:val="24"/>
          <w:szCs w:val="24"/>
          <w:color w:val="auto"/>
        </w:rPr>
      </w:pPr>
    </w:p>
    <w:p>
      <w:pPr>
        <w:spacing w:after="0" w:line="258" w:lineRule="auto"/>
        <w:rPr>
          <w:sz w:val="20"/>
          <w:szCs w:val="20"/>
          <w:color w:val="auto"/>
        </w:rPr>
      </w:pPr>
      <w:r>
        <w:rPr>
          <w:rFonts w:ascii="Arial" w:cs="Arial" w:eastAsia="Arial" w:hAnsi="Arial"/>
          <w:sz w:val="21"/>
          <w:szCs w:val="2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4746625</wp:posOffset>
            </wp:positionH>
            <wp:positionV relativeFrom="paragraph">
              <wp:posOffset>-43180</wp:posOffset>
            </wp:positionV>
            <wp:extent cx="133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350" cy="8890"/>
                    </a:xfrm>
                    <a:prstGeom prst="rect">
                      <a:avLst/>
                    </a:prstGeom>
                    <a:noFill/>
                  </pic:spPr>
                </pic:pic>
              </a:graphicData>
            </a:graphic>
          </wp:anchor>
        </w:drawing>
      </w:r>
    </w:p>
    <w:p>
      <w:pPr>
        <w:spacing w:after="0" w:line="147"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is an accelerated filer.</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Yes___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715645</wp:posOffset>
            </wp:positionH>
            <wp:positionV relativeFrom="paragraph">
              <wp:posOffset>-29210</wp:posOffset>
            </wp:positionV>
            <wp:extent cx="1333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350" cy="8890"/>
                    </a:xfrm>
                    <a:prstGeom prst="rect">
                      <a:avLst/>
                    </a:prstGeom>
                    <a:noFill/>
                  </pic:spPr>
                </pic:pic>
              </a:graphicData>
            </a:graphic>
          </wp:anchor>
        </w:drawing>
      </w:r>
    </w:p>
    <w:p>
      <w:pPr>
        <w:spacing w:after="0" w:line="168" w:lineRule="exact"/>
        <w:rPr>
          <w:sz w:val="24"/>
          <w:szCs w:val="24"/>
          <w:color w:val="auto"/>
        </w:rPr>
      </w:pPr>
    </w:p>
    <w:p>
      <w:pPr>
        <w:spacing w:after="0"/>
        <w:rPr>
          <w:sz w:val="20"/>
          <w:szCs w:val="20"/>
          <w:color w:val="auto"/>
        </w:rPr>
      </w:pPr>
      <w:r>
        <w:rPr>
          <w:rFonts w:ascii="Arial" w:cs="Arial" w:eastAsia="Arial" w:hAnsi="Arial"/>
          <w:sz w:val="22"/>
          <w:szCs w:val="22"/>
          <w:color w:val="auto"/>
        </w:rPr>
        <w:t>There are no outstanding shares of Common Stock or voting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59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400"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4400" w:type="dxa"/>
            <w:vAlign w:val="bottom"/>
          </w:tcPr>
          <w:p>
            <w:pPr>
              <w:spacing w:after="0"/>
              <w:rPr>
                <w:sz w:val="21"/>
                <w:szCs w:val="21"/>
                <w:color w:val="auto"/>
              </w:rPr>
            </w:pPr>
          </w:p>
        </w:tc>
        <w:tc>
          <w:tcPr>
            <w:tcW w:w="3220" w:type="dxa"/>
            <w:vAlign w:val="bottom"/>
          </w:tcPr>
          <w:p>
            <w:pPr>
              <w:jc w:val="center"/>
              <w:ind w:right="533"/>
              <w:spacing w:after="0"/>
              <w:rPr>
                <w:sz w:val="20"/>
                <w:szCs w:val="20"/>
                <w:color w:val="auto"/>
              </w:rPr>
            </w:pPr>
            <w:r>
              <w:rPr>
                <w:rFonts w:ascii="Arial" w:cs="Arial" w:eastAsia="Arial" w:hAnsi="Arial"/>
                <w:sz w:val="22"/>
                <w:szCs w:val="22"/>
                <w:b w:val="1"/>
                <w:bCs w:val="1"/>
                <w:color w:val="auto"/>
                <w:w w:val="90"/>
              </w:rPr>
              <w:t>CPG Partners, L.P.</w:t>
            </w: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1"/>
                <w:szCs w:val="21"/>
                <w:color w:val="auto"/>
              </w:rPr>
            </w:pPr>
          </w:p>
        </w:tc>
        <w:tc>
          <w:tcPr>
            <w:tcW w:w="3220" w:type="dxa"/>
            <w:vAlign w:val="bottom"/>
          </w:tcPr>
          <w:p>
            <w:pPr>
              <w:jc w:val="center"/>
              <w:ind w:right="513"/>
              <w:spacing w:after="0" w:line="243" w:lineRule="exact"/>
              <w:rPr>
                <w:sz w:val="20"/>
                <w:szCs w:val="20"/>
                <w:color w:val="auto"/>
              </w:rPr>
            </w:pPr>
            <w:r>
              <w:rPr>
                <w:rFonts w:ascii="Arial" w:cs="Arial" w:eastAsia="Arial" w:hAnsi="Arial"/>
                <w:sz w:val="22"/>
                <w:szCs w:val="22"/>
                <w:b w:val="1"/>
                <w:bCs w:val="1"/>
                <w:color w:val="auto"/>
                <w:w w:val="85"/>
              </w:rPr>
              <w:t>Consolidated Balance Sheets</w:t>
            </w: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400" w:type="dxa"/>
            <w:vAlign w:val="bottom"/>
          </w:tcPr>
          <w:p>
            <w:pPr>
              <w:spacing w:after="0"/>
              <w:rPr>
                <w:sz w:val="21"/>
                <w:szCs w:val="21"/>
                <w:color w:val="auto"/>
              </w:rPr>
            </w:pPr>
          </w:p>
        </w:tc>
        <w:tc>
          <w:tcPr>
            <w:tcW w:w="3220" w:type="dxa"/>
            <w:vAlign w:val="bottom"/>
          </w:tcPr>
          <w:p>
            <w:pPr>
              <w:jc w:val="center"/>
              <w:ind w:right="513"/>
              <w:spacing w:after="0" w:line="249" w:lineRule="exact"/>
              <w:rPr>
                <w:sz w:val="20"/>
                <w:szCs w:val="20"/>
                <w:color w:val="auto"/>
              </w:rPr>
            </w:pPr>
            <w:r>
              <w:rPr>
                <w:rFonts w:ascii="Arial" w:cs="Arial" w:eastAsia="Arial" w:hAnsi="Arial"/>
                <w:sz w:val="22"/>
                <w:szCs w:val="22"/>
                <w:b w:val="1"/>
                <w:bCs w:val="1"/>
                <w:color w:val="auto"/>
                <w:w w:val="91"/>
              </w:rPr>
              <w:t>(Unaudited)</w:t>
            </w: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400" w:type="dxa"/>
            <w:vAlign w:val="bottom"/>
          </w:tcPr>
          <w:p>
            <w:pPr>
              <w:spacing w:after="0"/>
              <w:rPr>
                <w:sz w:val="23"/>
                <w:szCs w:val="23"/>
                <w:color w:val="auto"/>
              </w:rPr>
            </w:pPr>
          </w:p>
        </w:tc>
        <w:tc>
          <w:tcPr>
            <w:tcW w:w="3220" w:type="dxa"/>
            <w:vAlign w:val="bottom"/>
          </w:tcPr>
          <w:p>
            <w:pPr>
              <w:jc w:val="center"/>
              <w:ind w:right="533"/>
              <w:spacing w:after="0"/>
              <w:rPr>
                <w:sz w:val="20"/>
                <w:szCs w:val="20"/>
                <w:color w:val="auto"/>
              </w:rPr>
            </w:pPr>
            <w:r>
              <w:rPr>
                <w:rFonts w:ascii="Arial" w:cs="Arial" w:eastAsia="Arial" w:hAnsi="Arial"/>
                <w:sz w:val="22"/>
                <w:szCs w:val="22"/>
                <w:i w:val="1"/>
                <w:iCs w:val="1"/>
                <w:color w:val="auto"/>
                <w:w w:val="89"/>
              </w:rPr>
              <w:t>(In thousands)</w:t>
            </w: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9"/>
        </w:trPr>
        <w:tc>
          <w:tcPr>
            <w:tcW w:w="4400" w:type="dxa"/>
            <w:vAlign w:val="bottom"/>
          </w:tcPr>
          <w:p>
            <w:pPr>
              <w:spacing w:after="0"/>
              <w:rPr>
                <w:sz w:val="24"/>
                <w:szCs w:val="24"/>
                <w:color w:val="auto"/>
              </w:rPr>
            </w:pPr>
          </w:p>
        </w:tc>
        <w:tc>
          <w:tcPr>
            <w:tcW w:w="3220" w:type="dxa"/>
            <w:vAlign w:val="bottom"/>
          </w:tcPr>
          <w:p>
            <w:pPr>
              <w:jc w:val="right"/>
              <w:ind w:right="253"/>
              <w:spacing w:after="0"/>
              <w:rPr>
                <w:sz w:val="20"/>
                <w:szCs w:val="20"/>
                <w:color w:val="auto"/>
              </w:rPr>
            </w:pPr>
            <w:r>
              <w:rPr>
                <w:rFonts w:ascii="Courier New" w:cs="Courier New" w:eastAsia="Courier New" w:hAnsi="Courier New"/>
                <w:sz w:val="12"/>
                <w:szCs w:val="12"/>
                <w:b w:val="1"/>
                <w:bCs w:val="1"/>
                <w:color w:val="auto"/>
              </w:rPr>
              <w:t>June 30,</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December 31,</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3220" w:type="dxa"/>
            <w:vAlign w:val="bottom"/>
          </w:tcPr>
          <w:p>
            <w:pPr>
              <w:jc w:val="right"/>
              <w:ind w:right="253"/>
              <w:spacing w:after="0"/>
              <w:rPr>
                <w:sz w:val="20"/>
                <w:szCs w:val="20"/>
                <w:color w:val="auto"/>
              </w:rPr>
            </w:pPr>
            <w:r>
              <w:rPr>
                <w:rFonts w:ascii="Courier New" w:cs="Courier New" w:eastAsia="Courier New" w:hAnsi="Courier New"/>
                <w:sz w:val="12"/>
                <w:szCs w:val="12"/>
                <w:b w:val="1"/>
                <w:bCs w:val="1"/>
                <w:color w:val="auto"/>
              </w:rPr>
              <w:t>2005</w:t>
            </w:r>
          </w:p>
        </w:tc>
        <w:tc>
          <w:tcPr>
            <w:tcW w:w="56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2004</w:t>
            </w:r>
          </w:p>
        </w:tc>
        <w:tc>
          <w:tcPr>
            <w:tcW w:w="0" w:type="dxa"/>
            <w:vAlign w:val="bottom"/>
          </w:tcPr>
          <w:p>
            <w:pPr>
              <w:spacing w:after="0"/>
              <w:rPr>
                <w:sz w:val="1"/>
                <w:szCs w:val="1"/>
                <w:color w:val="auto"/>
              </w:rPr>
            </w:pPr>
          </w:p>
        </w:tc>
      </w:tr>
      <w:tr>
        <w:trPr>
          <w:trHeight w:val="137"/>
        </w:trPr>
        <w:tc>
          <w:tcPr>
            <w:tcW w:w="4400" w:type="dxa"/>
            <w:vAlign w:val="bottom"/>
          </w:tcPr>
          <w:p>
            <w:pPr>
              <w:spacing w:after="0"/>
              <w:rPr>
                <w:sz w:val="11"/>
                <w:szCs w:val="11"/>
                <w:color w:val="auto"/>
              </w:rPr>
            </w:pPr>
          </w:p>
        </w:tc>
        <w:tc>
          <w:tcPr>
            <w:tcW w:w="3220" w:type="dxa"/>
            <w:vAlign w:val="bottom"/>
            <w:vMerge w:val="restart"/>
          </w:tcPr>
          <w:p>
            <w:pPr>
              <w:jc w:val="right"/>
              <w:ind w:right="33"/>
              <w:spacing w:after="0"/>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24"/>
                <w:szCs w:val="24"/>
                <w:b w:val="1"/>
                <w:bCs w:val="1"/>
                <w:i w:val="1"/>
                <w:iCs w:val="1"/>
                <w:color w:val="auto"/>
                <w:vertAlign w:val="subscript"/>
              </w:rPr>
              <w:t>(Unaudited)</w:t>
            </w:r>
          </w:p>
        </w:tc>
        <w:tc>
          <w:tcPr>
            <w:tcW w:w="13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52"/>
        </w:trPr>
        <w:tc>
          <w:tcPr>
            <w:tcW w:w="4400" w:type="dxa"/>
            <w:vAlign w:val="bottom"/>
            <w:vMerge w:val="restart"/>
          </w:tcPr>
          <w:p>
            <w:pPr>
              <w:spacing w:after="0"/>
              <w:rPr>
                <w:sz w:val="20"/>
                <w:szCs w:val="20"/>
                <w:color w:val="auto"/>
              </w:rPr>
            </w:pPr>
            <w:r>
              <w:rPr>
                <w:rFonts w:ascii="Courier New" w:cs="Courier New" w:eastAsia="Courier New" w:hAnsi="Courier New"/>
                <w:sz w:val="12"/>
                <w:szCs w:val="12"/>
                <w:b w:val="1"/>
                <w:bCs w:val="1"/>
                <w:color w:val="auto"/>
              </w:rPr>
              <w:t>Assets:</w:t>
            </w:r>
          </w:p>
        </w:tc>
        <w:tc>
          <w:tcPr>
            <w:tcW w:w="322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4400" w:type="dxa"/>
            <w:vAlign w:val="bottom"/>
            <w:vMerge w:val="continue"/>
          </w:tcPr>
          <w:p>
            <w:pPr>
              <w:spacing w:after="0"/>
              <w:rPr>
                <w:sz w:val="10"/>
                <w:szCs w:val="10"/>
                <w:color w:val="auto"/>
              </w:rPr>
            </w:pPr>
          </w:p>
        </w:tc>
        <w:tc>
          <w:tcPr>
            <w:tcW w:w="3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400" w:type="dxa"/>
            <w:vAlign w:val="bottom"/>
          </w:tcPr>
          <w:p>
            <w:pPr>
              <w:spacing w:after="0"/>
              <w:rPr>
                <w:sz w:val="20"/>
                <w:szCs w:val="20"/>
                <w:color w:val="auto"/>
              </w:rPr>
            </w:pPr>
            <w:r>
              <w:rPr>
                <w:rFonts w:ascii="Courier New" w:cs="Courier New" w:eastAsia="Courier New" w:hAnsi="Courier New"/>
                <w:sz w:val="12"/>
                <w:szCs w:val="12"/>
                <w:color w:val="auto"/>
              </w:rPr>
              <w:t>Rental properties:</w:t>
            </w:r>
          </w:p>
        </w:tc>
        <w:tc>
          <w:tcPr>
            <w:tcW w:w="3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81"/>
              </w:rPr>
              <w:t>Land.......................................................................</w:t>
            </w:r>
          </w:p>
        </w:tc>
        <w:tc>
          <w:tcPr>
            <w:tcW w:w="3220" w:type="dxa"/>
            <w:vAlign w:val="bottom"/>
          </w:tcPr>
          <w:p>
            <w:pPr>
              <w:jc w:val="right"/>
              <w:ind w:right="173"/>
              <w:spacing w:after="0"/>
              <w:rPr>
                <w:sz w:val="20"/>
                <w:szCs w:val="20"/>
                <w:color w:val="auto"/>
              </w:rPr>
            </w:pPr>
            <w:r>
              <w:rPr>
                <w:rFonts w:ascii="Courier New" w:cs="Courier New" w:eastAsia="Courier New" w:hAnsi="Courier New"/>
                <w:sz w:val="12"/>
                <w:szCs w:val="12"/>
                <w:b w:val="1"/>
                <w:bCs w:val="1"/>
                <w:color w:val="auto"/>
              </w:rPr>
              <w:t>$ 342,542</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354,514</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81"/>
              </w:rPr>
              <w:t>Depreciable property.......................................................</w:t>
            </w:r>
          </w:p>
        </w:tc>
        <w:tc>
          <w:tcPr>
            <w:tcW w:w="3220" w:type="dxa"/>
            <w:vAlign w:val="bottom"/>
          </w:tcPr>
          <w:p>
            <w:pPr>
              <w:jc w:val="right"/>
              <w:ind w:right="173"/>
              <w:spacing w:after="0"/>
              <w:rPr>
                <w:sz w:val="20"/>
                <w:szCs w:val="20"/>
                <w:color w:val="auto"/>
              </w:rPr>
            </w:pPr>
            <w:r>
              <w:rPr>
                <w:rFonts w:ascii="Courier New" w:cs="Courier New" w:eastAsia="Courier New" w:hAnsi="Courier New"/>
                <w:sz w:val="12"/>
                <w:szCs w:val="12"/>
                <w:b w:val="1"/>
                <w:bCs w:val="1"/>
                <w:color w:val="auto"/>
              </w:rPr>
              <w:t>1,973,780</w:t>
            </w:r>
          </w:p>
        </w:tc>
        <w:tc>
          <w:tcPr>
            <w:tcW w:w="56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1,919,605</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3220" w:type="dxa"/>
            <w:vAlign w:val="bottom"/>
          </w:tcPr>
          <w:p>
            <w:pPr>
              <w:jc w:val="right"/>
              <w:ind w:right="33"/>
              <w:spacing w:after="0"/>
              <w:rPr>
                <w:sz w:val="20"/>
                <w:szCs w:val="20"/>
                <w:color w:val="auto"/>
              </w:rPr>
            </w:pPr>
            <w:r>
              <w:rPr>
                <w:rFonts w:ascii="Courier New" w:cs="Courier New" w:eastAsia="Courier New" w:hAnsi="Courier New"/>
                <w:sz w:val="12"/>
                <w:szCs w:val="12"/>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76"/>
              </w:rPr>
              <w:t>Total rental property...........................................................</w:t>
            </w:r>
          </w:p>
        </w:tc>
        <w:tc>
          <w:tcPr>
            <w:tcW w:w="3220" w:type="dxa"/>
            <w:vAlign w:val="bottom"/>
          </w:tcPr>
          <w:p>
            <w:pPr>
              <w:jc w:val="right"/>
              <w:ind w:right="173"/>
              <w:spacing w:after="0"/>
              <w:rPr>
                <w:sz w:val="20"/>
                <w:szCs w:val="20"/>
                <w:color w:val="auto"/>
              </w:rPr>
            </w:pPr>
            <w:r>
              <w:rPr>
                <w:rFonts w:ascii="Courier New" w:cs="Courier New" w:eastAsia="Courier New" w:hAnsi="Courier New"/>
                <w:sz w:val="12"/>
                <w:szCs w:val="12"/>
                <w:b w:val="1"/>
                <w:bCs w:val="1"/>
                <w:color w:val="auto"/>
              </w:rPr>
              <w:t>2,316,322</w:t>
            </w:r>
          </w:p>
        </w:tc>
        <w:tc>
          <w:tcPr>
            <w:tcW w:w="56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2,274,119</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76"/>
              </w:rPr>
              <w:t>Accumulated depreciation........................................................</w:t>
            </w:r>
          </w:p>
        </w:tc>
        <w:tc>
          <w:tcPr>
            <w:tcW w:w="3220" w:type="dxa"/>
            <w:vAlign w:val="bottom"/>
          </w:tcPr>
          <w:p>
            <w:pPr>
              <w:jc w:val="right"/>
              <w:ind w:right="113"/>
              <w:spacing w:after="0"/>
              <w:rPr>
                <w:sz w:val="20"/>
                <w:szCs w:val="20"/>
                <w:color w:val="auto"/>
              </w:rPr>
            </w:pPr>
            <w:r>
              <w:rPr>
                <w:rFonts w:ascii="Courier New" w:cs="Courier New" w:eastAsia="Courier New" w:hAnsi="Courier New"/>
                <w:sz w:val="12"/>
                <w:szCs w:val="12"/>
                <w:b w:val="1"/>
                <w:bCs w:val="1"/>
                <w:color w:val="auto"/>
              </w:rPr>
              <w:t>(424,995)</w:t>
            </w:r>
          </w:p>
        </w:tc>
        <w:tc>
          <w:tcPr>
            <w:tcW w:w="5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(390,783)</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3220" w:type="dxa"/>
            <w:vAlign w:val="bottom"/>
          </w:tcPr>
          <w:p>
            <w:pPr>
              <w:jc w:val="right"/>
              <w:ind w:right="33"/>
              <w:spacing w:after="0"/>
              <w:rPr>
                <w:sz w:val="20"/>
                <w:szCs w:val="20"/>
                <w:color w:val="auto"/>
              </w:rPr>
            </w:pPr>
            <w:r>
              <w:rPr>
                <w:rFonts w:ascii="Courier New" w:cs="Courier New" w:eastAsia="Courier New" w:hAnsi="Courier New"/>
                <w:sz w:val="12"/>
                <w:szCs w:val="12"/>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76"/>
              </w:rPr>
              <w:t>Rental properties, net..........................................................</w:t>
            </w:r>
          </w:p>
        </w:tc>
        <w:tc>
          <w:tcPr>
            <w:tcW w:w="3220" w:type="dxa"/>
            <w:vAlign w:val="bottom"/>
          </w:tcPr>
          <w:p>
            <w:pPr>
              <w:jc w:val="right"/>
              <w:ind w:right="173"/>
              <w:spacing w:after="0"/>
              <w:rPr>
                <w:sz w:val="20"/>
                <w:szCs w:val="20"/>
                <w:color w:val="auto"/>
              </w:rPr>
            </w:pPr>
            <w:r>
              <w:rPr>
                <w:rFonts w:ascii="Courier New" w:cs="Courier New" w:eastAsia="Courier New" w:hAnsi="Courier New"/>
                <w:sz w:val="12"/>
                <w:szCs w:val="12"/>
                <w:b w:val="1"/>
                <w:bCs w:val="1"/>
                <w:color w:val="auto"/>
              </w:rPr>
              <w:t>1,891,327</w:t>
            </w:r>
          </w:p>
        </w:tc>
        <w:tc>
          <w:tcPr>
            <w:tcW w:w="56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1,883,336</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76"/>
              </w:rPr>
              <w:t>Cash and cash equivalents.......................................................</w:t>
            </w:r>
          </w:p>
        </w:tc>
        <w:tc>
          <w:tcPr>
            <w:tcW w:w="3220" w:type="dxa"/>
            <w:vAlign w:val="bottom"/>
          </w:tcPr>
          <w:p>
            <w:pPr>
              <w:jc w:val="right"/>
              <w:ind w:right="173"/>
              <w:spacing w:after="0"/>
              <w:rPr>
                <w:sz w:val="20"/>
                <w:szCs w:val="20"/>
                <w:color w:val="auto"/>
              </w:rPr>
            </w:pPr>
            <w:r>
              <w:rPr>
                <w:rFonts w:ascii="Courier New" w:cs="Courier New" w:eastAsia="Courier New" w:hAnsi="Courier New"/>
                <w:sz w:val="12"/>
                <w:szCs w:val="12"/>
                <w:b w:val="1"/>
                <w:bCs w:val="1"/>
                <w:color w:val="auto"/>
              </w:rPr>
              <w:t>15,752</w:t>
            </w:r>
          </w:p>
        </w:tc>
        <w:tc>
          <w:tcPr>
            <w:tcW w:w="56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33,362</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76"/>
              </w:rPr>
              <w:t>Restricted cash-escrows.........................................................</w:t>
            </w:r>
          </w:p>
        </w:tc>
        <w:tc>
          <w:tcPr>
            <w:tcW w:w="3220" w:type="dxa"/>
            <w:vAlign w:val="bottom"/>
          </w:tcPr>
          <w:p>
            <w:pPr>
              <w:jc w:val="right"/>
              <w:ind w:right="173"/>
              <w:spacing w:after="0"/>
              <w:rPr>
                <w:sz w:val="20"/>
                <w:szCs w:val="20"/>
                <w:color w:val="auto"/>
              </w:rPr>
            </w:pPr>
            <w:r>
              <w:rPr>
                <w:rFonts w:ascii="Courier New" w:cs="Courier New" w:eastAsia="Courier New" w:hAnsi="Courier New"/>
                <w:sz w:val="12"/>
                <w:szCs w:val="12"/>
                <w:b w:val="1"/>
                <w:bCs w:val="1"/>
                <w:color w:val="auto"/>
              </w:rPr>
              <w:t>28,023</w:t>
            </w:r>
          </w:p>
        </w:tc>
        <w:tc>
          <w:tcPr>
            <w:tcW w:w="56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27,418</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20"/>
                <w:szCs w:val="20"/>
                <w:color w:val="auto"/>
              </w:rPr>
            </w:pPr>
            <w:r>
              <w:rPr>
                <w:rFonts w:ascii="Courier New" w:cs="Courier New" w:eastAsia="Courier New" w:hAnsi="Courier New"/>
                <w:sz w:val="12"/>
                <w:szCs w:val="12"/>
                <w:color w:val="auto"/>
              </w:rPr>
              <w:t>Tenant accounts receivable (net of allowance for doubtful</w:t>
            </w:r>
          </w:p>
        </w:tc>
        <w:tc>
          <w:tcPr>
            <w:tcW w:w="3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77"/>
              </w:rPr>
              <w:t>accounts of $2,225 in 2005 and $2,242 in 2004)................................</w:t>
            </w:r>
          </w:p>
        </w:tc>
        <w:tc>
          <w:tcPr>
            <w:tcW w:w="3220" w:type="dxa"/>
            <w:vAlign w:val="bottom"/>
          </w:tcPr>
          <w:p>
            <w:pPr>
              <w:jc w:val="right"/>
              <w:ind w:right="173"/>
              <w:spacing w:after="0"/>
              <w:rPr>
                <w:sz w:val="20"/>
                <w:szCs w:val="20"/>
                <w:color w:val="auto"/>
              </w:rPr>
            </w:pPr>
            <w:r>
              <w:rPr>
                <w:rFonts w:ascii="Courier New" w:cs="Courier New" w:eastAsia="Courier New" w:hAnsi="Courier New"/>
                <w:sz w:val="12"/>
                <w:szCs w:val="12"/>
                <w:b w:val="1"/>
                <w:bCs w:val="1"/>
                <w:color w:val="auto"/>
              </w:rPr>
              <w:t>3,109</w:t>
            </w:r>
          </w:p>
        </w:tc>
        <w:tc>
          <w:tcPr>
            <w:tcW w:w="56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11,534</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76"/>
              </w:rPr>
              <w:t>Deferred rent receivable........................................................</w:t>
            </w:r>
          </w:p>
        </w:tc>
        <w:tc>
          <w:tcPr>
            <w:tcW w:w="3220" w:type="dxa"/>
            <w:vAlign w:val="bottom"/>
          </w:tcPr>
          <w:p>
            <w:pPr>
              <w:jc w:val="right"/>
              <w:ind w:right="173"/>
              <w:spacing w:after="0"/>
              <w:rPr>
                <w:sz w:val="20"/>
                <w:szCs w:val="20"/>
                <w:color w:val="auto"/>
              </w:rPr>
            </w:pPr>
            <w:r>
              <w:rPr>
                <w:rFonts w:ascii="Courier New" w:cs="Courier New" w:eastAsia="Courier New" w:hAnsi="Courier New"/>
                <w:sz w:val="12"/>
                <w:szCs w:val="12"/>
                <w:b w:val="1"/>
                <w:bCs w:val="1"/>
                <w:color w:val="auto"/>
              </w:rPr>
              <w:t>32,901</w:t>
            </w:r>
          </w:p>
        </w:tc>
        <w:tc>
          <w:tcPr>
            <w:tcW w:w="56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30,504</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76"/>
              </w:rPr>
              <w:t>Property held for sale..........................................................</w:t>
            </w:r>
          </w:p>
        </w:tc>
        <w:tc>
          <w:tcPr>
            <w:tcW w:w="3220" w:type="dxa"/>
            <w:vAlign w:val="bottom"/>
          </w:tcPr>
          <w:p>
            <w:pPr>
              <w:jc w:val="right"/>
              <w:ind w:right="173"/>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3,500</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76"/>
              </w:rPr>
              <w:t>Investments in unconsolidated affiliates........................................</w:t>
            </w:r>
          </w:p>
        </w:tc>
        <w:tc>
          <w:tcPr>
            <w:tcW w:w="3220" w:type="dxa"/>
            <w:vAlign w:val="bottom"/>
          </w:tcPr>
          <w:p>
            <w:pPr>
              <w:jc w:val="right"/>
              <w:ind w:right="173"/>
              <w:spacing w:after="0"/>
              <w:rPr>
                <w:sz w:val="20"/>
                <w:szCs w:val="20"/>
                <w:color w:val="auto"/>
              </w:rPr>
            </w:pPr>
            <w:r>
              <w:rPr>
                <w:rFonts w:ascii="Courier New" w:cs="Courier New" w:eastAsia="Courier New" w:hAnsi="Courier New"/>
                <w:sz w:val="12"/>
                <w:szCs w:val="12"/>
                <w:b w:val="1"/>
                <w:bCs w:val="1"/>
                <w:color w:val="auto"/>
              </w:rPr>
              <w:t>142,929</w:t>
            </w:r>
          </w:p>
        </w:tc>
        <w:tc>
          <w:tcPr>
            <w:tcW w:w="56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149,631</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76"/>
              </w:rPr>
              <w:t>Notes receivable-related parties................................................</w:t>
            </w:r>
          </w:p>
        </w:tc>
        <w:tc>
          <w:tcPr>
            <w:tcW w:w="3220" w:type="dxa"/>
            <w:vAlign w:val="bottom"/>
          </w:tcPr>
          <w:p>
            <w:pPr>
              <w:jc w:val="right"/>
              <w:ind w:right="173"/>
              <w:spacing w:after="0"/>
              <w:rPr>
                <w:sz w:val="20"/>
                <w:szCs w:val="20"/>
                <w:color w:val="auto"/>
              </w:rPr>
            </w:pPr>
            <w:r>
              <w:rPr>
                <w:rFonts w:ascii="Courier New" w:cs="Courier New" w:eastAsia="Courier New" w:hAnsi="Courier New"/>
                <w:sz w:val="12"/>
                <w:szCs w:val="12"/>
                <w:b w:val="1"/>
                <w:bCs w:val="1"/>
                <w:color w:val="auto"/>
              </w:rPr>
              <w:t>19,479</w:t>
            </w:r>
          </w:p>
        </w:tc>
        <w:tc>
          <w:tcPr>
            <w:tcW w:w="56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14,184</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76"/>
              </w:rPr>
              <w:t>Deferred costs, net.............................................................</w:t>
            </w:r>
          </w:p>
        </w:tc>
        <w:tc>
          <w:tcPr>
            <w:tcW w:w="3220" w:type="dxa"/>
            <w:vAlign w:val="bottom"/>
          </w:tcPr>
          <w:p>
            <w:pPr>
              <w:jc w:val="right"/>
              <w:ind w:right="173"/>
              <w:spacing w:after="0"/>
              <w:rPr>
                <w:sz w:val="20"/>
                <w:szCs w:val="20"/>
                <w:color w:val="auto"/>
              </w:rPr>
            </w:pPr>
            <w:r>
              <w:rPr>
                <w:rFonts w:ascii="Courier New" w:cs="Courier New" w:eastAsia="Courier New" w:hAnsi="Courier New"/>
                <w:sz w:val="12"/>
                <w:szCs w:val="12"/>
                <w:b w:val="1"/>
                <w:bCs w:val="1"/>
                <w:color w:val="auto"/>
              </w:rPr>
              <w:t>19,793</w:t>
            </w:r>
          </w:p>
        </w:tc>
        <w:tc>
          <w:tcPr>
            <w:tcW w:w="56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17,082</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76"/>
              </w:rPr>
              <w:t>Other assets....................................................................</w:t>
            </w:r>
          </w:p>
        </w:tc>
        <w:tc>
          <w:tcPr>
            <w:tcW w:w="3220" w:type="dxa"/>
            <w:vAlign w:val="bottom"/>
          </w:tcPr>
          <w:p>
            <w:pPr>
              <w:jc w:val="right"/>
              <w:ind w:right="173"/>
              <w:spacing w:after="0"/>
              <w:rPr>
                <w:sz w:val="20"/>
                <w:szCs w:val="20"/>
                <w:color w:val="auto"/>
              </w:rPr>
            </w:pPr>
            <w:r>
              <w:rPr>
                <w:rFonts w:ascii="Courier New" w:cs="Courier New" w:eastAsia="Courier New" w:hAnsi="Courier New"/>
                <w:sz w:val="12"/>
                <w:szCs w:val="12"/>
                <w:b w:val="1"/>
                <w:bCs w:val="1"/>
                <w:color w:val="auto"/>
              </w:rPr>
              <w:t>35,032</w:t>
            </w:r>
          </w:p>
        </w:tc>
        <w:tc>
          <w:tcPr>
            <w:tcW w:w="56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22,047</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3220" w:type="dxa"/>
            <w:vAlign w:val="bottom"/>
          </w:tcPr>
          <w:p>
            <w:pPr>
              <w:jc w:val="right"/>
              <w:ind w:right="33"/>
              <w:spacing w:after="0"/>
              <w:rPr>
                <w:sz w:val="20"/>
                <w:szCs w:val="20"/>
                <w:color w:val="auto"/>
              </w:rPr>
            </w:pPr>
            <w:r>
              <w:rPr>
                <w:rFonts w:ascii="Courier New" w:cs="Courier New" w:eastAsia="Courier New" w:hAnsi="Courier New"/>
                <w:sz w:val="12"/>
                <w:szCs w:val="12"/>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w w:val="76"/>
              </w:rPr>
              <w:t>Total assets</w:t>
            </w:r>
            <w:r>
              <w:rPr>
                <w:rFonts w:ascii="Courier New" w:cs="Courier New" w:eastAsia="Courier New" w:hAnsi="Courier New"/>
                <w:sz w:val="12"/>
                <w:szCs w:val="12"/>
                <w:color w:val="auto"/>
                <w:w w:val="76"/>
              </w:rPr>
              <w:t>....................................................................</w:t>
            </w:r>
          </w:p>
        </w:tc>
        <w:tc>
          <w:tcPr>
            <w:tcW w:w="3220" w:type="dxa"/>
            <w:vAlign w:val="bottom"/>
          </w:tcPr>
          <w:p>
            <w:pPr>
              <w:jc w:val="right"/>
              <w:ind w:right="173"/>
              <w:spacing w:after="0"/>
              <w:rPr>
                <w:sz w:val="20"/>
                <w:szCs w:val="20"/>
                <w:color w:val="auto"/>
              </w:rPr>
            </w:pPr>
            <w:r>
              <w:rPr>
                <w:rFonts w:ascii="Courier New" w:cs="Courier New" w:eastAsia="Courier New" w:hAnsi="Courier New"/>
                <w:sz w:val="12"/>
                <w:szCs w:val="12"/>
                <w:b w:val="1"/>
                <w:bCs w:val="1"/>
                <w:color w:val="auto"/>
              </w:rPr>
              <w:t>$2,188,345</w:t>
            </w:r>
          </w:p>
        </w:tc>
        <w:tc>
          <w:tcPr>
            <w:tcW w:w="56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$2,192,598</w:t>
            </w:r>
          </w:p>
        </w:tc>
        <w:tc>
          <w:tcPr>
            <w:tcW w:w="0" w:type="dxa"/>
            <w:vAlign w:val="bottom"/>
          </w:tcPr>
          <w:p>
            <w:pPr>
              <w:spacing w:after="0"/>
              <w:rPr>
                <w:sz w:val="1"/>
                <w:szCs w:val="1"/>
                <w:color w:val="auto"/>
              </w:rPr>
            </w:pPr>
          </w:p>
        </w:tc>
      </w:tr>
      <w:tr>
        <w:trPr>
          <w:trHeight w:val="137"/>
        </w:trPr>
        <w:tc>
          <w:tcPr>
            <w:tcW w:w="4400" w:type="dxa"/>
            <w:vAlign w:val="bottom"/>
          </w:tcPr>
          <w:p>
            <w:pPr>
              <w:spacing w:after="0"/>
              <w:rPr>
                <w:sz w:val="11"/>
                <w:szCs w:val="11"/>
                <w:color w:val="auto"/>
              </w:rPr>
            </w:pPr>
          </w:p>
        </w:tc>
        <w:tc>
          <w:tcPr>
            <w:tcW w:w="3220" w:type="dxa"/>
            <w:vAlign w:val="bottom"/>
          </w:tcPr>
          <w:p>
            <w:pPr>
              <w:jc w:val="right"/>
              <w:ind w:right="33"/>
              <w:spacing w:after="0"/>
              <w:rPr>
                <w:sz w:val="20"/>
                <w:szCs w:val="20"/>
                <w:color w:val="auto"/>
              </w:rPr>
            </w:pPr>
            <w:r>
              <w:rPr>
                <w:rFonts w:ascii="Courier New" w:cs="Courier New" w:eastAsia="Courier New" w:hAnsi="Courier New"/>
                <w:sz w:val="12"/>
                <w:szCs w:val="12"/>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4400" w:type="dxa"/>
            <w:vAlign w:val="bottom"/>
          </w:tcPr>
          <w:p>
            <w:pPr>
              <w:spacing w:after="0"/>
              <w:rPr>
                <w:sz w:val="20"/>
                <w:szCs w:val="20"/>
                <w:color w:val="auto"/>
              </w:rPr>
            </w:pPr>
            <w:r>
              <w:rPr>
                <w:rFonts w:ascii="Courier New" w:cs="Courier New" w:eastAsia="Courier New" w:hAnsi="Courier New"/>
                <w:sz w:val="12"/>
                <w:szCs w:val="12"/>
                <w:b w:val="1"/>
                <w:bCs w:val="1"/>
                <w:color w:val="auto"/>
              </w:rPr>
              <w:t>Liabilities and partners' capital:</w:t>
            </w:r>
          </w:p>
        </w:tc>
        <w:tc>
          <w:tcPr>
            <w:tcW w:w="3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400" w:type="dxa"/>
            <w:vAlign w:val="bottom"/>
          </w:tcPr>
          <w:p>
            <w:pPr>
              <w:spacing w:after="0"/>
              <w:rPr>
                <w:sz w:val="20"/>
                <w:szCs w:val="20"/>
                <w:color w:val="auto"/>
              </w:rPr>
            </w:pPr>
            <w:r>
              <w:rPr>
                <w:rFonts w:ascii="Courier New" w:cs="Courier New" w:eastAsia="Courier New" w:hAnsi="Courier New"/>
                <w:sz w:val="12"/>
                <w:szCs w:val="12"/>
                <w:color w:val="auto"/>
              </w:rPr>
              <w:t>Liabilities:</w:t>
            </w:r>
          </w:p>
        </w:tc>
        <w:tc>
          <w:tcPr>
            <w:tcW w:w="3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80"/>
              </w:rPr>
              <w:t>Unsecured bank debt.........................................................</w:t>
            </w:r>
          </w:p>
        </w:tc>
        <w:tc>
          <w:tcPr>
            <w:tcW w:w="3220" w:type="dxa"/>
            <w:vAlign w:val="bottom"/>
          </w:tcPr>
          <w:p>
            <w:pPr>
              <w:jc w:val="right"/>
              <w:ind w:right="173"/>
              <w:spacing w:after="0"/>
              <w:rPr>
                <w:sz w:val="20"/>
                <w:szCs w:val="20"/>
                <w:color w:val="auto"/>
              </w:rPr>
            </w:pPr>
            <w:r>
              <w:rPr>
                <w:rFonts w:ascii="Courier New" w:cs="Courier New" w:eastAsia="Courier New" w:hAnsi="Courier New"/>
                <w:sz w:val="12"/>
                <w:szCs w:val="12"/>
                <w:b w:val="1"/>
                <w:bCs w:val="1"/>
                <w:color w:val="auto"/>
              </w:rPr>
              <w:t>$ 59,975</w:t>
            </w:r>
          </w:p>
        </w:tc>
        <w:tc>
          <w:tcPr>
            <w:tcW w:w="5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84,835</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80"/>
              </w:rPr>
              <w:t>Unsecured public notes......................................................</w:t>
            </w:r>
          </w:p>
        </w:tc>
        <w:tc>
          <w:tcPr>
            <w:tcW w:w="3220" w:type="dxa"/>
            <w:vAlign w:val="bottom"/>
          </w:tcPr>
          <w:p>
            <w:pPr>
              <w:jc w:val="right"/>
              <w:ind w:right="173"/>
              <w:spacing w:after="0"/>
              <w:rPr>
                <w:sz w:val="20"/>
                <w:szCs w:val="20"/>
                <w:color w:val="auto"/>
              </w:rPr>
            </w:pPr>
            <w:r>
              <w:rPr>
                <w:rFonts w:ascii="Courier New" w:cs="Courier New" w:eastAsia="Courier New" w:hAnsi="Courier New"/>
                <w:sz w:val="12"/>
                <w:szCs w:val="12"/>
                <w:b w:val="1"/>
                <w:bCs w:val="1"/>
                <w:color w:val="auto"/>
              </w:rPr>
              <w:t>722,115</w:t>
            </w:r>
          </w:p>
        </w:tc>
        <w:tc>
          <w:tcPr>
            <w:tcW w:w="560" w:type="dxa"/>
            <w:vAlign w:val="bottom"/>
          </w:tcPr>
          <w:p>
            <w:pPr>
              <w:spacing w:after="0"/>
              <w:rPr>
                <w:sz w:val="11"/>
                <w:szCs w:val="11"/>
                <w:color w:val="auto"/>
              </w:rPr>
            </w:pP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721,849</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80"/>
              </w:rPr>
              <w:t>Mortgage debt...............................................................</w:t>
            </w:r>
          </w:p>
        </w:tc>
        <w:tc>
          <w:tcPr>
            <w:tcW w:w="3220" w:type="dxa"/>
            <w:vAlign w:val="bottom"/>
          </w:tcPr>
          <w:p>
            <w:pPr>
              <w:jc w:val="right"/>
              <w:ind w:right="173"/>
              <w:spacing w:after="0"/>
              <w:rPr>
                <w:sz w:val="20"/>
                <w:szCs w:val="20"/>
                <w:color w:val="auto"/>
              </w:rPr>
            </w:pPr>
            <w:r>
              <w:rPr>
                <w:rFonts w:ascii="Courier New" w:cs="Courier New" w:eastAsia="Courier New" w:hAnsi="Courier New"/>
                <w:sz w:val="12"/>
                <w:szCs w:val="12"/>
                <w:b w:val="1"/>
                <w:bCs w:val="1"/>
                <w:color w:val="auto"/>
              </w:rPr>
              <w:t>312,195</w:t>
            </w:r>
          </w:p>
        </w:tc>
        <w:tc>
          <w:tcPr>
            <w:tcW w:w="560" w:type="dxa"/>
            <w:vAlign w:val="bottom"/>
          </w:tcPr>
          <w:p>
            <w:pPr>
              <w:spacing w:after="0"/>
              <w:rPr>
                <w:sz w:val="11"/>
                <w:szCs w:val="11"/>
                <w:color w:val="auto"/>
              </w:rPr>
            </w:pP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316,354</w:t>
            </w:r>
          </w:p>
        </w:tc>
        <w:tc>
          <w:tcPr>
            <w:tcW w:w="0" w:type="dxa"/>
            <w:vAlign w:val="bottom"/>
          </w:tcPr>
          <w:p>
            <w:pPr>
              <w:spacing w:after="0"/>
              <w:rPr>
                <w:sz w:val="1"/>
                <w:szCs w:val="1"/>
                <w:color w:val="auto"/>
              </w:rPr>
            </w:pPr>
          </w:p>
        </w:tc>
      </w:tr>
      <w:tr>
        <w:trPr>
          <w:trHeight w:val="135"/>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80"/>
              </w:rPr>
              <w:t>Notes payable-related party.................................................</w:t>
            </w:r>
          </w:p>
        </w:tc>
        <w:tc>
          <w:tcPr>
            <w:tcW w:w="3220" w:type="dxa"/>
            <w:vAlign w:val="bottom"/>
          </w:tcPr>
          <w:p>
            <w:pPr>
              <w:jc w:val="right"/>
              <w:ind w:right="173"/>
              <w:spacing w:after="0"/>
              <w:rPr>
                <w:sz w:val="20"/>
                <w:szCs w:val="20"/>
                <w:color w:val="auto"/>
              </w:rPr>
            </w:pPr>
            <w:r>
              <w:rPr>
                <w:rFonts w:ascii="Courier New" w:cs="Courier New" w:eastAsia="Courier New" w:hAnsi="Courier New"/>
                <w:sz w:val="12"/>
                <w:szCs w:val="12"/>
                <w:b w:val="1"/>
                <w:bCs w:val="1"/>
                <w:color w:val="auto"/>
              </w:rPr>
              <w:t>317,570</w:t>
            </w:r>
          </w:p>
        </w:tc>
        <w:tc>
          <w:tcPr>
            <w:tcW w:w="560" w:type="dxa"/>
            <w:vAlign w:val="bottom"/>
          </w:tcPr>
          <w:p>
            <w:pPr>
              <w:spacing w:after="0"/>
              <w:rPr>
                <w:sz w:val="11"/>
                <w:szCs w:val="11"/>
                <w:color w:val="auto"/>
              </w:rPr>
            </w:pP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300,260</w:t>
            </w:r>
          </w:p>
        </w:tc>
        <w:tc>
          <w:tcPr>
            <w:tcW w:w="0" w:type="dxa"/>
            <w:vAlign w:val="bottom"/>
          </w:tcPr>
          <w:p>
            <w:pPr>
              <w:spacing w:after="0"/>
              <w:rPr>
                <w:sz w:val="1"/>
                <w:szCs w:val="1"/>
                <w:color w:val="auto"/>
              </w:rPr>
            </w:pPr>
          </w:p>
        </w:tc>
      </w:tr>
      <w:tr>
        <w:trPr>
          <w:trHeight w:val="137"/>
        </w:trPr>
        <w:tc>
          <w:tcPr>
            <w:tcW w:w="4400" w:type="dxa"/>
            <w:vAlign w:val="bottom"/>
          </w:tcPr>
          <w:p>
            <w:pPr>
              <w:jc w:val="right"/>
              <w:spacing w:after="0"/>
              <w:rPr>
                <w:sz w:val="20"/>
                <w:szCs w:val="20"/>
                <w:color w:val="auto"/>
              </w:rPr>
            </w:pPr>
            <w:r>
              <w:rPr>
                <w:rFonts w:ascii="Courier New" w:cs="Courier New" w:eastAsia="Courier New" w:hAnsi="Courier New"/>
                <w:sz w:val="12"/>
                <w:szCs w:val="12"/>
                <w:color w:val="auto"/>
                <w:w w:val="80"/>
              </w:rPr>
              <w:t>Construction payables.......................................................</w:t>
            </w:r>
          </w:p>
        </w:tc>
        <w:tc>
          <w:tcPr>
            <w:tcW w:w="3220" w:type="dxa"/>
            <w:vAlign w:val="bottom"/>
          </w:tcPr>
          <w:p>
            <w:pPr>
              <w:jc w:val="right"/>
              <w:ind w:right="173"/>
              <w:spacing w:after="0"/>
              <w:rPr>
                <w:sz w:val="20"/>
                <w:szCs w:val="20"/>
                <w:color w:val="auto"/>
              </w:rPr>
            </w:pPr>
            <w:r>
              <w:rPr>
                <w:rFonts w:ascii="Courier New" w:cs="Courier New" w:eastAsia="Courier New" w:hAnsi="Courier New"/>
                <w:sz w:val="12"/>
                <w:szCs w:val="12"/>
                <w:b w:val="1"/>
                <w:bCs w:val="1"/>
                <w:color w:val="auto"/>
              </w:rPr>
              <w:t>8,351</w:t>
            </w:r>
          </w:p>
        </w:tc>
        <w:tc>
          <w:tcPr>
            <w:tcW w:w="560" w:type="dxa"/>
            <w:vAlign w:val="bottom"/>
          </w:tcPr>
          <w:p>
            <w:pPr>
              <w:spacing w:after="0"/>
              <w:rPr>
                <w:sz w:val="11"/>
                <w:szCs w:val="11"/>
                <w:color w:val="auto"/>
              </w:rPr>
            </w:pP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14,654</w:t>
            </w:r>
          </w:p>
        </w:tc>
        <w:tc>
          <w:tcPr>
            <w:tcW w:w="0" w:type="dxa"/>
            <w:vAlign w:val="bottom"/>
          </w:tcPr>
          <w:p>
            <w:pPr>
              <w:spacing w:after="0"/>
              <w:rPr>
                <w:sz w:val="1"/>
                <w:szCs w:val="1"/>
                <w:color w:val="auto"/>
              </w:rPr>
            </w:pPr>
          </w:p>
        </w:tc>
      </w:tr>
    </w:tbl>
    <w:p>
      <w:pPr>
        <w:sectPr>
          <w:pgSz w:w="11900" w:h="16906" w:orient="portrait"/>
          <w:cols w:equalWidth="0" w:num="1">
            <w:col w:w="11160"/>
          </w:cols>
          <w:pgMar w:left="240" w:top="450" w:right="49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6100" w:type="dxa"/>
            <w:vAlign w:val="bottom"/>
          </w:tcPr>
          <w:p>
            <w:pPr>
              <w:ind w:left="380"/>
              <w:spacing w:after="0"/>
              <w:rPr>
                <w:sz w:val="20"/>
                <w:szCs w:val="20"/>
                <w:color w:val="auto"/>
              </w:rPr>
            </w:pPr>
            <w:r>
              <w:rPr>
                <w:rFonts w:ascii="Courier New" w:cs="Courier New" w:eastAsia="Courier New" w:hAnsi="Courier New"/>
                <w:sz w:val="12"/>
                <w:szCs w:val="12"/>
                <w:color w:val="auto"/>
              </w:rPr>
              <w:t>Accounts payable and accrued expenses.......................................</w:t>
            </w:r>
          </w:p>
        </w:tc>
        <w:tc>
          <w:tcPr>
            <w:tcW w:w="1520" w:type="dxa"/>
            <w:vAlign w:val="bottom"/>
          </w:tcPr>
          <w:p>
            <w:pPr>
              <w:jc w:val="right"/>
              <w:ind w:right="179"/>
              <w:spacing w:after="0"/>
              <w:rPr>
                <w:sz w:val="20"/>
                <w:szCs w:val="20"/>
                <w:color w:val="auto"/>
              </w:rPr>
            </w:pPr>
            <w:r>
              <w:rPr>
                <w:rFonts w:ascii="Courier New" w:cs="Courier New" w:eastAsia="Courier New" w:hAnsi="Courier New"/>
                <w:sz w:val="12"/>
                <w:szCs w:val="12"/>
                <w:b w:val="1"/>
                <w:bCs w:val="1"/>
                <w:color w:val="auto"/>
              </w:rPr>
              <w:t>74,737</w:t>
            </w:r>
          </w:p>
        </w:tc>
        <w:tc>
          <w:tcPr>
            <w:tcW w:w="13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59,158</w:t>
            </w:r>
          </w:p>
        </w:tc>
      </w:tr>
      <w:tr>
        <w:trPr>
          <w:trHeight w:val="135"/>
        </w:trPr>
        <w:tc>
          <w:tcPr>
            <w:tcW w:w="6100" w:type="dxa"/>
            <w:vAlign w:val="bottom"/>
          </w:tcPr>
          <w:p>
            <w:pPr>
              <w:ind w:left="380"/>
              <w:spacing w:after="0"/>
              <w:rPr>
                <w:sz w:val="20"/>
                <w:szCs w:val="20"/>
                <w:color w:val="auto"/>
              </w:rPr>
            </w:pPr>
            <w:r>
              <w:rPr>
                <w:rFonts w:ascii="Courier New" w:cs="Courier New" w:eastAsia="Courier New" w:hAnsi="Courier New"/>
                <w:sz w:val="12"/>
                <w:szCs w:val="12"/>
                <w:color w:val="auto"/>
              </w:rPr>
              <w:t>Other liabilities...........................................................</w:t>
            </w:r>
          </w:p>
        </w:tc>
        <w:tc>
          <w:tcPr>
            <w:tcW w:w="1520" w:type="dxa"/>
            <w:vAlign w:val="bottom"/>
          </w:tcPr>
          <w:p>
            <w:pPr>
              <w:jc w:val="right"/>
              <w:ind w:right="179"/>
              <w:spacing w:after="0"/>
              <w:rPr>
                <w:sz w:val="20"/>
                <w:szCs w:val="20"/>
                <w:color w:val="auto"/>
              </w:rPr>
            </w:pPr>
            <w:r>
              <w:rPr>
                <w:rFonts w:ascii="Courier New" w:cs="Courier New" w:eastAsia="Courier New" w:hAnsi="Courier New"/>
                <w:sz w:val="12"/>
                <w:szCs w:val="12"/>
                <w:b w:val="1"/>
                <w:bCs w:val="1"/>
                <w:color w:val="auto"/>
              </w:rPr>
              <w:t>23,481</w:t>
            </w:r>
          </w:p>
        </w:tc>
        <w:tc>
          <w:tcPr>
            <w:tcW w:w="13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23,281</w:t>
            </w:r>
          </w:p>
        </w:tc>
      </w:tr>
      <w:tr>
        <w:trPr>
          <w:trHeight w:val="135"/>
        </w:trPr>
        <w:tc>
          <w:tcPr>
            <w:tcW w:w="6100" w:type="dxa"/>
            <w:vAlign w:val="bottom"/>
          </w:tcPr>
          <w:p>
            <w:pPr>
              <w:spacing w:after="0"/>
              <w:rPr>
                <w:sz w:val="11"/>
                <w:szCs w:val="11"/>
                <w:color w:val="auto"/>
              </w:rPr>
            </w:pPr>
          </w:p>
        </w:tc>
        <w:tc>
          <w:tcPr>
            <w:tcW w:w="15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6100" w:type="dxa"/>
            <w:vAlign w:val="bottom"/>
          </w:tcPr>
          <w:p>
            <w:pPr>
              <w:spacing w:after="0"/>
              <w:rPr>
                <w:sz w:val="20"/>
                <w:szCs w:val="20"/>
                <w:color w:val="auto"/>
              </w:rPr>
            </w:pPr>
            <w:r>
              <w:rPr>
                <w:rFonts w:ascii="Courier New" w:cs="Courier New" w:eastAsia="Courier New" w:hAnsi="Courier New"/>
                <w:sz w:val="12"/>
                <w:szCs w:val="12"/>
                <w:b w:val="1"/>
                <w:bCs w:val="1"/>
                <w:color w:val="auto"/>
              </w:rPr>
              <w:t>Total liabilities</w:t>
            </w:r>
            <w:r>
              <w:rPr>
                <w:rFonts w:ascii="Courier New" w:cs="Courier New" w:eastAsia="Courier New" w:hAnsi="Courier New"/>
                <w:sz w:val="12"/>
                <w:szCs w:val="12"/>
                <w:color w:val="auto"/>
              </w:rPr>
              <w:t>................................................................</w:t>
            </w:r>
          </w:p>
        </w:tc>
        <w:tc>
          <w:tcPr>
            <w:tcW w:w="1520" w:type="dxa"/>
            <w:vAlign w:val="bottom"/>
          </w:tcPr>
          <w:p>
            <w:pPr>
              <w:jc w:val="right"/>
              <w:ind w:right="179"/>
              <w:spacing w:after="0"/>
              <w:rPr>
                <w:sz w:val="20"/>
                <w:szCs w:val="20"/>
                <w:color w:val="auto"/>
              </w:rPr>
            </w:pPr>
            <w:r>
              <w:rPr>
                <w:rFonts w:ascii="Courier New" w:cs="Courier New" w:eastAsia="Courier New" w:hAnsi="Courier New"/>
                <w:sz w:val="12"/>
                <w:szCs w:val="12"/>
                <w:b w:val="1"/>
                <w:bCs w:val="1"/>
                <w:color w:val="auto"/>
              </w:rPr>
              <w:t>1,518,424</w:t>
            </w:r>
          </w:p>
        </w:tc>
        <w:tc>
          <w:tcPr>
            <w:tcW w:w="13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1,520,391</w:t>
            </w:r>
          </w:p>
        </w:tc>
      </w:tr>
      <w:tr>
        <w:trPr>
          <w:trHeight w:val="137"/>
        </w:trPr>
        <w:tc>
          <w:tcPr>
            <w:tcW w:w="6100" w:type="dxa"/>
            <w:vAlign w:val="bottom"/>
          </w:tcPr>
          <w:p>
            <w:pPr>
              <w:spacing w:after="0"/>
              <w:rPr>
                <w:sz w:val="11"/>
                <w:szCs w:val="11"/>
                <w:color w:val="auto"/>
              </w:rPr>
            </w:pPr>
          </w:p>
        </w:tc>
        <w:tc>
          <w:tcPr>
            <w:tcW w:w="15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6100" w:type="dxa"/>
            <w:vAlign w:val="bottom"/>
          </w:tcPr>
          <w:p>
            <w:pPr>
              <w:spacing w:after="0"/>
              <w:rPr>
                <w:sz w:val="20"/>
                <w:szCs w:val="20"/>
                <w:color w:val="auto"/>
              </w:rPr>
            </w:pPr>
            <w:r>
              <w:rPr>
                <w:rFonts w:ascii="Courier New" w:cs="Courier New" w:eastAsia="Courier New" w:hAnsi="Courier New"/>
                <w:sz w:val="12"/>
                <w:szCs w:val="12"/>
                <w:b w:val="1"/>
                <w:bCs w:val="1"/>
                <w:color w:val="auto"/>
              </w:rPr>
              <w:t>Commitments and contingencies</w:t>
            </w:r>
          </w:p>
        </w:tc>
        <w:tc>
          <w:tcPr>
            <w:tcW w:w="15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6100" w:type="dxa"/>
            <w:vAlign w:val="bottom"/>
          </w:tcPr>
          <w:p>
            <w:pPr>
              <w:spacing w:after="0"/>
              <w:rPr>
                <w:sz w:val="20"/>
                <w:szCs w:val="20"/>
                <w:color w:val="auto"/>
              </w:rPr>
            </w:pPr>
            <w:r>
              <w:rPr>
                <w:rFonts w:ascii="Courier New" w:cs="Courier New" w:eastAsia="Courier New" w:hAnsi="Courier New"/>
                <w:sz w:val="12"/>
                <w:szCs w:val="12"/>
                <w:b w:val="1"/>
                <w:bCs w:val="1"/>
                <w:color w:val="auto"/>
              </w:rPr>
              <w:t>Partners' capital:</w:t>
            </w:r>
          </w:p>
        </w:tc>
        <w:tc>
          <w:tcPr>
            <w:tcW w:w="15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68"/>
        </w:trPr>
        <w:tc>
          <w:tcPr>
            <w:tcW w:w="6100" w:type="dxa"/>
            <w:vAlign w:val="bottom"/>
          </w:tcPr>
          <w:p>
            <w:pPr>
              <w:spacing w:after="0"/>
              <w:rPr>
                <w:sz w:val="20"/>
                <w:szCs w:val="20"/>
                <w:color w:val="auto"/>
              </w:rPr>
            </w:pPr>
            <w:r>
              <w:rPr>
                <w:rFonts w:ascii="Courier New" w:cs="Courier New" w:eastAsia="Courier New" w:hAnsi="Courier New"/>
                <w:sz w:val="12"/>
                <w:szCs w:val="12"/>
                <w:color w:val="auto"/>
              </w:rPr>
              <w:t>Chelsea Property Group, Inc.....................................................</w:t>
            </w:r>
          </w:p>
        </w:tc>
        <w:tc>
          <w:tcPr>
            <w:tcW w:w="1520" w:type="dxa"/>
            <w:vAlign w:val="bottom"/>
          </w:tcPr>
          <w:p>
            <w:pPr>
              <w:jc w:val="right"/>
              <w:ind w:right="179"/>
              <w:spacing w:after="0"/>
              <w:rPr>
                <w:sz w:val="20"/>
                <w:szCs w:val="20"/>
                <w:color w:val="auto"/>
              </w:rPr>
            </w:pPr>
            <w:r>
              <w:rPr>
                <w:rFonts w:ascii="Courier New" w:cs="Courier New" w:eastAsia="Courier New" w:hAnsi="Courier New"/>
                <w:sz w:val="12"/>
                <w:szCs w:val="12"/>
                <w:b w:val="1"/>
                <w:bCs w:val="1"/>
                <w:color w:val="auto"/>
              </w:rPr>
              <w:t>119,660</w:t>
            </w:r>
          </w:p>
        </w:tc>
        <w:tc>
          <w:tcPr>
            <w:tcW w:w="13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528,613</w:t>
            </w:r>
          </w:p>
        </w:tc>
      </w:tr>
      <w:tr>
        <w:trPr>
          <w:trHeight w:val="135"/>
        </w:trPr>
        <w:tc>
          <w:tcPr>
            <w:tcW w:w="6100" w:type="dxa"/>
            <w:vAlign w:val="bottom"/>
          </w:tcPr>
          <w:p>
            <w:pPr>
              <w:spacing w:after="0"/>
              <w:rPr>
                <w:sz w:val="20"/>
                <w:szCs w:val="20"/>
                <w:color w:val="auto"/>
              </w:rPr>
            </w:pPr>
            <w:r>
              <w:rPr>
                <w:rFonts w:ascii="Courier New" w:cs="Courier New" w:eastAsia="Courier New" w:hAnsi="Courier New"/>
                <w:sz w:val="12"/>
                <w:szCs w:val="12"/>
                <w:color w:val="auto"/>
              </w:rPr>
              <w:t>CPG Holdings, LLC...............................................................</w:t>
            </w:r>
          </w:p>
        </w:tc>
        <w:tc>
          <w:tcPr>
            <w:tcW w:w="1520" w:type="dxa"/>
            <w:vAlign w:val="bottom"/>
          </w:tcPr>
          <w:p>
            <w:pPr>
              <w:jc w:val="right"/>
              <w:ind w:right="179"/>
              <w:spacing w:after="0"/>
              <w:rPr>
                <w:sz w:val="20"/>
                <w:szCs w:val="20"/>
                <w:color w:val="auto"/>
              </w:rPr>
            </w:pPr>
            <w:r>
              <w:rPr>
                <w:rFonts w:ascii="Courier New" w:cs="Courier New" w:eastAsia="Courier New" w:hAnsi="Courier New"/>
                <w:sz w:val="12"/>
                <w:szCs w:val="12"/>
                <w:b w:val="1"/>
                <w:bCs w:val="1"/>
                <w:color w:val="auto"/>
              </w:rPr>
              <w:t>444,148</w:t>
            </w:r>
          </w:p>
        </w:tc>
        <w:tc>
          <w:tcPr>
            <w:tcW w:w="13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6100" w:type="dxa"/>
            <w:vAlign w:val="bottom"/>
          </w:tcPr>
          <w:p>
            <w:pPr>
              <w:spacing w:after="0"/>
              <w:rPr>
                <w:sz w:val="20"/>
                <w:szCs w:val="20"/>
                <w:color w:val="auto"/>
              </w:rPr>
            </w:pPr>
            <w:r>
              <w:rPr>
                <w:rFonts w:ascii="Courier New" w:cs="Courier New" w:eastAsia="Courier New" w:hAnsi="Courier New"/>
                <w:sz w:val="12"/>
                <w:szCs w:val="12"/>
                <w:color w:val="auto"/>
              </w:rPr>
              <w:t>Simon Property Group, LP........................................................</w:t>
            </w:r>
          </w:p>
        </w:tc>
        <w:tc>
          <w:tcPr>
            <w:tcW w:w="1520" w:type="dxa"/>
            <w:vAlign w:val="bottom"/>
          </w:tcPr>
          <w:p>
            <w:pPr>
              <w:jc w:val="right"/>
              <w:ind w:right="179"/>
              <w:spacing w:after="0"/>
              <w:rPr>
                <w:sz w:val="20"/>
                <w:szCs w:val="20"/>
                <w:color w:val="auto"/>
              </w:rPr>
            </w:pPr>
            <w:r>
              <w:rPr>
                <w:rFonts w:ascii="Courier New" w:cs="Courier New" w:eastAsia="Courier New" w:hAnsi="Courier New"/>
                <w:sz w:val="12"/>
                <w:szCs w:val="12"/>
                <w:b w:val="1"/>
                <w:bCs w:val="1"/>
                <w:color w:val="auto"/>
              </w:rPr>
              <w:t>104,421</w:t>
            </w:r>
          </w:p>
        </w:tc>
        <w:tc>
          <w:tcPr>
            <w:tcW w:w="13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144,343</w:t>
            </w:r>
          </w:p>
        </w:tc>
      </w:tr>
      <w:tr>
        <w:trPr>
          <w:trHeight w:val="135"/>
        </w:trPr>
        <w:tc>
          <w:tcPr>
            <w:tcW w:w="6100" w:type="dxa"/>
            <w:vAlign w:val="bottom"/>
          </w:tcPr>
          <w:p>
            <w:pPr>
              <w:spacing w:after="0"/>
              <w:rPr>
                <w:sz w:val="20"/>
                <w:szCs w:val="20"/>
                <w:color w:val="auto"/>
              </w:rPr>
            </w:pPr>
            <w:r>
              <w:rPr>
                <w:rFonts w:ascii="Courier New" w:cs="Courier New" w:eastAsia="Courier New" w:hAnsi="Courier New"/>
                <w:sz w:val="12"/>
                <w:szCs w:val="12"/>
                <w:color w:val="auto"/>
              </w:rPr>
              <w:t>Accumulated other comprehensive income (loss)...................................</w:t>
            </w:r>
          </w:p>
        </w:tc>
        <w:tc>
          <w:tcPr>
            <w:tcW w:w="1520" w:type="dxa"/>
            <w:vAlign w:val="bottom"/>
          </w:tcPr>
          <w:p>
            <w:pPr>
              <w:jc w:val="right"/>
              <w:ind w:right="179"/>
              <w:spacing w:after="0"/>
              <w:rPr>
                <w:sz w:val="20"/>
                <w:szCs w:val="20"/>
                <w:color w:val="auto"/>
              </w:rPr>
            </w:pPr>
            <w:r>
              <w:rPr>
                <w:rFonts w:ascii="Courier New" w:cs="Courier New" w:eastAsia="Courier New" w:hAnsi="Courier New"/>
                <w:sz w:val="12"/>
                <w:szCs w:val="12"/>
                <w:b w:val="1"/>
                <w:bCs w:val="1"/>
                <w:color w:val="auto"/>
              </w:rPr>
              <w:t>1,692</w:t>
            </w:r>
          </w:p>
        </w:tc>
        <w:tc>
          <w:tcPr>
            <w:tcW w:w="1360" w:type="dxa"/>
            <w:vAlign w:val="bottom"/>
          </w:tcPr>
          <w:p>
            <w:pPr>
              <w:jc w:val="right"/>
              <w:spacing w:after="0"/>
              <w:rPr>
                <w:sz w:val="20"/>
                <w:szCs w:val="20"/>
                <w:color w:val="auto"/>
              </w:rPr>
            </w:pPr>
            <w:r>
              <w:rPr>
                <w:rFonts w:ascii="Courier New" w:cs="Courier New" w:eastAsia="Courier New" w:hAnsi="Courier New"/>
                <w:sz w:val="12"/>
                <w:szCs w:val="12"/>
                <w:color w:val="auto"/>
              </w:rPr>
              <w:t>(749)</w:t>
            </w:r>
          </w:p>
        </w:tc>
      </w:tr>
      <w:tr>
        <w:trPr>
          <w:trHeight w:val="135"/>
        </w:trPr>
        <w:tc>
          <w:tcPr>
            <w:tcW w:w="6100" w:type="dxa"/>
            <w:vAlign w:val="bottom"/>
          </w:tcPr>
          <w:p>
            <w:pPr>
              <w:spacing w:after="0"/>
              <w:rPr>
                <w:sz w:val="11"/>
                <w:szCs w:val="11"/>
                <w:color w:val="auto"/>
              </w:rPr>
            </w:pPr>
          </w:p>
        </w:tc>
        <w:tc>
          <w:tcPr>
            <w:tcW w:w="15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6100" w:type="dxa"/>
            <w:vAlign w:val="bottom"/>
          </w:tcPr>
          <w:p>
            <w:pPr>
              <w:spacing w:after="0"/>
              <w:rPr>
                <w:sz w:val="20"/>
                <w:szCs w:val="20"/>
                <w:color w:val="auto"/>
              </w:rPr>
            </w:pPr>
            <w:r>
              <w:rPr>
                <w:rFonts w:ascii="Courier New" w:cs="Courier New" w:eastAsia="Courier New" w:hAnsi="Courier New"/>
                <w:sz w:val="12"/>
                <w:szCs w:val="12"/>
                <w:b w:val="1"/>
                <w:bCs w:val="1"/>
                <w:color w:val="auto"/>
              </w:rPr>
              <w:t>Total partners' capital</w:t>
            </w:r>
            <w:r>
              <w:rPr>
                <w:rFonts w:ascii="Courier New" w:cs="Courier New" w:eastAsia="Courier New" w:hAnsi="Courier New"/>
                <w:sz w:val="12"/>
                <w:szCs w:val="12"/>
                <w:color w:val="auto"/>
              </w:rPr>
              <w:t>.........................................................</w:t>
            </w:r>
          </w:p>
        </w:tc>
        <w:tc>
          <w:tcPr>
            <w:tcW w:w="1520" w:type="dxa"/>
            <w:vAlign w:val="bottom"/>
          </w:tcPr>
          <w:p>
            <w:pPr>
              <w:jc w:val="right"/>
              <w:ind w:right="179"/>
              <w:spacing w:after="0"/>
              <w:rPr>
                <w:sz w:val="20"/>
                <w:szCs w:val="20"/>
                <w:color w:val="auto"/>
              </w:rPr>
            </w:pPr>
            <w:r>
              <w:rPr>
                <w:rFonts w:ascii="Courier New" w:cs="Courier New" w:eastAsia="Courier New" w:hAnsi="Courier New"/>
                <w:sz w:val="12"/>
                <w:szCs w:val="12"/>
                <w:b w:val="1"/>
                <w:bCs w:val="1"/>
                <w:color w:val="auto"/>
              </w:rPr>
              <w:t>669,921</w:t>
            </w:r>
          </w:p>
        </w:tc>
        <w:tc>
          <w:tcPr>
            <w:tcW w:w="13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672,207</w:t>
            </w:r>
          </w:p>
        </w:tc>
      </w:tr>
      <w:tr>
        <w:trPr>
          <w:trHeight w:val="135"/>
        </w:trPr>
        <w:tc>
          <w:tcPr>
            <w:tcW w:w="6100" w:type="dxa"/>
            <w:vAlign w:val="bottom"/>
          </w:tcPr>
          <w:p>
            <w:pPr>
              <w:spacing w:after="0"/>
              <w:rPr>
                <w:sz w:val="11"/>
                <w:szCs w:val="11"/>
                <w:color w:val="auto"/>
              </w:rPr>
            </w:pPr>
          </w:p>
        </w:tc>
        <w:tc>
          <w:tcPr>
            <w:tcW w:w="15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6100" w:type="dxa"/>
            <w:vAlign w:val="bottom"/>
          </w:tcPr>
          <w:p>
            <w:pPr>
              <w:spacing w:after="0"/>
              <w:rPr>
                <w:sz w:val="20"/>
                <w:szCs w:val="20"/>
                <w:color w:val="auto"/>
              </w:rPr>
            </w:pPr>
            <w:r>
              <w:rPr>
                <w:rFonts w:ascii="Courier New" w:cs="Courier New" w:eastAsia="Courier New" w:hAnsi="Courier New"/>
                <w:sz w:val="12"/>
                <w:szCs w:val="12"/>
                <w:b w:val="1"/>
                <w:bCs w:val="1"/>
                <w:color w:val="auto"/>
              </w:rPr>
              <w:t>Total liabilities and partners' capital</w:t>
            </w:r>
            <w:r>
              <w:rPr>
                <w:rFonts w:ascii="Courier New" w:cs="Courier New" w:eastAsia="Courier New" w:hAnsi="Courier New"/>
                <w:sz w:val="12"/>
                <w:szCs w:val="12"/>
                <w:color w:val="auto"/>
              </w:rPr>
              <w:t>.........................................</w:t>
            </w:r>
          </w:p>
        </w:tc>
        <w:tc>
          <w:tcPr>
            <w:tcW w:w="1520" w:type="dxa"/>
            <w:vAlign w:val="bottom"/>
          </w:tcPr>
          <w:p>
            <w:pPr>
              <w:jc w:val="right"/>
              <w:ind w:right="179"/>
              <w:spacing w:after="0"/>
              <w:rPr>
                <w:sz w:val="20"/>
                <w:szCs w:val="20"/>
                <w:color w:val="auto"/>
              </w:rPr>
            </w:pPr>
            <w:r>
              <w:rPr>
                <w:rFonts w:ascii="Courier New" w:cs="Courier New" w:eastAsia="Courier New" w:hAnsi="Courier New"/>
                <w:sz w:val="12"/>
                <w:szCs w:val="12"/>
                <w:b w:val="1"/>
                <w:bCs w:val="1"/>
                <w:color w:val="auto"/>
              </w:rPr>
              <w:t>$2,188,345</w:t>
            </w:r>
          </w:p>
        </w:tc>
        <w:tc>
          <w:tcPr>
            <w:tcW w:w="13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$2,192,598</w:t>
            </w:r>
          </w:p>
        </w:tc>
      </w:tr>
      <w:tr>
        <w:trPr>
          <w:trHeight w:val="137"/>
        </w:trPr>
        <w:tc>
          <w:tcPr>
            <w:tcW w:w="6100" w:type="dxa"/>
            <w:vAlign w:val="bottom"/>
          </w:tcPr>
          <w:p>
            <w:pPr>
              <w:spacing w:after="0"/>
              <w:rPr>
                <w:sz w:val="11"/>
                <w:szCs w:val="11"/>
                <w:color w:val="auto"/>
              </w:rPr>
            </w:pPr>
          </w:p>
        </w:tc>
        <w:tc>
          <w:tcPr>
            <w:tcW w:w="15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accompanying notes are an integral part of the financial statements.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60" w:type="dxa"/>
            <w:vAlign w:val="bottom"/>
          </w:tcPr>
          <w:p>
            <w:pPr>
              <w:spacing w:after="0"/>
              <w:rPr>
                <w:sz w:val="21"/>
                <w:szCs w:val="21"/>
                <w:color w:val="auto"/>
              </w:rPr>
            </w:pPr>
          </w:p>
        </w:tc>
        <w:tc>
          <w:tcPr>
            <w:tcW w:w="2560" w:type="dxa"/>
            <w:vAlign w:val="bottom"/>
            <w:gridSpan w:val="2"/>
          </w:tcPr>
          <w:p>
            <w:pPr>
              <w:jc w:val="center"/>
              <w:ind w:left="675"/>
              <w:spacing w:after="0"/>
              <w:rPr>
                <w:sz w:val="20"/>
                <w:szCs w:val="20"/>
                <w:color w:val="auto"/>
              </w:rPr>
            </w:pPr>
            <w:r>
              <w:rPr>
                <w:rFonts w:ascii="Arial" w:cs="Arial" w:eastAsia="Arial" w:hAnsi="Arial"/>
                <w:sz w:val="22"/>
                <w:szCs w:val="22"/>
                <w:b w:val="1"/>
                <w:bCs w:val="1"/>
                <w:color w:val="auto"/>
                <w:w w:val="90"/>
              </w:rPr>
              <w:t>CPG Partners, L.P.</w:t>
            </w: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1"/>
                <w:szCs w:val="21"/>
                <w:color w:val="auto"/>
              </w:rPr>
            </w:pPr>
          </w:p>
        </w:tc>
        <w:tc>
          <w:tcPr>
            <w:tcW w:w="3600" w:type="dxa"/>
            <w:vAlign w:val="bottom"/>
            <w:gridSpan w:val="3"/>
          </w:tcPr>
          <w:p>
            <w:pPr>
              <w:jc w:val="center"/>
              <w:ind w:right="239"/>
              <w:spacing w:after="0" w:line="243" w:lineRule="exact"/>
              <w:rPr>
                <w:sz w:val="20"/>
                <w:szCs w:val="20"/>
                <w:color w:val="auto"/>
              </w:rPr>
            </w:pPr>
            <w:r>
              <w:rPr>
                <w:rFonts w:ascii="Arial" w:cs="Arial" w:eastAsia="Arial" w:hAnsi="Arial"/>
                <w:sz w:val="22"/>
                <w:szCs w:val="22"/>
                <w:b w:val="1"/>
                <w:bCs w:val="1"/>
                <w:color w:val="auto"/>
                <w:w w:val="87"/>
              </w:rPr>
              <w:t>Consolidated Statements of Income</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8760" w:type="dxa"/>
            <w:vAlign w:val="bottom"/>
            <w:gridSpan w:val="5"/>
          </w:tcPr>
          <w:p>
            <w:pPr>
              <w:jc w:val="center"/>
              <w:ind w:left="2598"/>
              <w:spacing w:after="0" w:line="249" w:lineRule="exact"/>
              <w:rPr>
                <w:sz w:val="20"/>
                <w:szCs w:val="20"/>
                <w:color w:val="auto"/>
              </w:rPr>
            </w:pPr>
            <w:r>
              <w:rPr>
                <w:rFonts w:ascii="Arial" w:cs="Arial" w:eastAsia="Arial" w:hAnsi="Arial"/>
                <w:sz w:val="22"/>
                <w:szCs w:val="22"/>
                <w:b w:val="1"/>
                <w:bCs w:val="1"/>
                <w:color w:val="auto"/>
                <w:w w:val="89"/>
              </w:rPr>
              <w:t>for the Three and Six Months Ended June 30, 2005 and 2004</w:t>
            </w: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1"/>
                <w:szCs w:val="21"/>
                <w:color w:val="auto"/>
              </w:rPr>
            </w:pPr>
          </w:p>
        </w:tc>
        <w:tc>
          <w:tcPr>
            <w:tcW w:w="2560" w:type="dxa"/>
            <w:vAlign w:val="bottom"/>
            <w:gridSpan w:val="2"/>
          </w:tcPr>
          <w:p>
            <w:pPr>
              <w:jc w:val="center"/>
              <w:ind w:left="695"/>
              <w:spacing w:after="0" w:line="243" w:lineRule="exact"/>
              <w:rPr>
                <w:sz w:val="20"/>
                <w:szCs w:val="20"/>
                <w:color w:val="auto"/>
              </w:rPr>
            </w:pPr>
            <w:r>
              <w:rPr>
                <w:rFonts w:ascii="Arial" w:cs="Arial" w:eastAsia="Arial" w:hAnsi="Arial"/>
                <w:sz w:val="22"/>
                <w:szCs w:val="22"/>
                <w:b w:val="1"/>
                <w:bCs w:val="1"/>
                <w:i w:val="1"/>
                <w:iCs w:val="1"/>
                <w:color w:val="auto"/>
                <w:w w:val="88"/>
              </w:rPr>
              <w:t>(Unaudited)</w:t>
            </w: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060" w:type="dxa"/>
            <w:vAlign w:val="bottom"/>
          </w:tcPr>
          <w:p>
            <w:pPr>
              <w:spacing w:after="0"/>
              <w:rPr>
                <w:sz w:val="23"/>
                <w:szCs w:val="23"/>
                <w:color w:val="auto"/>
              </w:rPr>
            </w:pPr>
          </w:p>
        </w:tc>
        <w:tc>
          <w:tcPr>
            <w:tcW w:w="3600" w:type="dxa"/>
            <w:vAlign w:val="bottom"/>
            <w:gridSpan w:val="3"/>
          </w:tcPr>
          <w:p>
            <w:pPr>
              <w:jc w:val="center"/>
              <w:ind w:right="219"/>
              <w:spacing w:after="0"/>
              <w:rPr>
                <w:sz w:val="20"/>
                <w:szCs w:val="20"/>
                <w:color w:val="auto"/>
              </w:rPr>
            </w:pPr>
            <w:r>
              <w:rPr>
                <w:rFonts w:ascii="Arial" w:cs="Arial" w:eastAsia="Arial" w:hAnsi="Arial"/>
                <w:sz w:val="22"/>
                <w:szCs w:val="22"/>
                <w:i w:val="1"/>
                <w:iCs w:val="1"/>
                <w:color w:val="auto"/>
                <w:w w:val="88"/>
              </w:rPr>
              <w:t>(In thousands, except per unit data)</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9"/>
        </w:trPr>
        <w:tc>
          <w:tcPr>
            <w:tcW w:w="4060" w:type="dxa"/>
            <w:vAlign w:val="bottom"/>
          </w:tcPr>
          <w:p>
            <w:pPr>
              <w:spacing w:after="0"/>
              <w:rPr>
                <w:sz w:val="24"/>
                <w:szCs w:val="24"/>
                <w:color w:val="auto"/>
              </w:rPr>
            </w:pPr>
          </w:p>
        </w:tc>
        <w:tc>
          <w:tcPr>
            <w:tcW w:w="2560" w:type="dxa"/>
            <w:vAlign w:val="bottom"/>
            <w:gridSpan w:val="2"/>
          </w:tcPr>
          <w:p>
            <w:pPr>
              <w:ind w:left="980"/>
              <w:spacing w:after="0"/>
              <w:rPr>
                <w:sz w:val="20"/>
                <w:szCs w:val="20"/>
                <w:color w:val="auto"/>
              </w:rPr>
            </w:pPr>
            <w:r>
              <w:rPr>
                <w:rFonts w:ascii="Courier New" w:cs="Courier New" w:eastAsia="Courier New" w:hAnsi="Courier New"/>
                <w:sz w:val="12"/>
                <w:szCs w:val="12"/>
                <w:b w:val="1"/>
                <w:bCs w:val="1"/>
                <w:color w:val="auto"/>
              </w:rPr>
              <w:t>Three Months</w:t>
            </w:r>
          </w:p>
        </w:tc>
        <w:tc>
          <w:tcPr>
            <w:tcW w:w="2140" w:type="dxa"/>
            <w:vAlign w:val="bottom"/>
            <w:gridSpan w:val="2"/>
          </w:tcPr>
          <w:p>
            <w:pPr>
              <w:jc w:val="right"/>
              <w:ind w:right="599"/>
              <w:spacing w:after="0"/>
              <w:rPr>
                <w:sz w:val="20"/>
                <w:szCs w:val="20"/>
                <w:color w:val="auto"/>
              </w:rPr>
            </w:pPr>
            <w:r>
              <w:rPr>
                <w:rFonts w:ascii="Courier New" w:cs="Courier New" w:eastAsia="Courier New" w:hAnsi="Courier New"/>
                <w:sz w:val="12"/>
                <w:szCs w:val="12"/>
                <w:b w:val="1"/>
                <w:bCs w:val="1"/>
                <w:color w:val="auto"/>
              </w:rPr>
              <w:t>Six Months</w:t>
            </w: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2560" w:type="dxa"/>
            <w:vAlign w:val="bottom"/>
            <w:gridSpan w:val="2"/>
          </w:tcPr>
          <w:p>
            <w:pPr>
              <w:ind w:left="980"/>
              <w:spacing w:after="0"/>
              <w:rPr>
                <w:sz w:val="20"/>
                <w:szCs w:val="20"/>
                <w:color w:val="auto"/>
              </w:rPr>
            </w:pPr>
            <w:r>
              <w:rPr>
                <w:rFonts w:ascii="Courier New" w:cs="Courier New" w:eastAsia="Courier New" w:hAnsi="Courier New"/>
                <w:sz w:val="12"/>
                <w:szCs w:val="12"/>
                <w:b w:val="1"/>
                <w:bCs w:val="1"/>
                <w:color w:val="auto"/>
              </w:rPr>
              <w:t>Ended June 30</w:t>
            </w:r>
          </w:p>
        </w:tc>
        <w:tc>
          <w:tcPr>
            <w:tcW w:w="2140" w:type="dxa"/>
            <w:vAlign w:val="bottom"/>
            <w:gridSpan w:val="2"/>
          </w:tcPr>
          <w:p>
            <w:pPr>
              <w:jc w:val="right"/>
              <w:ind w:right="459"/>
              <w:spacing w:after="0"/>
              <w:rPr>
                <w:sz w:val="20"/>
                <w:szCs w:val="20"/>
                <w:color w:val="auto"/>
              </w:rPr>
            </w:pPr>
            <w:r>
              <w:rPr>
                <w:rFonts w:ascii="Courier New" w:cs="Courier New" w:eastAsia="Courier New" w:hAnsi="Courier New"/>
                <w:sz w:val="12"/>
                <w:szCs w:val="12"/>
                <w:b w:val="1"/>
                <w:bCs w:val="1"/>
                <w:color w:val="auto"/>
              </w:rPr>
              <w:t>Ended June 30</w:t>
            </w: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280" w:type="dxa"/>
            <w:vAlign w:val="bottom"/>
          </w:tcPr>
          <w:p>
            <w:pPr>
              <w:jc w:val="right"/>
              <w:ind w:right="235"/>
              <w:spacing w:after="0"/>
              <w:rPr>
                <w:sz w:val="20"/>
                <w:szCs w:val="20"/>
                <w:color w:val="auto"/>
              </w:rPr>
            </w:pPr>
            <w:r>
              <w:rPr>
                <w:rFonts w:ascii="Courier New" w:cs="Courier New" w:eastAsia="Courier New" w:hAnsi="Courier New"/>
                <w:sz w:val="12"/>
                <w:szCs w:val="12"/>
                <w:b w:val="1"/>
                <w:bCs w:val="1"/>
                <w:color w:val="auto"/>
              </w:rPr>
              <w:t>2005</w:t>
            </w:r>
          </w:p>
        </w:tc>
        <w:tc>
          <w:tcPr>
            <w:tcW w:w="1280" w:type="dxa"/>
            <w:vAlign w:val="bottom"/>
          </w:tcPr>
          <w:p>
            <w:pPr>
              <w:jc w:val="right"/>
              <w:ind w:right="359"/>
              <w:spacing w:after="0"/>
              <w:rPr>
                <w:sz w:val="20"/>
                <w:szCs w:val="20"/>
                <w:color w:val="auto"/>
              </w:rPr>
            </w:pPr>
            <w:r>
              <w:rPr>
                <w:rFonts w:ascii="Courier New" w:cs="Courier New" w:eastAsia="Courier New" w:hAnsi="Courier New"/>
                <w:sz w:val="12"/>
                <w:szCs w:val="12"/>
                <w:color w:val="auto"/>
              </w:rPr>
              <w:t>2004</w:t>
            </w:r>
          </w:p>
        </w:tc>
        <w:tc>
          <w:tcPr>
            <w:tcW w:w="10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2005</w:t>
            </w:r>
          </w:p>
        </w:tc>
        <w:tc>
          <w:tcPr>
            <w:tcW w:w="1100" w:type="dxa"/>
            <w:vAlign w:val="bottom"/>
          </w:tcPr>
          <w:p>
            <w:pPr>
              <w:jc w:val="center"/>
              <w:ind w:left="19"/>
              <w:spacing w:after="0"/>
              <w:rPr>
                <w:sz w:val="20"/>
                <w:szCs w:val="20"/>
                <w:color w:val="auto"/>
              </w:rPr>
            </w:pPr>
            <w:r>
              <w:rPr>
                <w:rFonts w:ascii="Courier New" w:cs="Courier New" w:eastAsia="Courier New" w:hAnsi="Courier New"/>
                <w:sz w:val="12"/>
                <w:szCs w:val="12"/>
                <w:color w:val="auto"/>
              </w:rPr>
              <w:t>2004</w:t>
            </w:r>
          </w:p>
        </w:tc>
        <w:tc>
          <w:tcPr>
            <w:tcW w:w="0" w:type="dxa"/>
            <w:vAlign w:val="bottom"/>
          </w:tcPr>
          <w:p>
            <w:pPr>
              <w:spacing w:after="0"/>
              <w:rPr>
                <w:sz w:val="1"/>
                <w:szCs w:val="1"/>
                <w:color w:val="auto"/>
              </w:rPr>
            </w:pPr>
          </w:p>
        </w:tc>
      </w:tr>
      <w:tr>
        <w:trPr>
          <w:trHeight w:val="137"/>
        </w:trPr>
        <w:tc>
          <w:tcPr>
            <w:tcW w:w="4060" w:type="dxa"/>
            <w:vAlign w:val="bottom"/>
            <w:vMerge w:val="restart"/>
          </w:tcPr>
          <w:p>
            <w:pPr>
              <w:spacing w:after="0"/>
              <w:rPr>
                <w:sz w:val="20"/>
                <w:szCs w:val="20"/>
                <w:color w:val="auto"/>
              </w:rPr>
            </w:pPr>
            <w:r>
              <w:rPr>
                <w:rFonts w:ascii="Courier New" w:cs="Courier New" w:eastAsia="Courier New" w:hAnsi="Courier New"/>
                <w:sz w:val="12"/>
                <w:szCs w:val="12"/>
                <w:b w:val="1"/>
                <w:bCs w:val="1"/>
                <w:color w:val="auto"/>
              </w:rPr>
              <w:t>Revenues:</w:t>
            </w:r>
          </w:p>
        </w:tc>
        <w:tc>
          <w:tcPr>
            <w:tcW w:w="1280" w:type="dxa"/>
            <w:vAlign w:val="bottom"/>
          </w:tcPr>
          <w:p>
            <w:pPr>
              <w:jc w:val="right"/>
              <w:ind w:right="15"/>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center"/>
              <w:ind w:lef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406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60" w:type="dxa"/>
            <w:vAlign w:val="bottom"/>
          </w:tcPr>
          <w:p>
            <w:pPr>
              <w:jc w:val="right"/>
              <w:spacing w:after="0"/>
              <w:rPr>
                <w:sz w:val="20"/>
                <w:szCs w:val="20"/>
                <w:color w:val="auto"/>
              </w:rPr>
            </w:pPr>
            <w:r>
              <w:rPr>
                <w:rFonts w:ascii="Courier New" w:cs="Courier New" w:eastAsia="Courier New" w:hAnsi="Courier New"/>
                <w:sz w:val="12"/>
                <w:szCs w:val="12"/>
                <w:color w:val="auto"/>
              </w:rPr>
              <w:t>Base rent...........................................</w:t>
            </w:r>
          </w:p>
        </w:tc>
        <w:tc>
          <w:tcPr>
            <w:tcW w:w="1280" w:type="dxa"/>
            <w:vAlign w:val="bottom"/>
          </w:tcPr>
          <w:p>
            <w:pPr>
              <w:jc w:val="right"/>
              <w:ind w:right="155"/>
              <w:spacing w:after="0"/>
              <w:rPr>
                <w:sz w:val="20"/>
                <w:szCs w:val="20"/>
                <w:color w:val="auto"/>
              </w:rPr>
            </w:pPr>
            <w:r>
              <w:rPr>
                <w:rFonts w:ascii="Courier New" w:cs="Courier New" w:eastAsia="Courier New" w:hAnsi="Courier New"/>
                <w:sz w:val="12"/>
                <w:szCs w:val="12"/>
                <w:b w:val="1"/>
                <w:bCs w:val="1"/>
                <w:color w:val="auto"/>
              </w:rPr>
              <w:t>$ 74,038</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$66,699</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$145,347</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$132,133</w:t>
            </w:r>
          </w:p>
        </w:tc>
        <w:tc>
          <w:tcPr>
            <w:tcW w:w="0" w:type="dxa"/>
            <w:vAlign w:val="bottom"/>
          </w:tcPr>
          <w:p>
            <w:pPr>
              <w:spacing w:after="0"/>
              <w:rPr>
                <w:sz w:val="1"/>
                <w:szCs w:val="1"/>
                <w:color w:val="auto"/>
              </w:rPr>
            </w:pPr>
          </w:p>
        </w:tc>
      </w:tr>
      <w:tr>
        <w:trPr>
          <w:trHeight w:val="135"/>
        </w:trPr>
        <w:tc>
          <w:tcPr>
            <w:tcW w:w="4060" w:type="dxa"/>
            <w:vAlign w:val="bottom"/>
          </w:tcPr>
          <w:p>
            <w:pPr>
              <w:jc w:val="right"/>
              <w:spacing w:after="0"/>
              <w:rPr>
                <w:sz w:val="20"/>
                <w:szCs w:val="20"/>
                <w:color w:val="auto"/>
              </w:rPr>
            </w:pPr>
            <w:r>
              <w:rPr>
                <w:rFonts w:ascii="Courier New" w:cs="Courier New" w:eastAsia="Courier New" w:hAnsi="Courier New"/>
                <w:sz w:val="12"/>
                <w:szCs w:val="12"/>
                <w:color w:val="auto"/>
              </w:rPr>
              <w:t>Percentage rent.....................................</w:t>
            </w:r>
          </w:p>
        </w:tc>
        <w:tc>
          <w:tcPr>
            <w:tcW w:w="1280" w:type="dxa"/>
            <w:vAlign w:val="bottom"/>
          </w:tcPr>
          <w:p>
            <w:pPr>
              <w:jc w:val="right"/>
              <w:ind w:right="155"/>
              <w:spacing w:after="0"/>
              <w:rPr>
                <w:sz w:val="20"/>
                <w:szCs w:val="20"/>
                <w:color w:val="auto"/>
              </w:rPr>
            </w:pPr>
            <w:r>
              <w:rPr>
                <w:rFonts w:ascii="Courier New" w:cs="Courier New" w:eastAsia="Courier New" w:hAnsi="Courier New"/>
                <w:sz w:val="12"/>
                <w:szCs w:val="12"/>
                <w:b w:val="1"/>
                <w:bCs w:val="1"/>
                <w:color w:val="auto"/>
              </w:rPr>
              <w:t>7,606</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5,658</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12,873</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10,435</w:t>
            </w:r>
          </w:p>
        </w:tc>
        <w:tc>
          <w:tcPr>
            <w:tcW w:w="0" w:type="dxa"/>
            <w:vAlign w:val="bottom"/>
          </w:tcPr>
          <w:p>
            <w:pPr>
              <w:spacing w:after="0"/>
              <w:rPr>
                <w:sz w:val="1"/>
                <w:szCs w:val="1"/>
                <w:color w:val="auto"/>
              </w:rPr>
            </w:pPr>
          </w:p>
        </w:tc>
      </w:tr>
      <w:tr>
        <w:trPr>
          <w:trHeight w:val="135"/>
        </w:trPr>
        <w:tc>
          <w:tcPr>
            <w:tcW w:w="4060" w:type="dxa"/>
            <w:vAlign w:val="bottom"/>
          </w:tcPr>
          <w:p>
            <w:pPr>
              <w:jc w:val="right"/>
              <w:spacing w:after="0"/>
              <w:rPr>
                <w:sz w:val="20"/>
                <w:szCs w:val="20"/>
                <w:color w:val="auto"/>
              </w:rPr>
            </w:pPr>
            <w:r>
              <w:rPr>
                <w:rFonts w:ascii="Courier New" w:cs="Courier New" w:eastAsia="Courier New" w:hAnsi="Courier New"/>
                <w:sz w:val="12"/>
                <w:szCs w:val="12"/>
                <w:color w:val="auto"/>
              </w:rPr>
              <w:t>Expense reimbursements..............................</w:t>
            </w:r>
          </w:p>
        </w:tc>
        <w:tc>
          <w:tcPr>
            <w:tcW w:w="1280" w:type="dxa"/>
            <w:vAlign w:val="bottom"/>
          </w:tcPr>
          <w:p>
            <w:pPr>
              <w:jc w:val="right"/>
              <w:ind w:right="155"/>
              <w:spacing w:after="0"/>
              <w:rPr>
                <w:sz w:val="20"/>
                <w:szCs w:val="20"/>
                <w:color w:val="auto"/>
              </w:rPr>
            </w:pPr>
            <w:r>
              <w:rPr>
                <w:rFonts w:ascii="Courier New" w:cs="Courier New" w:eastAsia="Courier New" w:hAnsi="Courier New"/>
                <w:sz w:val="12"/>
                <w:szCs w:val="12"/>
                <w:b w:val="1"/>
                <w:bCs w:val="1"/>
                <w:color w:val="auto"/>
              </w:rPr>
              <w:t>23,376</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21,670</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45,685</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42,330</w:t>
            </w:r>
          </w:p>
        </w:tc>
        <w:tc>
          <w:tcPr>
            <w:tcW w:w="0" w:type="dxa"/>
            <w:vAlign w:val="bottom"/>
          </w:tcPr>
          <w:p>
            <w:pPr>
              <w:spacing w:after="0"/>
              <w:rPr>
                <w:sz w:val="1"/>
                <w:szCs w:val="1"/>
                <w:color w:val="auto"/>
              </w:rPr>
            </w:pPr>
          </w:p>
        </w:tc>
      </w:tr>
      <w:tr>
        <w:trPr>
          <w:trHeight w:val="135"/>
        </w:trPr>
        <w:tc>
          <w:tcPr>
            <w:tcW w:w="4060" w:type="dxa"/>
            <w:vAlign w:val="bottom"/>
          </w:tcPr>
          <w:p>
            <w:pPr>
              <w:jc w:val="right"/>
              <w:spacing w:after="0"/>
              <w:rPr>
                <w:sz w:val="20"/>
                <w:szCs w:val="20"/>
                <w:color w:val="auto"/>
              </w:rPr>
            </w:pPr>
            <w:r>
              <w:rPr>
                <w:rFonts w:ascii="Courier New" w:cs="Courier New" w:eastAsia="Courier New" w:hAnsi="Courier New"/>
                <w:sz w:val="12"/>
                <w:szCs w:val="12"/>
                <w:color w:val="auto"/>
              </w:rPr>
              <w:t>Other income........................................</w:t>
            </w:r>
          </w:p>
        </w:tc>
        <w:tc>
          <w:tcPr>
            <w:tcW w:w="1280" w:type="dxa"/>
            <w:vAlign w:val="bottom"/>
          </w:tcPr>
          <w:p>
            <w:pPr>
              <w:jc w:val="right"/>
              <w:ind w:right="155"/>
              <w:spacing w:after="0"/>
              <w:rPr>
                <w:sz w:val="20"/>
                <w:szCs w:val="20"/>
                <w:color w:val="auto"/>
              </w:rPr>
            </w:pPr>
            <w:r>
              <w:rPr>
                <w:rFonts w:ascii="Courier New" w:cs="Courier New" w:eastAsia="Courier New" w:hAnsi="Courier New"/>
                <w:sz w:val="12"/>
                <w:szCs w:val="12"/>
                <w:b w:val="1"/>
                <w:bCs w:val="1"/>
                <w:color w:val="auto"/>
              </w:rPr>
              <w:t>3,296</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2,397</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7,184</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4,308</w:t>
            </w: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280" w:type="dxa"/>
            <w:vAlign w:val="bottom"/>
          </w:tcPr>
          <w:p>
            <w:pPr>
              <w:jc w:val="right"/>
              <w:ind w:right="15"/>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center"/>
              <w:ind w:lef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060" w:type="dxa"/>
            <w:vAlign w:val="bottom"/>
          </w:tcPr>
          <w:p>
            <w:pPr>
              <w:jc w:val="right"/>
              <w:spacing w:after="0"/>
              <w:rPr>
                <w:sz w:val="20"/>
                <w:szCs w:val="20"/>
                <w:color w:val="auto"/>
              </w:rPr>
            </w:pPr>
            <w:r>
              <w:rPr>
                <w:rFonts w:ascii="Courier New" w:cs="Courier New" w:eastAsia="Courier New" w:hAnsi="Courier New"/>
                <w:sz w:val="12"/>
                <w:szCs w:val="12"/>
                <w:color w:val="auto"/>
              </w:rPr>
              <w:t>Total revenues.........................................</w:t>
            </w:r>
          </w:p>
        </w:tc>
        <w:tc>
          <w:tcPr>
            <w:tcW w:w="1280" w:type="dxa"/>
            <w:vAlign w:val="bottom"/>
          </w:tcPr>
          <w:p>
            <w:pPr>
              <w:jc w:val="right"/>
              <w:ind w:right="155"/>
              <w:spacing w:after="0"/>
              <w:rPr>
                <w:sz w:val="20"/>
                <w:szCs w:val="20"/>
                <w:color w:val="auto"/>
              </w:rPr>
            </w:pPr>
            <w:r>
              <w:rPr>
                <w:rFonts w:ascii="Courier New" w:cs="Courier New" w:eastAsia="Courier New" w:hAnsi="Courier New"/>
                <w:sz w:val="12"/>
                <w:szCs w:val="12"/>
                <w:b w:val="1"/>
                <w:bCs w:val="1"/>
                <w:color w:val="auto"/>
              </w:rPr>
              <w:t>108,316</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96,424</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211,089</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189,206</w:t>
            </w:r>
          </w:p>
        </w:tc>
        <w:tc>
          <w:tcPr>
            <w:tcW w:w="0" w:type="dxa"/>
            <w:vAlign w:val="bottom"/>
          </w:tcPr>
          <w:p>
            <w:pPr>
              <w:spacing w:after="0"/>
              <w:rPr>
                <w:sz w:val="1"/>
                <w:szCs w:val="1"/>
                <w:color w:val="auto"/>
              </w:rPr>
            </w:pPr>
          </w:p>
        </w:tc>
      </w:tr>
      <w:tr>
        <w:trPr>
          <w:trHeight w:val="137"/>
        </w:trPr>
        <w:tc>
          <w:tcPr>
            <w:tcW w:w="4060" w:type="dxa"/>
            <w:vAlign w:val="bottom"/>
          </w:tcPr>
          <w:p>
            <w:pPr>
              <w:spacing w:after="0"/>
              <w:rPr>
                <w:sz w:val="11"/>
                <w:szCs w:val="11"/>
                <w:color w:val="auto"/>
              </w:rPr>
            </w:pPr>
          </w:p>
        </w:tc>
        <w:tc>
          <w:tcPr>
            <w:tcW w:w="1280" w:type="dxa"/>
            <w:vAlign w:val="bottom"/>
          </w:tcPr>
          <w:p>
            <w:pPr>
              <w:jc w:val="right"/>
              <w:ind w:right="15"/>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center"/>
              <w:ind w:lef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4060" w:type="dxa"/>
            <w:vAlign w:val="bottom"/>
          </w:tcPr>
          <w:p>
            <w:pPr>
              <w:spacing w:after="0"/>
              <w:rPr>
                <w:sz w:val="20"/>
                <w:szCs w:val="20"/>
                <w:color w:val="auto"/>
              </w:rPr>
            </w:pPr>
            <w:r>
              <w:rPr>
                <w:rFonts w:ascii="Courier New" w:cs="Courier New" w:eastAsia="Courier New" w:hAnsi="Courier New"/>
                <w:sz w:val="12"/>
                <w:szCs w:val="12"/>
                <w:b w:val="1"/>
                <w:bCs w:val="1"/>
                <w:color w:val="auto"/>
              </w:rPr>
              <w:t>Expenses:</w:t>
            </w:r>
          </w:p>
        </w:tc>
        <w:tc>
          <w:tcPr>
            <w:tcW w:w="1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060" w:type="dxa"/>
            <w:vAlign w:val="bottom"/>
          </w:tcPr>
          <w:p>
            <w:pPr>
              <w:jc w:val="right"/>
              <w:spacing w:after="0"/>
              <w:rPr>
                <w:sz w:val="20"/>
                <w:szCs w:val="20"/>
                <w:color w:val="auto"/>
              </w:rPr>
            </w:pPr>
            <w:r>
              <w:rPr>
                <w:rFonts w:ascii="Courier New" w:cs="Courier New" w:eastAsia="Courier New" w:hAnsi="Courier New"/>
                <w:sz w:val="12"/>
                <w:szCs w:val="12"/>
                <w:color w:val="auto"/>
              </w:rPr>
              <w:t>Operating and maintenance...........................</w:t>
            </w:r>
          </w:p>
        </w:tc>
        <w:tc>
          <w:tcPr>
            <w:tcW w:w="1280" w:type="dxa"/>
            <w:vAlign w:val="bottom"/>
          </w:tcPr>
          <w:p>
            <w:pPr>
              <w:jc w:val="right"/>
              <w:ind w:right="155"/>
              <w:spacing w:after="0"/>
              <w:rPr>
                <w:sz w:val="20"/>
                <w:szCs w:val="20"/>
                <w:color w:val="auto"/>
              </w:rPr>
            </w:pPr>
            <w:r>
              <w:rPr>
                <w:rFonts w:ascii="Courier New" w:cs="Courier New" w:eastAsia="Courier New" w:hAnsi="Courier New"/>
                <w:sz w:val="12"/>
                <w:szCs w:val="12"/>
                <w:b w:val="1"/>
                <w:bCs w:val="1"/>
                <w:color w:val="auto"/>
              </w:rPr>
              <w:t>26,931</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25,583</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52,956</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50,545</w:t>
            </w:r>
          </w:p>
        </w:tc>
        <w:tc>
          <w:tcPr>
            <w:tcW w:w="0" w:type="dxa"/>
            <w:vAlign w:val="bottom"/>
          </w:tcPr>
          <w:p>
            <w:pPr>
              <w:spacing w:after="0"/>
              <w:rPr>
                <w:sz w:val="1"/>
                <w:szCs w:val="1"/>
                <w:color w:val="auto"/>
              </w:rPr>
            </w:pPr>
          </w:p>
        </w:tc>
      </w:tr>
      <w:tr>
        <w:trPr>
          <w:trHeight w:val="135"/>
        </w:trPr>
        <w:tc>
          <w:tcPr>
            <w:tcW w:w="4060" w:type="dxa"/>
            <w:vAlign w:val="bottom"/>
          </w:tcPr>
          <w:p>
            <w:pPr>
              <w:jc w:val="right"/>
              <w:spacing w:after="0"/>
              <w:rPr>
                <w:sz w:val="20"/>
                <w:szCs w:val="20"/>
                <w:color w:val="auto"/>
              </w:rPr>
            </w:pPr>
            <w:r>
              <w:rPr>
                <w:rFonts w:ascii="Courier New" w:cs="Courier New" w:eastAsia="Courier New" w:hAnsi="Courier New"/>
                <w:sz w:val="12"/>
                <w:szCs w:val="12"/>
                <w:color w:val="auto"/>
              </w:rPr>
              <w:t>Depreciation and amortization.......................</w:t>
            </w:r>
          </w:p>
        </w:tc>
        <w:tc>
          <w:tcPr>
            <w:tcW w:w="1280" w:type="dxa"/>
            <w:vAlign w:val="bottom"/>
          </w:tcPr>
          <w:p>
            <w:pPr>
              <w:jc w:val="right"/>
              <w:ind w:right="155"/>
              <w:spacing w:after="0"/>
              <w:rPr>
                <w:sz w:val="20"/>
                <w:szCs w:val="20"/>
                <w:color w:val="auto"/>
              </w:rPr>
            </w:pPr>
            <w:r>
              <w:rPr>
                <w:rFonts w:ascii="Courier New" w:cs="Courier New" w:eastAsia="Courier New" w:hAnsi="Courier New"/>
                <w:sz w:val="12"/>
                <w:szCs w:val="12"/>
                <w:b w:val="1"/>
                <w:bCs w:val="1"/>
                <w:color w:val="auto"/>
              </w:rPr>
              <w:t>19,275</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17,810</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38,224</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35,475</w:t>
            </w:r>
          </w:p>
        </w:tc>
        <w:tc>
          <w:tcPr>
            <w:tcW w:w="0" w:type="dxa"/>
            <w:vAlign w:val="bottom"/>
          </w:tcPr>
          <w:p>
            <w:pPr>
              <w:spacing w:after="0"/>
              <w:rPr>
                <w:sz w:val="1"/>
                <w:szCs w:val="1"/>
                <w:color w:val="auto"/>
              </w:rPr>
            </w:pPr>
          </w:p>
        </w:tc>
      </w:tr>
      <w:tr>
        <w:trPr>
          <w:trHeight w:val="135"/>
        </w:trPr>
        <w:tc>
          <w:tcPr>
            <w:tcW w:w="4060" w:type="dxa"/>
            <w:vAlign w:val="bottom"/>
          </w:tcPr>
          <w:p>
            <w:pPr>
              <w:jc w:val="right"/>
              <w:spacing w:after="0"/>
              <w:rPr>
                <w:sz w:val="20"/>
                <w:szCs w:val="20"/>
                <w:color w:val="auto"/>
              </w:rPr>
            </w:pPr>
            <w:r>
              <w:rPr>
                <w:rFonts w:ascii="Courier New" w:cs="Courier New" w:eastAsia="Courier New" w:hAnsi="Courier New"/>
                <w:sz w:val="12"/>
                <w:szCs w:val="12"/>
                <w:color w:val="auto"/>
              </w:rPr>
              <w:t>General and administrative..........................</w:t>
            </w:r>
          </w:p>
        </w:tc>
        <w:tc>
          <w:tcPr>
            <w:tcW w:w="1280" w:type="dxa"/>
            <w:vAlign w:val="bottom"/>
          </w:tcPr>
          <w:p>
            <w:pPr>
              <w:jc w:val="right"/>
              <w:ind w:right="155"/>
              <w:spacing w:after="0"/>
              <w:rPr>
                <w:sz w:val="20"/>
                <w:szCs w:val="20"/>
                <w:color w:val="auto"/>
              </w:rPr>
            </w:pPr>
            <w:r>
              <w:rPr>
                <w:rFonts w:ascii="Courier New" w:cs="Courier New" w:eastAsia="Courier New" w:hAnsi="Courier New"/>
                <w:sz w:val="12"/>
                <w:szCs w:val="12"/>
                <w:b w:val="1"/>
                <w:bCs w:val="1"/>
                <w:color w:val="auto"/>
              </w:rPr>
              <w:t>3,197</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4,131</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6,138</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7,721</w:t>
            </w:r>
          </w:p>
        </w:tc>
        <w:tc>
          <w:tcPr>
            <w:tcW w:w="0" w:type="dxa"/>
            <w:vAlign w:val="bottom"/>
          </w:tcPr>
          <w:p>
            <w:pPr>
              <w:spacing w:after="0"/>
              <w:rPr>
                <w:sz w:val="1"/>
                <w:szCs w:val="1"/>
                <w:color w:val="auto"/>
              </w:rPr>
            </w:pPr>
          </w:p>
        </w:tc>
      </w:tr>
      <w:tr>
        <w:trPr>
          <w:trHeight w:val="135"/>
        </w:trPr>
        <w:tc>
          <w:tcPr>
            <w:tcW w:w="4060" w:type="dxa"/>
            <w:vAlign w:val="bottom"/>
          </w:tcPr>
          <w:p>
            <w:pPr>
              <w:jc w:val="right"/>
              <w:spacing w:after="0"/>
              <w:rPr>
                <w:sz w:val="20"/>
                <w:szCs w:val="20"/>
                <w:color w:val="auto"/>
              </w:rPr>
            </w:pPr>
            <w:r>
              <w:rPr>
                <w:rFonts w:ascii="Courier New" w:cs="Courier New" w:eastAsia="Courier New" w:hAnsi="Courier New"/>
                <w:sz w:val="12"/>
                <w:szCs w:val="12"/>
                <w:color w:val="auto"/>
              </w:rPr>
              <w:t>Other...............................................</w:t>
            </w:r>
          </w:p>
        </w:tc>
        <w:tc>
          <w:tcPr>
            <w:tcW w:w="1280" w:type="dxa"/>
            <w:vAlign w:val="bottom"/>
          </w:tcPr>
          <w:p>
            <w:pPr>
              <w:jc w:val="right"/>
              <w:ind w:right="155"/>
              <w:spacing w:after="0"/>
              <w:rPr>
                <w:sz w:val="20"/>
                <w:szCs w:val="20"/>
                <w:color w:val="auto"/>
              </w:rPr>
            </w:pPr>
            <w:r>
              <w:rPr>
                <w:rFonts w:ascii="Courier New" w:cs="Courier New" w:eastAsia="Courier New" w:hAnsi="Courier New"/>
                <w:sz w:val="12"/>
                <w:szCs w:val="12"/>
                <w:b w:val="1"/>
                <w:bCs w:val="1"/>
                <w:color w:val="auto"/>
              </w:rPr>
              <w:t>1,848</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647</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3,420</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3,052</w:t>
            </w: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280" w:type="dxa"/>
            <w:vAlign w:val="bottom"/>
          </w:tcPr>
          <w:p>
            <w:pPr>
              <w:jc w:val="right"/>
              <w:ind w:right="15"/>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center"/>
              <w:ind w:lef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060" w:type="dxa"/>
            <w:vAlign w:val="bottom"/>
          </w:tcPr>
          <w:p>
            <w:pPr>
              <w:jc w:val="right"/>
              <w:spacing w:after="0"/>
              <w:rPr>
                <w:sz w:val="20"/>
                <w:szCs w:val="20"/>
                <w:color w:val="auto"/>
              </w:rPr>
            </w:pPr>
            <w:r>
              <w:rPr>
                <w:rFonts w:ascii="Courier New" w:cs="Courier New" w:eastAsia="Courier New" w:hAnsi="Courier New"/>
                <w:sz w:val="12"/>
                <w:szCs w:val="12"/>
                <w:color w:val="auto"/>
              </w:rPr>
              <w:t>Total expenses.........................................</w:t>
            </w:r>
          </w:p>
        </w:tc>
        <w:tc>
          <w:tcPr>
            <w:tcW w:w="1280" w:type="dxa"/>
            <w:vAlign w:val="bottom"/>
          </w:tcPr>
          <w:p>
            <w:pPr>
              <w:jc w:val="right"/>
              <w:ind w:right="155"/>
              <w:spacing w:after="0"/>
              <w:rPr>
                <w:sz w:val="20"/>
                <w:szCs w:val="20"/>
                <w:color w:val="auto"/>
              </w:rPr>
            </w:pPr>
            <w:r>
              <w:rPr>
                <w:rFonts w:ascii="Courier New" w:cs="Courier New" w:eastAsia="Courier New" w:hAnsi="Courier New"/>
                <w:sz w:val="12"/>
                <w:szCs w:val="12"/>
                <w:b w:val="1"/>
                <w:bCs w:val="1"/>
                <w:color w:val="auto"/>
              </w:rPr>
              <w:t>51,251</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48,171</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100,738</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96,793</w:t>
            </w:r>
          </w:p>
        </w:tc>
        <w:tc>
          <w:tcPr>
            <w:tcW w:w="0" w:type="dxa"/>
            <w:vAlign w:val="bottom"/>
          </w:tcPr>
          <w:p>
            <w:pPr>
              <w:spacing w:after="0"/>
              <w:rPr>
                <w:sz w:val="1"/>
                <w:szCs w:val="1"/>
                <w:color w:val="auto"/>
              </w:rPr>
            </w:pPr>
          </w:p>
        </w:tc>
      </w:tr>
      <w:tr>
        <w:trPr>
          <w:trHeight w:val="137"/>
        </w:trPr>
        <w:tc>
          <w:tcPr>
            <w:tcW w:w="4060" w:type="dxa"/>
            <w:vAlign w:val="bottom"/>
          </w:tcPr>
          <w:p>
            <w:pPr>
              <w:spacing w:after="0"/>
              <w:rPr>
                <w:sz w:val="11"/>
                <w:szCs w:val="11"/>
                <w:color w:val="auto"/>
              </w:rPr>
            </w:pPr>
          </w:p>
        </w:tc>
        <w:tc>
          <w:tcPr>
            <w:tcW w:w="1280" w:type="dxa"/>
            <w:vAlign w:val="bottom"/>
          </w:tcPr>
          <w:p>
            <w:pPr>
              <w:jc w:val="right"/>
              <w:ind w:right="15"/>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center"/>
              <w:ind w:lef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4060" w:type="dxa"/>
            <w:vAlign w:val="bottom"/>
          </w:tcPr>
          <w:p>
            <w:pPr>
              <w:spacing w:after="0"/>
              <w:rPr>
                <w:sz w:val="20"/>
                <w:szCs w:val="20"/>
                <w:color w:val="auto"/>
              </w:rPr>
            </w:pPr>
            <w:r>
              <w:rPr>
                <w:rFonts w:ascii="Courier New" w:cs="Courier New" w:eastAsia="Courier New" w:hAnsi="Courier New"/>
                <w:sz w:val="12"/>
                <w:szCs w:val="12"/>
                <w:b w:val="1"/>
                <w:bCs w:val="1"/>
                <w:color w:val="auto"/>
              </w:rPr>
              <w:t>Income before unconsolidated investments,</w:t>
            </w:r>
          </w:p>
        </w:tc>
        <w:tc>
          <w:tcPr>
            <w:tcW w:w="1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40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interest expense, and discontinued operations</w:t>
            </w:r>
            <w:r>
              <w:rPr>
                <w:rFonts w:ascii="Courier New" w:cs="Courier New" w:eastAsia="Courier New" w:hAnsi="Courier New"/>
                <w:sz w:val="12"/>
                <w:szCs w:val="12"/>
                <w:color w:val="auto"/>
              </w:rPr>
              <w:t>..........</w:t>
            </w:r>
          </w:p>
        </w:tc>
        <w:tc>
          <w:tcPr>
            <w:tcW w:w="1280" w:type="dxa"/>
            <w:vAlign w:val="bottom"/>
          </w:tcPr>
          <w:p>
            <w:pPr>
              <w:jc w:val="right"/>
              <w:ind w:right="155"/>
              <w:spacing w:after="0"/>
              <w:rPr>
                <w:sz w:val="20"/>
                <w:szCs w:val="20"/>
                <w:color w:val="auto"/>
              </w:rPr>
            </w:pPr>
            <w:r>
              <w:rPr>
                <w:rFonts w:ascii="Courier New" w:cs="Courier New" w:eastAsia="Courier New" w:hAnsi="Courier New"/>
                <w:sz w:val="12"/>
                <w:szCs w:val="12"/>
                <w:b w:val="1"/>
                <w:bCs w:val="1"/>
                <w:color w:val="auto"/>
              </w:rPr>
              <w:t>57,065</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48,253</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110,351</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92,413</w:t>
            </w:r>
          </w:p>
        </w:tc>
        <w:tc>
          <w:tcPr>
            <w:tcW w:w="0" w:type="dxa"/>
            <w:vAlign w:val="bottom"/>
          </w:tcPr>
          <w:p>
            <w:pPr>
              <w:spacing w:after="0"/>
              <w:rPr>
                <w:sz w:val="1"/>
                <w:szCs w:val="1"/>
                <w:color w:val="auto"/>
              </w:rPr>
            </w:pPr>
          </w:p>
        </w:tc>
      </w:tr>
      <w:tr>
        <w:trPr>
          <w:trHeight w:val="268"/>
        </w:trPr>
        <w:tc>
          <w:tcPr>
            <w:tcW w:w="4060" w:type="dxa"/>
            <w:vAlign w:val="bottom"/>
          </w:tcPr>
          <w:p>
            <w:pPr>
              <w:jc w:val="right"/>
              <w:spacing w:after="0"/>
              <w:rPr>
                <w:sz w:val="20"/>
                <w:szCs w:val="20"/>
                <w:color w:val="auto"/>
              </w:rPr>
            </w:pPr>
            <w:r>
              <w:rPr>
                <w:rFonts w:ascii="Courier New" w:cs="Courier New" w:eastAsia="Courier New" w:hAnsi="Courier New"/>
                <w:sz w:val="12"/>
                <w:szCs w:val="12"/>
                <w:color w:val="auto"/>
              </w:rPr>
              <w:t>Income from unconsolidated investments.................</w:t>
            </w:r>
          </w:p>
        </w:tc>
        <w:tc>
          <w:tcPr>
            <w:tcW w:w="1280" w:type="dxa"/>
            <w:vAlign w:val="bottom"/>
          </w:tcPr>
          <w:p>
            <w:pPr>
              <w:jc w:val="right"/>
              <w:ind w:right="155"/>
              <w:spacing w:after="0"/>
              <w:rPr>
                <w:sz w:val="20"/>
                <w:szCs w:val="20"/>
                <w:color w:val="auto"/>
              </w:rPr>
            </w:pPr>
            <w:r>
              <w:rPr>
                <w:rFonts w:ascii="Courier New" w:cs="Courier New" w:eastAsia="Courier New" w:hAnsi="Courier New"/>
                <w:sz w:val="12"/>
                <w:szCs w:val="12"/>
                <w:b w:val="1"/>
                <w:bCs w:val="1"/>
                <w:color w:val="auto"/>
              </w:rPr>
              <w:t>7,283</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5,305</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13,347</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10,347</w:t>
            </w:r>
          </w:p>
        </w:tc>
        <w:tc>
          <w:tcPr>
            <w:tcW w:w="0" w:type="dxa"/>
            <w:vAlign w:val="bottom"/>
          </w:tcPr>
          <w:p>
            <w:pPr>
              <w:spacing w:after="0"/>
              <w:rPr>
                <w:sz w:val="1"/>
                <w:szCs w:val="1"/>
                <w:color w:val="auto"/>
              </w:rPr>
            </w:pPr>
          </w:p>
        </w:tc>
      </w:tr>
      <w:tr>
        <w:trPr>
          <w:trHeight w:val="135"/>
        </w:trPr>
        <w:tc>
          <w:tcPr>
            <w:tcW w:w="4060" w:type="dxa"/>
            <w:vAlign w:val="bottom"/>
          </w:tcPr>
          <w:p>
            <w:pPr>
              <w:jc w:val="right"/>
              <w:spacing w:after="0"/>
              <w:rPr>
                <w:sz w:val="20"/>
                <w:szCs w:val="20"/>
                <w:color w:val="auto"/>
              </w:rPr>
            </w:pPr>
            <w:r>
              <w:rPr>
                <w:rFonts w:ascii="Courier New" w:cs="Courier New" w:eastAsia="Courier New" w:hAnsi="Courier New"/>
                <w:sz w:val="12"/>
                <w:szCs w:val="12"/>
                <w:color w:val="auto"/>
              </w:rPr>
              <w:t>Interest expense.......................................</w:t>
            </w:r>
          </w:p>
        </w:tc>
        <w:tc>
          <w:tcPr>
            <w:tcW w:w="1280" w:type="dxa"/>
            <w:vAlign w:val="bottom"/>
          </w:tcPr>
          <w:p>
            <w:pPr>
              <w:jc w:val="right"/>
              <w:ind w:right="95"/>
              <w:spacing w:after="0"/>
              <w:rPr>
                <w:sz w:val="20"/>
                <w:szCs w:val="20"/>
                <w:color w:val="auto"/>
              </w:rPr>
            </w:pPr>
            <w:r>
              <w:rPr>
                <w:rFonts w:ascii="Courier New" w:cs="Courier New" w:eastAsia="Courier New" w:hAnsi="Courier New"/>
                <w:sz w:val="12"/>
                <w:szCs w:val="12"/>
                <w:b w:val="1"/>
                <w:bCs w:val="1"/>
                <w:color w:val="auto"/>
              </w:rPr>
              <w:t>(21,125)</w:t>
            </w:r>
          </w:p>
        </w:tc>
        <w:tc>
          <w:tcPr>
            <w:tcW w:w="12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(19,287)</w:t>
            </w:r>
          </w:p>
        </w:tc>
        <w:tc>
          <w:tcPr>
            <w:tcW w:w="104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(41,925)</w:t>
            </w:r>
          </w:p>
        </w:tc>
        <w:tc>
          <w:tcPr>
            <w:tcW w:w="11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(37,937)</w:t>
            </w: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280" w:type="dxa"/>
            <w:vAlign w:val="bottom"/>
          </w:tcPr>
          <w:p>
            <w:pPr>
              <w:jc w:val="right"/>
              <w:ind w:right="15"/>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center"/>
              <w:ind w:lef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060" w:type="dxa"/>
            <w:vAlign w:val="bottom"/>
          </w:tcPr>
          <w:p>
            <w:pPr>
              <w:jc w:val="right"/>
              <w:spacing w:after="0"/>
              <w:rPr>
                <w:sz w:val="20"/>
                <w:szCs w:val="20"/>
                <w:color w:val="auto"/>
              </w:rPr>
            </w:pPr>
            <w:r>
              <w:rPr>
                <w:rFonts w:ascii="Courier New" w:cs="Courier New" w:eastAsia="Courier New" w:hAnsi="Courier New"/>
                <w:sz w:val="12"/>
                <w:szCs w:val="12"/>
                <w:color w:val="auto"/>
              </w:rPr>
              <w:t>Income from continuing operations......................</w:t>
            </w:r>
          </w:p>
        </w:tc>
        <w:tc>
          <w:tcPr>
            <w:tcW w:w="1280" w:type="dxa"/>
            <w:vAlign w:val="bottom"/>
          </w:tcPr>
          <w:p>
            <w:pPr>
              <w:jc w:val="right"/>
              <w:ind w:right="155"/>
              <w:spacing w:after="0"/>
              <w:rPr>
                <w:sz w:val="20"/>
                <w:szCs w:val="20"/>
                <w:color w:val="auto"/>
              </w:rPr>
            </w:pPr>
            <w:r>
              <w:rPr>
                <w:rFonts w:ascii="Courier New" w:cs="Courier New" w:eastAsia="Courier New" w:hAnsi="Courier New"/>
                <w:sz w:val="12"/>
                <w:szCs w:val="12"/>
                <w:b w:val="1"/>
                <w:bCs w:val="1"/>
                <w:color w:val="auto"/>
              </w:rPr>
              <w:t>43,223</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34,271</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81,773</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64,823</w:t>
            </w:r>
          </w:p>
        </w:tc>
        <w:tc>
          <w:tcPr>
            <w:tcW w:w="0" w:type="dxa"/>
            <w:vAlign w:val="bottom"/>
          </w:tcPr>
          <w:p>
            <w:pPr>
              <w:spacing w:after="0"/>
              <w:rPr>
                <w:sz w:val="1"/>
                <w:szCs w:val="1"/>
                <w:color w:val="auto"/>
              </w:rPr>
            </w:pPr>
          </w:p>
        </w:tc>
      </w:tr>
      <w:tr>
        <w:trPr>
          <w:trHeight w:val="135"/>
        </w:trPr>
        <w:tc>
          <w:tcPr>
            <w:tcW w:w="4060" w:type="dxa"/>
            <w:vAlign w:val="bottom"/>
          </w:tcPr>
          <w:p>
            <w:pPr>
              <w:jc w:val="right"/>
              <w:spacing w:after="0"/>
              <w:rPr>
                <w:sz w:val="20"/>
                <w:szCs w:val="20"/>
                <w:color w:val="auto"/>
              </w:rPr>
            </w:pPr>
            <w:r>
              <w:rPr>
                <w:rFonts w:ascii="Courier New" w:cs="Courier New" w:eastAsia="Courier New" w:hAnsi="Courier New"/>
                <w:sz w:val="12"/>
                <w:szCs w:val="12"/>
                <w:color w:val="auto"/>
              </w:rPr>
              <w:t>Income from discontinued operations....................</w:t>
            </w:r>
          </w:p>
        </w:tc>
        <w:tc>
          <w:tcPr>
            <w:tcW w:w="1280" w:type="dxa"/>
            <w:vAlign w:val="bottom"/>
          </w:tcPr>
          <w:p>
            <w:pPr>
              <w:jc w:val="right"/>
              <w:ind w:right="235"/>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54</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53</w:t>
            </w: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280" w:type="dxa"/>
            <w:vAlign w:val="bottom"/>
          </w:tcPr>
          <w:p>
            <w:pPr>
              <w:jc w:val="right"/>
              <w:ind w:right="15"/>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center"/>
              <w:ind w:lef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0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Net income</w:t>
            </w:r>
            <w:r>
              <w:rPr>
                <w:rFonts w:ascii="Courier New" w:cs="Courier New" w:eastAsia="Courier New" w:hAnsi="Courier New"/>
                <w:sz w:val="12"/>
                <w:szCs w:val="12"/>
                <w:color w:val="auto"/>
              </w:rPr>
              <w:t>.............................................</w:t>
            </w:r>
          </w:p>
        </w:tc>
        <w:tc>
          <w:tcPr>
            <w:tcW w:w="1280" w:type="dxa"/>
            <w:vAlign w:val="bottom"/>
          </w:tcPr>
          <w:p>
            <w:pPr>
              <w:jc w:val="right"/>
              <w:ind w:right="155"/>
              <w:spacing w:after="0"/>
              <w:rPr>
                <w:sz w:val="20"/>
                <w:szCs w:val="20"/>
                <w:color w:val="auto"/>
              </w:rPr>
            </w:pPr>
            <w:r>
              <w:rPr>
                <w:rFonts w:ascii="Courier New" w:cs="Courier New" w:eastAsia="Courier New" w:hAnsi="Courier New"/>
                <w:sz w:val="12"/>
                <w:szCs w:val="12"/>
                <w:b w:val="1"/>
                <w:bCs w:val="1"/>
                <w:color w:val="auto"/>
              </w:rPr>
              <w:t>43,223</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34,325</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81,773</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64,876</w:t>
            </w:r>
          </w:p>
        </w:tc>
        <w:tc>
          <w:tcPr>
            <w:tcW w:w="0" w:type="dxa"/>
            <w:vAlign w:val="bottom"/>
          </w:tcPr>
          <w:p>
            <w:pPr>
              <w:spacing w:after="0"/>
              <w:rPr>
                <w:sz w:val="1"/>
                <w:szCs w:val="1"/>
                <w:color w:val="auto"/>
              </w:rPr>
            </w:pPr>
          </w:p>
        </w:tc>
      </w:tr>
      <w:tr>
        <w:trPr>
          <w:trHeight w:val="135"/>
        </w:trPr>
        <w:tc>
          <w:tcPr>
            <w:tcW w:w="4060" w:type="dxa"/>
            <w:vAlign w:val="bottom"/>
          </w:tcPr>
          <w:p>
            <w:pPr>
              <w:jc w:val="right"/>
              <w:spacing w:after="0"/>
              <w:rPr>
                <w:sz w:val="20"/>
                <w:szCs w:val="20"/>
                <w:color w:val="auto"/>
              </w:rPr>
            </w:pPr>
            <w:r>
              <w:rPr>
                <w:rFonts w:ascii="Courier New" w:cs="Courier New" w:eastAsia="Courier New" w:hAnsi="Courier New"/>
                <w:sz w:val="12"/>
                <w:szCs w:val="12"/>
                <w:color w:val="auto"/>
              </w:rPr>
              <w:t>Preferred unit requirement.............................</w:t>
            </w:r>
          </w:p>
        </w:tc>
        <w:tc>
          <w:tcPr>
            <w:tcW w:w="1280" w:type="dxa"/>
            <w:vAlign w:val="bottom"/>
          </w:tcPr>
          <w:p>
            <w:pPr>
              <w:jc w:val="right"/>
              <w:ind w:right="235"/>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(2,296)</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(4,592)</w:t>
            </w: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280" w:type="dxa"/>
            <w:vAlign w:val="bottom"/>
          </w:tcPr>
          <w:p>
            <w:pPr>
              <w:jc w:val="right"/>
              <w:ind w:right="15"/>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center"/>
              <w:ind w:lef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0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Net income available to common unitholders</w:t>
            </w:r>
            <w:r>
              <w:rPr>
                <w:rFonts w:ascii="Courier New" w:cs="Courier New" w:eastAsia="Courier New" w:hAnsi="Courier New"/>
                <w:sz w:val="12"/>
                <w:szCs w:val="12"/>
                <w:color w:val="auto"/>
              </w:rPr>
              <w:t>.............</w:t>
            </w:r>
          </w:p>
        </w:tc>
        <w:tc>
          <w:tcPr>
            <w:tcW w:w="1280" w:type="dxa"/>
            <w:vAlign w:val="bottom"/>
          </w:tcPr>
          <w:p>
            <w:pPr>
              <w:jc w:val="right"/>
              <w:ind w:right="155"/>
              <w:spacing w:after="0"/>
              <w:rPr>
                <w:sz w:val="20"/>
                <w:szCs w:val="20"/>
                <w:color w:val="auto"/>
              </w:rPr>
            </w:pPr>
            <w:r>
              <w:rPr>
                <w:rFonts w:ascii="Courier New" w:cs="Courier New" w:eastAsia="Courier New" w:hAnsi="Courier New"/>
                <w:sz w:val="12"/>
                <w:szCs w:val="12"/>
                <w:b w:val="1"/>
                <w:bCs w:val="1"/>
                <w:color w:val="auto"/>
              </w:rPr>
              <w:t>$ 43,223</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$ 32,029</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$ 81,773</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$ 60,284</w:t>
            </w:r>
          </w:p>
        </w:tc>
        <w:tc>
          <w:tcPr>
            <w:tcW w:w="0" w:type="dxa"/>
            <w:vAlign w:val="bottom"/>
          </w:tcPr>
          <w:p>
            <w:pPr>
              <w:spacing w:after="0"/>
              <w:rPr>
                <w:sz w:val="1"/>
                <w:szCs w:val="1"/>
                <w:color w:val="auto"/>
              </w:rPr>
            </w:pPr>
          </w:p>
        </w:tc>
      </w:tr>
      <w:tr>
        <w:trPr>
          <w:trHeight w:val="137"/>
        </w:trPr>
        <w:tc>
          <w:tcPr>
            <w:tcW w:w="4060" w:type="dxa"/>
            <w:vAlign w:val="bottom"/>
          </w:tcPr>
          <w:p>
            <w:pPr>
              <w:spacing w:after="0"/>
              <w:rPr>
                <w:sz w:val="11"/>
                <w:szCs w:val="11"/>
                <w:color w:val="auto"/>
              </w:rPr>
            </w:pPr>
          </w:p>
        </w:tc>
        <w:tc>
          <w:tcPr>
            <w:tcW w:w="1280" w:type="dxa"/>
            <w:vAlign w:val="bottom"/>
          </w:tcPr>
          <w:p>
            <w:pPr>
              <w:jc w:val="right"/>
              <w:ind w:right="15"/>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center"/>
              <w:ind w:lef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4060" w:type="dxa"/>
            <w:vAlign w:val="bottom"/>
          </w:tcPr>
          <w:p>
            <w:pPr>
              <w:spacing w:after="0"/>
              <w:rPr>
                <w:sz w:val="20"/>
                <w:szCs w:val="20"/>
                <w:color w:val="auto"/>
              </w:rPr>
            </w:pPr>
            <w:r>
              <w:rPr>
                <w:rFonts w:ascii="Courier New" w:cs="Courier New" w:eastAsia="Courier New" w:hAnsi="Courier New"/>
                <w:sz w:val="12"/>
                <w:szCs w:val="12"/>
                <w:b w:val="1"/>
                <w:bCs w:val="1"/>
                <w:color w:val="auto"/>
              </w:rPr>
              <w:t>Net income to common unitholders:</w:t>
            </w:r>
          </w:p>
        </w:tc>
        <w:tc>
          <w:tcPr>
            <w:tcW w:w="1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060" w:type="dxa"/>
            <w:vAlign w:val="bottom"/>
          </w:tcPr>
          <w:p>
            <w:pPr>
              <w:jc w:val="right"/>
              <w:spacing w:after="0"/>
              <w:rPr>
                <w:sz w:val="20"/>
                <w:szCs w:val="20"/>
                <w:color w:val="auto"/>
              </w:rPr>
            </w:pPr>
            <w:r>
              <w:rPr>
                <w:rFonts w:ascii="Courier New" w:cs="Courier New" w:eastAsia="Courier New" w:hAnsi="Courier New"/>
                <w:sz w:val="12"/>
                <w:szCs w:val="12"/>
                <w:color w:val="auto"/>
              </w:rPr>
              <w:t>Chelsea Property Group, Inc............................</w:t>
            </w:r>
          </w:p>
        </w:tc>
        <w:tc>
          <w:tcPr>
            <w:tcW w:w="1280" w:type="dxa"/>
            <w:vAlign w:val="bottom"/>
          </w:tcPr>
          <w:p>
            <w:pPr>
              <w:jc w:val="right"/>
              <w:ind w:right="155"/>
              <w:spacing w:after="0"/>
              <w:rPr>
                <w:sz w:val="20"/>
                <w:szCs w:val="20"/>
                <w:color w:val="auto"/>
              </w:rPr>
            </w:pPr>
            <w:r>
              <w:rPr>
                <w:rFonts w:ascii="Courier New" w:cs="Courier New" w:eastAsia="Courier New" w:hAnsi="Courier New"/>
                <w:sz w:val="12"/>
                <w:szCs w:val="12"/>
                <w:b w:val="1"/>
                <w:bCs w:val="1"/>
                <w:color w:val="auto"/>
              </w:rPr>
              <w:t>$ 28,819</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$ 27,536</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$ 61,359</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$51,744</w:t>
            </w:r>
          </w:p>
        </w:tc>
        <w:tc>
          <w:tcPr>
            <w:tcW w:w="0" w:type="dxa"/>
            <w:vAlign w:val="bottom"/>
          </w:tcPr>
          <w:p>
            <w:pPr>
              <w:spacing w:after="0"/>
              <w:rPr>
                <w:sz w:val="1"/>
                <w:szCs w:val="1"/>
                <w:color w:val="auto"/>
              </w:rPr>
            </w:pPr>
          </w:p>
        </w:tc>
      </w:tr>
      <w:tr>
        <w:trPr>
          <w:trHeight w:val="135"/>
        </w:trPr>
        <w:tc>
          <w:tcPr>
            <w:tcW w:w="4060" w:type="dxa"/>
            <w:vAlign w:val="bottom"/>
          </w:tcPr>
          <w:p>
            <w:pPr>
              <w:jc w:val="right"/>
              <w:spacing w:after="0"/>
              <w:rPr>
                <w:sz w:val="20"/>
                <w:szCs w:val="20"/>
                <w:color w:val="auto"/>
              </w:rPr>
            </w:pPr>
            <w:r>
              <w:rPr>
                <w:rFonts w:ascii="Courier New" w:cs="Courier New" w:eastAsia="Courier New" w:hAnsi="Courier New"/>
                <w:sz w:val="12"/>
                <w:szCs w:val="12"/>
                <w:color w:val="auto"/>
              </w:rPr>
              <w:t>Simon Property Group, LP...............................</w:t>
            </w:r>
          </w:p>
        </w:tc>
        <w:tc>
          <w:tcPr>
            <w:tcW w:w="1280" w:type="dxa"/>
            <w:vAlign w:val="bottom"/>
          </w:tcPr>
          <w:p>
            <w:pPr>
              <w:jc w:val="right"/>
              <w:ind w:right="155"/>
              <w:spacing w:after="0"/>
              <w:rPr>
                <w:sz w:val="20"/>
                <w:szCs w:val="20"/>
                <w:color w:val="auto"/>
              </w:rPr>
            </w:pPr>
            <w:r>
              <w:rPr>
                <w:rFonts w:ascii="Courier New" w:cs="Courier New" w:eastAsia="Courier New" w:hAnsi="Courier New"/>
                <w:sz w:val="12"/>
                <w:szCs w:val="12"/>
                <w:b w:val="1"/>
                <w:bCs w:val="1"/>
                <w:color w:val="auto"/>
              </w:rPr>
              <w:t>6,738</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4,493</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12,748</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8,540</w:t>
            </w:r>
          </w:p>
        </w:tc>
        <w:tc>
          <w:tcPr>
            <w:tcW w:w="0" w:type="dxa"/>
            <w:vAlign w:val="bottom"/>
          </w:tcPr>
          <w:p>
            <w:pPr>
              <w:spacing w:after="0"/>
              <w:rPr>
                <w:sz w:val="1"/>
                <w:szCs w:val="1"/>
                <w:color w:val="auto"/>
              </w:rPr>
            </w:pPr>
          </w:p>
        </w:tc>
      </w:tr>
      <w:tr>
        <w:trPr>
          <w:trHeight w:val="135"/>
        </w:trPr>
        <w:tc>
          <w:tcPr>
            <w:tcW w:w="4060" w:type="dxa"/>
            <w:vAlign w:val="bottom"/>
          </w:tcPr>
          <w:p>
            <w:pPr>
              <w:jc w:val="right"/>
              <w:spacing w:after="0"/>
              <w:rPr>
                <w:sz w:val="20"/>
                <w:szCs w:val="20"/>
                <w:color w:val="auto"/>
              </w:rPr>
            </w:pPr>
            <w:r>
              <w:rPr>
                <w:rFonts w:ascii="Courier New" w:cs="Courier New" w:eastAsia="Courier New" w:hAnsi="Courier New"/>
                <w:sz w:val="12"/>
                <w:szCs w:val="12"/>
                <w:color w:val="auto"/>
              </w:rPr>
              <w:t>CPG Holdings, LLC......................................</w:t>
            </w:r>
          </w:p>
        </w:tc>
        <w:tc>
          <w:tcPr>
            <w:tcW w:w="1280" w:type="dxa"/>
            <w:vAlign w:val="bottom"/>
          </w:tcPr>
          <w:p>
            <w:pPr>
              <w:jc w:val="right"/>
              <w:ind w:right="155"/>
              <w:spacing w:after="0"/>
              <w:rPr>
                <w:sz w:val="20"/>
                <w:szCs w:val="20"/>
                <w:color w:val="auto"/>
              </w:rPr>
            </w:pPr>
            <w:r>
              <w:rPr>
                <w:rFonts w:ascii="Courier New" w:cs="Courier New" w:eastAsia="Courier New" w:hAnsi="Courier New"/>
                <w:sz w:val="12"/>
                <w:szCs w:val="12"/>
                <w:b w:val="1"/>
                <w:bCs w:val="1"/>
                <w:color w:val="auto"/>
              </w:rPr>
              <w:t>7,666</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7,666</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280" w:type="dxa"/>
            <w:vAlign w:val="bottom"/>
          </w:tcPr>
          <w:p>
            <w:pPr>
              <w:jc w:val="right"/>
              <w:ind w:right="15"/>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center"/>
              <w:ind w:lef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0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Total</w:t>
            </w:r>
            <w:r>
              <w:rPr>
                <w:rFonts w:ascii="Courier New" w:cs="Courier New" w:eastAsia="Courier New" w:hAnsi="Courier New"/>
                <w:sz w:val="12"/>
                <w:szCs w:val="12"/>
                <w:color w:val="auto"/>
              </w:rPr>
              <w:t>..................................................</w:t>
            </w:r>
          </w:p>
        </w:tc>
        <w:tc>
          <w:tcPr>
            <w:tcW w:w="1280" w:type="dxa"/>
            <w:vAlign w:val="bottom"/>
          </w:tcPr>
          <w:p>
            <w:pPr>
              <w:jc w:val="right"/>
              <w:ind w:right="155"/>
              <w:spacing w:after="0"/>
              <w:rPr>
                <w:sz w:val="20"/>
                <w:szCs w:val="20"/>
                <w:color w:val="auto"/>
              </w:rPr>
            </w:pPr>
            <w:r>
              <w:rPr>
                <w:rFonts w:ascii="Courier New" w:cs="Courier New" w:eastAsia="Courier New" w:hAnsi="Courier New"/>
                <w:sz w:val="12"/>
                <w:szCs w:val="12"/>
                <w:b w:val="1"/>
                <w:bCs w:val="1"/>
                <w:color w:val="auto"/>
              </w:rPr>
              <w:t>$ 43,223</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$32,029</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$81,773</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$60,284</w:t>
            </w:r>
          </w:p>
        </w:tc>
        <w:tc>
          <w:tcPr>
            <w:tcW w:w="0" w:type="dxa"/>
            <w:vAlign w:val="bottom"/>
          </w:tcPr>
          <w:p>
            <w:pPr>
              <w:spacing w:after="0"/>
              <w:rPr>
                <w:sz w:val="1"/>
                <w:szCs w:val="1"/>
                <w:color w:val="auto"/>
              </w:rPr>
            </w:pPr>
          </w:p>
        </w:tc>
      </w:tr>
      <w:tr>
        <w:trPr>
          <w:trHeight w:val="137"/>
        </w:trPr>
        <w:tc>
          <w:tcPr>
            <w:tcW w:w="4060" w:type="dxa"/>
            <w:vAlign w:val="bottom"/>
          </w:tcPr>
          <w:p>
            <w:pPr>
              <w:spacing w:after="0"/>
              <w:rPr>
                <w:sz w:val="11"/>
                <w:szCs w:val="11"/>
                <w:color w:val="auto"/>
              </w:rPr>
            </w:pPr>
          </w:p>
        </w:tc>
        <w:tc>
          <w:tcPr>
            <w:tcW w:w="1280" w:type="dxa"/>
            <w:vAlign w:val="bottom"/>
          </w:tcPr>
          <w:p>
            <w:pPr>
              <w:jc w:val="right"/>
              <w:ind w:right="15"/>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center"/>
              <w:ind w:lef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Courier New" w:cs="Courier New" w:eastAsia="Courier New" w:hAnsi="Courier New"/>
                <w:sz w:val="12"/>
                <w:szCs w:val="12"/>
                <w:b w:val="1"/>
                <w:bCs w:val="1"/>
                <w:color w:val="auto"/>
              </w:rPr>
              <w:t>Net income per common unit:</w:t>
            </w:r>
          </w:p>
        </w:tc>
        <w:tc>
          <w:tcPr>
            <w:tcW w:w="1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4060" w:type="dxa"/>
            <w:vAlign w:val="bottom"/>
          </w:tcPr>
          <w:p>
            <w:pPr>
              <w:jc w:val="right"/>
              <w:spacing w:after="0"/>
              <w:rPr>
                <w:sz w:val="20"/>
                <w:szCs w:val="20"/>
                <w:color w:val="auto"/>
              </w:rPr>
            </w:pPr>
            <w:r>
              <w:rPr>
                <w:rFonts w:ascii="Courier New" w:cs="Courier New" w:eastAsia="Courier New" w:hAnsi="Courier New"/>
                <w:sz w:val="12"/>
                <w:szCs w:val="12"/>
                <w:color w:val="auto"/>
              </w:rPr>
              <w:t>Chelsea Property Group, Inc............................</w:t>
            </w:r>
          </w:p>
        </w:tc>
        <w:tc>
          <w:tcPr>
            <w:tcW w:w="1280" w:type="dxa"/>
            <w:vAlign w:val="bottom"/>
          </w:tcPr>
          <w:p>
            <w:pPr>
              <w:jc w:val="right"/>
              <w:ind w:right="155"/>
              <w:spacing w:after="0"/>
              <w:rPr>
                <w:sz w:val="20"/>
                <w:szCs w:val="20"/>
                <w:color w:val="auto"/>
              </w:rPr>
            </w:pPr>
            <w:r>
              <w:rPr>
                <w:rFonts w:ascii="Courier New" w:cs="Courier New" w:eastAsia="Courier New" w:hAnsi="Courier New"/>
                <w:sz w:val="12"/>
                <w:szCs w:val="12"/>
                <w:b w:val="1"/>
                <w:bCs w:val="1"/>
                <w:color w:val="auto"/>
              </w:rPr>
              <w:t>$0.83</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$0.62</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$1.55</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$1.18</w:t>
            </w:r>
          </w:p>
        </w:tc>
        <w:tc>
          <w:tcPr>
            <w:tcW w:w="0" w:type="dxa"/>
            <w:vAlign w:val="bottom"/>
          </w:tcPr>
          <w:p>
            <w:pPr>
              <w:spacing w:after="0"/>
              <w:rPr>
                <w:sz w:val="1"/>
                <w:szCs w:val="1"/>
                <w:color w:val="auto"/>
              </w:rPr>
            </w:pPr>
          </w:p>
        </w:tc>
      </w:tr>
      <w:tr>
        <w:trPr>
          <w:trHeight w:val="135"/>
        </w:trPr>
        <w:tc>
          <w:tcPr>
            <w:tcW w:w="4060" w:type="dxa"/>
            <w:vAlign w:val="bottom"/>
          </w:tcPr>
          <w:p>
            <w:pPr>
              <w:jc w:val="right"/>
              <w:spacing w:after="0"/>
              <w:rPr>
                <w:sz w:val="20"/>
                <w:szCs w:val="20"/>
                <w:color w:val="auto"/>
              </w:rPr>
            </w:pPr>
            <w:r>
              <w:rPr>
                <w:rFonts w:ascii="Courier New" w:cs="Courier New" w:eastAsia="Courier New" w:hAnsi="Courier New"/>
                <w:sz w:val="12"/>
                <w:szCs w:val="12"/>
                <w:color w:val="auto"/>
              </w:rPr>
              <w:t>Simon Property Group, LP...............................</w:t>
            </w:r>
          </w:p>
        </w:tc>
        <w:tc>
          <w:tcPr>
            <w:tcW w:w="1280" w:type="dxa"/>
            <w:vAlign w:val="bottom"/>
          </w:tcPr>
          <w:p>
            <w:pPr>
              <w:jc w:val="right"/>
              <w:ind w:right="155"/>
              <w:spacing w:after="0"/>
              <w:rPr>
                <w:sz w:val="20"/>
                <w:szCs w:val="20"/>
                <w:color w:val="auto"/>
              </w:rPr>
            </w:pPr>
            <w:r>
              <w:rPr>
                <w:rFonts w:ascii="Courier New" w:cs="Courier New" w:eastAsia="Courier New" w:hAnsi="Courier New"/>
                <w:sz w:val="12"/>
                <w:szCs w:val="12"/>
                <w:b w:val="1"/>
                <w:bCs w:val="1"/>
                <w:color w:val="auto"/>
              </w:rPr>
              <w:t>$0.83</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$0.62</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$1.56</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$1.18</w:t>
            </w:r>
          </w:p>
        </w:tc>
        <w:tc>
          <w:tcPr>
            <w:tcW w:w="0" w:type="dxa"/>
            <w:vAlign w:val="bottom"/>
          </w:tcPr>
          <w:p>
            <w:pPr>
              <w:spacing w:after="0"/>
              <w:rPr>
                <w:sz w:val="1"/>
                <w:szCs w:val="1"/>
                <w:color w:val="auto"/>
              </w:rPr>
            </w:pPr>
          </w:p>
        </w:tc>
      </w:tr>
      <w:tr>
        <w:trPr>
          <w:trHeight w:val="137"/>
        </w:trPr>
        <w:tc>
          <w:tcPr>
            <w:tcW w:w="4060" w:type="dxa"/>
            <w:vAlign w:val="bottom"/>
          </w:tcPr>
          <w:p>
            <w:pPr>
              <w:jc w:val="right"/>
              <w:spacing w:after="0"/>
              <w:rPr>
                <w:sz w:val="20"/>
                <w:szCs w:val="20"/>
                <w:color w:val="auto"/>
              </w:rPr>
            </w:pPr>
            <w:r>
              <w:rPr>
                <w:rFonts w:ascii="Courier New" w:cs="Courier New" w:eastAsia="Courier New" w:hAnsi="Courier New"/>
                <w:sz w:val="12"/>
                <w:szCs w:val="12"/>
                <w:color w:val="auto"/>
              </w:rPr>
              <w:t>CPG Holdings, LLC......................................</w:t>
            </w:r>
          </w:p>
        </w:tc>
        <w:tc>
          <w:tcPr>
            <w:tcW w:w="1280" w:type="dxa"/>
            <w:vAlign w:val="bottom"/>
          </w:tcPr>
          <w:p>
            <w:pPr>
              <w:jc w:val="right"/>
              <w:ind w:right="155"/>
              <w:spacing w:after="0"/>
              <w:rPr>
                <w:sz w:val="20"/>
                <w:szCs w:val="20"/>
                <w:color w:val="auto"/>
              </w:rPr>
            </w:pPr>
            <w:r>
              <w:rPr>
                <w:rFonts w:ascii="Courier New" w:cs="Courier New" w:eastAsia="Courier New" w:hAnsi="Courier New"/>
                <w:sz w:val="12"/>
                <w:szCs w:val="12"/>
                <w:b w:val="1"/>
                <w:bCs w:val="1"/>
                <w:color w:val="auto"/>
              </w:rPr>
              <w:t>$0.83</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$1.64</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4060" w:type="dxa"/>
            <w:vAlign w:val="bottom"/>
          </w:tcPr>
          <w:p>
            <w:pPr>
              <w:spacing w:after="0"/>
              <w:rPr>
                <w:sz w:val="20"/>
                <w:szCs w:val="20"/>
                <w:color w:val="auto"/>
              </w:rPr>
            </w:pPr>
            <w:r>
              <w:rPr>
                <w:rFonts w:ascii="Courier New" w:cs="Courier New" w:eastAsia="Courier New" w:hAnsi="Courier New"/>
                <w:sz w:val="12"/>
                <w:szCs w:val="12"/>
                <w:b w:val="1"/>
                <w:bCs w:val="1"/>
                <w:color w:val="auto"/>
              </w:rPr>
              <w:t>Weighted average common units outstanding:</w:t>
            </w:r>
          </w:p>
        </w:tc>
        <w:tc>
          <w:tcPr>
            <w:tcW w:w="1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060" w:type="dxa"/>
            <w:vAlign w:val="bottom"/>
          </w:tcPr>
          <w:p>
            <w:pPr>
              <w:jc w:val="right"/>
              <w:spacing w:after="0"/>
              <w:rPr>
                <w:sz w:val="20"/>
                <w:szCs w:val="20"/>
                <w:color w:val="auto"/>
              </w:rPr>
            </w:pPr>
            <w:r>
              <w:rPr>
                <w:rFonts w:ascii="Courier New" w:cs="Courier New" w:eastAsia="Courier New" w:hAnsi="Courier New"/>
                <w:sz w:val="12"/>
                <w:szCs w:val="12"/>
                <w:color w:val="auto"/>
              </w:rPr>
              <w:t>Chelsea Property Group, Inc............................</w:t>
            </w:r>
          </w:p>
        </w:tc>
        <w:tc>
          <w:tcPr>
            <w:tcW w:w="1280" w:type="dxa"/>
            <w:vAlign w:val="bottom"/>
          </w:tcPr>
          <w:p>
            <w:pPr>
              <w:jc w:val="right"/>
              <w:ind w:right="155"/>
              <w:spacing w:after="0"/>
              <w:rPr>
                <w:sz w:val="20"/>
                <w:szCs w:val="20"/>
                <w:color w:val="auto"/>
              </w:rPr>
            </w:pPr>
            <w:r>
              <w:rPr>
                <w:rFonts w:ascii="Courier New" w:cs="Courier New" w:eastAsia="Courier New" w:hAnsi="Courier New"/>
                <w:sz w:val="12"/>
                <w:szCs w:val="12"/>
                <w:b w:val="1"/>
                <w:bCs w:val="1"/>
                <w:color w:val="auto"/>
              </w:rPr>
              <w:t>34,917</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44,143</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39,536</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43,945</w:t>
            </w:r>
          </w:p>
        </w:tc>
        <w:tc>
          <w:tcPr>
            <w:tcW w:w="0" w:type="dxa"/>
            <w:vAlign w:val="bottom"/>
          </w:tcPr>
          <w:p>
            <w:pPr>
              <w:spacing w:after="0"/>
              <w:rPr>
                <w:sz w:val="1"/>
                <w:szCs w:val="1"/>
                <w:color w:val="auto"/>
              </w:rPr>
            </w:pPr>
          </w:p>
        </w:tc>
      </w:tr>
      <w:tr>
        <w:trPr>
          <w:trHeight w:val="135"/>
        </w:trPr>
        <w:tc>
          <w:tcPr>
            <w:tcW w:w="4060" w:type="dxa"/>
            <w:vAlign w:val="bottom"/>
          </w:tcPr>
          <w:p>
            <w:pPr>
              <w:jc w:val="right"/>
              <w:spacing w:after="0"/>
              <w:rPr>
                <w:sz w:val="20"/>
                <w:szCs w:val="20"/>
                <w:color w:val="auto"/>
              </w:rPr>
            </w:pPr>
            <w:r>
              <w:rPr>
                <w:rFonts w:ascii="Courier New" w:cs="Courier New" w:eastAsia="Courier New" w:hAnsi="Courier New"/>
                <w:sz w:val="12"/>
                <w:szCs w:val="12"/>
                <w:color w:val="auto"/>
              </w:rPr>
              <w:t>Simon Property Group, LP...............................</w:t>
            </w:r>
          </w:p>
        </w:tc>
        <w:tc>
          <w:tcPr>
            <w:tcW w:w="1280" w:type="dxa"/>
            <w:vAlign w:val="bottom"/>
          </w:tcPr>
          <w:p>
            <w:pPr>
              <w:jc w:val="right"/>
              <w:ind w:right="155"/>
              <w:spacing w:after="0"/>
              <w:rPr>
                <w:sz w:val="20"/>
                <w:szCs w:val="20"/>
                <w:color w:val="auto"/>
              </w:rPr>
            </w:pPr>
            <w:r>
              <w:rPr>
                <w:rFonts w:ascii="Courier New" w:cs="Courier New" w:eastAsia="Courier New" w:hAnsi="Courier New"/>
                <w:sz w:val="12"/>
                <w:szCs w:val="12"/>
                <w:b w:val="1"/>
                <w:bCs w:val="1"/>
                <w:color w:val="auto"/>
              </w:rPr>
              <w:t>8,164</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7,203</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8,164</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7,258</w:t>
            </w:r>
          </w:p>
        </w:tc>
        <w:tc>
          <w:tcPr>
            <w:tcW w:w="0" w:type="dxa"/>
            <w:vAlign w:val="bottom"/>
          </w:tcPr>
          <w:p>
            <w:pPr>
              <w:spacing w:after="0"/>
              <w:rPr>
                <w:sz w:val="1"/>
                <w:szCs w:val="1"/>
                <w:color w:val="auto"/>
              </w:rPr>
            </w:pPr>
          </w:p>
        </w:tc>
      </w:tr>
      <w:tr>
        <w:trPr>
          <w:trHeight w:val="135"/>
        </w:trPr>
        <w:tc>
          <w:tcPr>
            <w:tcW w:w="4060" w:type="dxa"/>
            <w:vAlign w:val="bottom"/>
          </w:tcPr>
          <w:p>
            <w:pPr>
              <w:jc w:val="right"/>
              <w:spacing w:after="0"/>
              <w:rPr>
                <w:sz w:val="20"/>
                <w:szCs w:val="20"/>
                <w:color w:val="auto"/>
              </w:rPr>
            </w:pPr>
            <w:r>
              <w:rPr>
                <w:rFonts w:ascii="Courier New" w:cs="Courier New" w:eastAsia="Courier New" w:hAnsi="Courier New"/>
                <w:sz w:val="12"/>
                <w:szCs w:val="12"/>
                <w:color w:val="auto"/>
              </w:rPr>
              <w:t>CPG Holdings, LLC......................................</w:t>
            </w:r>
          </w:p>
        </w:tc>
        <w:tc>
          <w:tcPr>
            <w:tcW w:w="1280" w:type="dxa"/>
            <w:vAlign w:val="bottom"/>
          </w:tcPr>
          <w:p>
            <w:pPr>
              <w:jc w:val="right"/>
              <w:ind w:right="155"/>
              <w:spacing w:after="0"/>
              <w:rPr>
                <w:sz w:val="20"/>
                <w:szCs w:val="20"/>
                <w:color w:val="auto"/>
              </w:rPr>
            </w:pPr>
            <w:r>
              <w:rPr>
                <w:rFonts w:ascii="Courier New" w:cs="Courier New" w:eastAsia="Courier New" w:hAnsi="Courier New"/>
                <w:sz w:val="12"/>
                <w:szCs w:val="12"/>
                <w:b w:val="1"/>
                <w:bCs w:val="1"/>
                <w:color w:val="auto"/>
              </w:rPr>
              <w:t>9,289</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4,670</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280" w:type="dxa"/>
            <w:vAlign w:val="bottom"/>
          </w:tcPr>
          <w:p>
            <w:pPr>
              <w:jc w:val="right"/>
              <w:ind w:right="15"/>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center"/>
              <w:ind w:lef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7"/>
        </w:trPr>
        <w:tc>
          <w:tcPr>
            <w:tcW w:w="40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Total</w:t>
            </w:r>
            <w:r>
              <w:rPr>
                <w:rFonts w:ascii="Courier New" w:cs="Courier New" w:eastAsia="Courier New" w:hAnsi="Courier New"/>
                <w:sz w:val="12"/>
                <w:szCs w:val="12"/>
                <w:color w:val="auto"/>
              </w:rPr>
              <w:t>..................................................</w:t>
            </w:r>
          </w:p>
        </w:tc>
        <w:tc>
          <w:tcPr>
            <w:tcW w:w="1280" w:type="dxa"/>
            <w:vAlign w:val="bottom"/>
          </w:tcPr>
          <w:p>
            <w:pPr>
              <w:jc w:val="right"/>
              <w:ind w:right="155"/>
              <w:spacing w:after="0"/>
              <w:rPr>
                <w:sz w:val="20"/>
                <w:szCs w:val="20"/>
                <w:color w:val="auto"/>
              </w:rPr>
            </w:pPr>
            <w:r>
              <w:rPr>
                <w:rFonts w:ascii="Courier New" w:cs="Courier New" w:eastAsia="Courier New" w:hAnsi="Courier New"/>
                <w:sz w:val="12"/>
                <w:szCs w:val="12"/>
                <w:b w:val="1"/>
                <w:bCs w:val="1"/>
                <w:color w:val="auto"/>
              </w:rPr>
              <w:t>52,370</w:t>
            </w:r>
          </w:p>
        </w:tc>
        <w:tc>
          <w:tcPr>
            <w:tcW w:w="12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51,346</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52,370</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51,203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accompanying notes are an integral part of the financial statements.</w:t>
      </w:r>
    </w:p>
    <w:p>
      <w:pPr>
        <w:spacing w:after="0" w:line="200"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Consolidated Statements of Cash Flows</w:t>
      </w:r>
    </w:p>
    <w:p>
      <w:pPr>
        <w:jc w:val="center"/>
        <w:ind w:right="-1200"/>
        <w:spacing w:after="0" w:line="230" w:lineRule="auto"/>
        <w:rPr>
          <w:sz w:val="20"/>
          <w:szCs w:val="20"/>
          <w:color w:val="auto"/>
        </w:rPr>
      </w:pPr>
      <w:r>
        <w:rPr>
          <w:rFonts w:ascii="Arial" w:cs="Arial" w:eastAsia="Arial" w:hAnsi="Arial"/>
          <w:sz w:val="22"/>
          <w:szCs w:val="22"/>
          <w:b w:val="1"/>
          <w:bCs w:val="1"/>
          <w:color w:val="auto"/>
        </w:rPr>
        <w:t>for the Six Months Ended June 30, 2005 and 2004</w:t>
      </w:r>
    </w:p>
    <w:p>
      <w:pPr>
        <w:jc w:val="center"/>
        <w:ind w:right="-1200"/>
        <w:spacing w:after="0" w:line="231" w:lineRule="auto"/>
        <w:rPr>
          <w:sz w:val="20"/>
          <w:szCs w:val="20"/>
          <w:color w:val="auto"/>
        </w:rPr>
      </w:pPr>
      <w:r>
        <w:rPr>
          <w:rFonts w:ascii="Arial" w:cs="Arial" w:eastAsia="Arial" w:hAnsi="Arial"/>
          <w:sz w:val="22"/>
          <w:szCs w:val="22"/>
          <w:b w:val="1"/>
          <w:bCs w:val="1"/>
          <w:i w:val="1"/>
          <w:iCs w:val="1"/>
          <w:color w:val="auto"/>
        </w:rPr>
        <w:t>(Unaudited)</w:t>
      </w:r>
    </w:p>
    <w:p>
      <w:pPr>
        <w:jc w:val="center"/>
        <w:ind w:right="-1200"/>
        <w:spacing w:after="0"/>
        <w:rPr>
          <w:sz w:val="20"/>
          <w:szCs w:val="20"/>
          <w:color w:val="auto"/>
        </w:rPr>
      </w:pPr>
      <w:r>
        <w:rPr>
          <w:rFonts w:ascii="Arial" w:cs="Arial" w:eastAsia="Arial" w:hAnsi="Arial"/>
          <w:sz w:val="22"/>
          <w:szCs w:val="22"/>
          <w:b w:val="1"/>
          <w:bCs w:val="1"/>
          <w:color w:val="auto"/>
        </w:rPr>
        <w:t>(In thousands)</w:t>
      </w:r>
    </w:p>
    <w:p>
      <w:pPr>
        <w:spacing w:after="0" w:line="337" w:lineRule="exact"/>
        <w:rPr>
          <w:sz w:val="20"/>
          <w:szCs w:val="20"/>
          <w:color w:val="auto"/>
        </w:rPr>
      </w:pPr>
    </w:p>
    <w:tbl>
      <w:tblPr>
        <w:tblLayout w:type="fixed"/>
        <w:tblInd w:w="220" w:type="dxa"/>
        <w:tblCellMar>
          <w:top w:w="0" w:type="dxa"/>
          <w:left w:w="0" w:type="dxa"/>
          <w:bottom w:w="0" w:type="dxa"/>
          <w:right w:w="0" w:type="dxa"/>
        </w:tblCellMar>
      </w:tblPr>
      <w:tr>
        <w:trPr>
          <w:trHeight w:val="136"/>
        </w:trPr>
        <w:tc>
          <w:tcPr>
            <w:tcW w:w="4820" w:type="dxa"/>
            <w:vAlign w:val="bottom"/>
          </w:tcPr>
          <w:p>
            <w:pPr>
              <w:spacing w:after="0"/>
              <w:rPr>
                <w:sz w:val="11"/>
                <w:szCs w:val="11"/>
                <w:color w:val="auto"/>
              </w:rPr>
            </w:pPr>
          </w:p>
        </w:tc>
        <w:tc>
          <w:tcPr>
            <w:tcW w:w="132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2005</w:t>
            </w:r>
          </w:p>
        </w:tc>
        <w:tc>
          <w:tcPr>
            <w:tcW w:w="130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2004</w:t>
            </w:r>
          </w:p>
        </w:tc>
        <w:tc>
          <w:tcPr>
            <w:tcW w:w="0" w:type="dxa"/>
            <w:vAlign w:val="bottom"/>
          </w:tcPr>
          <w:p>
            <w:pPr>
              <w:spacing w:after="0"/>
              <w:rPr>
                <w:sz w:val="1"/>
                <w:szCs w:val="1"/>
                <w:color w:val="auto"/>
              </w:rPr>
            </w:pPr>
          </w:p>
        </w:tc>
      </w:tr>
      <w:tr>
        <w:trPr>
          <w:trHeight w:val="137"/>
        </w:trPr>
        <w:tc>
          <w:tcPr>
            <w:tcW w:w="4820" w:type="dxa"/>
            <w:vAlign w:val="bottom"/>
            <w:vMerge w:val="restart"/>
          </w:tcPr>
          <w:p>
            <w:pPr>
              <w:jc w:val="right"/>
              <w:ind w:right="2119"/>
              <w:spacing w:after="0"/>
              <w:rPr>
                <w:sz w:val="20"/>
                <w:szCs w:val="20"/>
                <w:color w:val="auto"/>
              </w:rPr>
            </w:pPr>
            <w:r>
              <w:rPr>
                <w:rFonts w:ascii="Courier New" w:cs="Courier New" w:eastAsia="Courier New" w:hAnsi="Courier New"/>
                <w:sz w:val="12"/>
                <w:szCs w:val="12"/>
                <w:b w:val="1"/>
                <w:bCs w:val="1"/>
                <w:color w:val="auto"/>
              </w:rPr>
              <w:t>Cash flows from operating activities</w:t>
            </w:r>
          </w:p>
        </w:tc>
        <w:tc>
          <w:tcPr>
            <w:tcW w:w="132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0" w:type="dxa"/>
            <w:vAlign w:val="bottom"/>
          </w:tcPr>
          <w:p>
            <w:pPr>
              <w:spacing w:after="0"/>
              <w:rPr>
                <w:sz w:val="1"/>
                <w:szCs w:val="1"/>
                <w:color w:val="auto"/>
              </w:rPr>
            </w:pPr>
          </w:p>
        </w:tc>
      </w:tr>
      <w:tr>
        <w:trPr>
          <w:trHeight w:val="133"/>
        </w:trPr>
        <w:tc>
          <w:tcPr>
            <w:tcW w:w="4820" w:type="dxa"/>
            <w:vAlign w:val="bottom"/>
            <w:vMerge w:val="continue"/>
          </w:tcPr>
          <w:p>
            <w:pPr>
              <w:spacing w:after="0"/>
              <w:rPr>
                <w:sz w:val="11"/>
                <w:szCs w:val="11"/>
                <w:color w:val="auto"/>
              </w:rPr>
            </w:pPr>
          </w:p>
        </w:tc>
        <w:tc>
          <w:tcPr>
            <w:tcW w:w="1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Net income......................................................</w:t>
            </w:r>
          </w:p>
        </w:tc>
        <w:tc>
          <w:tcPr>
            <w:tcW w:w="132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$ 81,773</w:t>
            </w:r>
          </w:p>
        </w:tc>
        <w:tc>
          <w:tcPr>
            <w:tcW w:w="130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$ 64,876</w:t>
            </w:r>
          </w:p>
        </w:tc>
        <w:tc>
          <w:tcPr>
            <w:tcW w:w="0" w:type="dxa"/>
            <w:vAlign w:val="bottom"/>
          </w:tcPr>
          <w:p>
            <w:pPr>
              <w:spacing w:after="0"/>
              <w:rPr>
                <w:sz w:val="1"/>
                <w:szCs w:val="1"/>
                <w:color w:val="auto"/>
              </w:rPr>
            </w:pPr>
          </w:p>
        </w:tc>
      </w:tr>
      <w:tr>
        <w:trPr>
          <w:trHeight w:val="135"/>
        </w:trPr>
        <w:tc>
          <w:tcPr>
            <w:tcW w:w="4820" w:type="dxa"/>
            <w:vAlign w:val="bottom"/>
          </w:tcPr>
          <w:p>
            <w:pPr>
              <w:jc w:val="right"/>
              <w:ind w:right="1319"/>
              <w:spacing w:after="0"/>
              <w:rPr>
                <w:sz w:val="20"/>
                <w:szCs w:val="20"/>
                <w:color w:val="auto"/>
              </w:rPr>
            </w:pPr>
            <w:r>
              <w:rPr>
                <w:rFonts w:ascii="Courier New" w:cs="Courier New" w:eastAsia="Courier New" w:hAnsi="Courier New"/>
                <w:sz w:val="12"/>
                <w:szCs w:val="12"/>
                <w:color w:val="auto"/>
              </w:rPr>
              <w:t>Adjustments to reconcile net income to net cash</w:t>
            </w:r>
          </w:p>
        </w:tc>
        <w:tc>
          <w:tcPr>
            <w:tcW w:w="1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tcPr>
          <w:p>
            <w:pPr>
              <w:jc w:val="right"/>
              <w:ind w:right="2119"/>
              <w:spacing w:after="0"/>
              <w:rPr>
                <w:sz w:val="20"/>
                <w:szCs w:val="20"/>
                <w:color w:val="auto"/>
              </w:rPr>
            </w:pPr>
            <w:r>
              <w:rPr>
                <w:rFonts w:ascii="Courier New" w:cs="Courier New" w:eastAsia="Courier New" w:hAnsi="Courier New"/>
                <w:sz w:val="12"/>
                <w:szCs w:val="12"/>
                <w:color w:val="auto"/>
              </w:rPr>
              <w:t>provided by operating activities:</w:t>
            </w:r>
          </w:p>
        </w:tc>
        <w:tc>
          <w:tcPr>
            <w:tcW w:w="1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Depreciation and amortization................................</w:t>
            </w:r>
          </w:p>
        </w:tc>
        <w:tc>
          <w:tcPr>
            <w:tcW w:w="132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38,224</w:t>
            </w:r>
          </w:p>
        </w:tc>
        <w:tc>
          <w:tcPr>
            <w:tcW w:w="130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35,754</w:t>
            </w:r>
          </w:p>
        </w:tc>
        <w:tc>
          <w:tcPr>
            <w:tcW w:w="0" w:type="dxa"/>
            <w:vAlign w:val="bottom"/>
          </w:tcPr>
          <w:p>
            <w:pPr>
              <w:spacing w:after="0"/>
              <w:rPr>
                <w:sz w:val="1"/>
                <w:szCs w:val="1"/>
                <w:color w:val="auto"/>
              </w:rPr>
            </w:pPr>
          </w:p>
        </w:tc>
      </w:tr>
      <w:tr>
        <w:trPr>
          <w:trHeight w:val="135"/>
        </w:trPr>
        <w:tc>
          <w:tcPr>
            <w:tcW w:w="4820" w:type="dxa"/>
            <w:vAlign w:val="bottom"/>
          </w:tcPr>
          <w:p>
            <w:pPr>
              <w:jc w:val="right"/>
              <w:ind w:right="1039"/>
              <w:spacing w:after="0"/>
              <w:rPr>
                <w:sz w:val="20"/>
                <w:szCs w:val="20"/>
                <w:color w:val="auto"/>
              </w:rPr>
            </w:pPr>
            <w:r>
              <w:rPr>
                <w:rFonts w:ascii="Courier New" w:cs="Courier New" w:eastAsia="Courier New" w:hAnsi="Courier New"/>
                <w:sz w:val="12"/>
                <w:szCs w:val="12"/>
                <w:color w:val="auto"/>
              </w:rPr>
              <w:t>Equity in earnings of unconsolidated investments</w:t>
            </w:r>
          </w:p>
        </w:tc>
        <w:tc>
          <w:tcPr>
            <w:tcW w:w="1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in excess of distributions..............................</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(3,054)</w:t>
            </w:r>
          </w:p>
        </w:tc>
        <w:tc>
          <w:tcPr>
            <w:tcW w:w="13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(4,695)</w:t>
            </w:r>
          </w:p>
        </w:tc>
        <w:tc>
          <w:tcPr>
            <w:tcW w:w="0" w:type="dxa"/>
            <w:vAlign w:val="bottom"/>
          </w:tcPr>
          <w:p>
            <w:pPr>
              <w:spacing w:after="0"/>
              <w:rPr>
                <w:sz w:val="1"/>
                <w:szCs w:val="1"/>
                <w:color w:val="auto"/>
              </w:rPr>
            </w:pPr>
          </w:p>
        </w:tc>
      </w:tr>
      <w:tr>
        <w:trPr>
          <w:trHeight w:val="137"/>
        </w:trPr>
        <w:tc>
          <w:tcPr>
            <w:tcW w:w="4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Gain on sale of assets........................................</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(331)</w:t>
            </w:r>
          </w:p>
        </w:tc>
        <w:tc>
          <w:tcPr>
            <w:tcW w:w="130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sectPr>
          <w:pgSz w:w="11900" w:h="16839" w:orient="portrait"/>
          <w:cols w:equalWidth="0" w:num="1">
            <w:col w:w="10219"/>
          </w:cols>
          <w:pgMar w:left="240" w:top="132" w:right="1440" w:bottom="0" w:gutter="0" w:footer="0" w:header="0"/>
        </w:sectPr>
      </w:pPr>
    </w:p>
    <w:bookmarkStart w:id="2" w:name="page3"/>
    <w:bookmarkEnd w:id="2"/>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36"/>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Additions to deferred leasing costs...........................</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(2,517)</w:t>
            </w:r>
          </w:p>
        </w:tc>
        <w:tc>
          <w:tcPr>
            <w:tcW w:w="13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(954)</w:t>
            </w: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Other operating activities....................................</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(204)</w:t>
            </w:r>
          </w:p>
        </w:tc>
        <w:tc>
          <w:tcPr>
            <w:tcW w:w="13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(1,081)</w:t>
            </w:r>
          </w:p>
        </w:tc>
      </w:tr>
      <w:tr>
        <w:trPr>
          <w:trHeight w:val="135"/>
        </w:trPr>
        <w:tc>
          <w:tcPr>
            <w:tcW w:w="4720" w:type="dxa"/>
            <w:vAlign w:val="bottom"/>
          </w:tcPr>
          <w:p>
            <w:pPr>
              <w:jc w:val="right"/>
              <w:ind w:right="2019"/>
              <w:spacing w:after="0"/>
              <w:rPr>
                <w:sz w:val="20"/>
                <w:szCs w:val="20"/>
                <w:color w:val="auto"/>
              </w:rPr>
            </w:pPr>
            <w:r>
              <w:rPr>
                <w:rFonts w:ascii="Courier New" w:cs="Courier New" w:eastAsia="Courier New" w:hAnsi="Courier New"/>
                <w:sz w:val="12"/>
                <w:szCs w:val="12"/>
                <w:color w:val="auto"/>
              </w:rPr>
              <w:t>Changes in assets and liabilities:</w:t>
            </w:r>
          </w:p>
        </w:tc>
        <w:tc>
          <w:tcPr>
            <w:tcW w:w="142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Straight-line rent......................................</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(2,653)</w:t>
            </w:r>
          </w:p>
        </w:tc>
        <w:tc>
          <w:tcPr>
            <w:tcW w:w="13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(3,065)</w:t>
            </w:r>
          </w:p>
        </w:tc>
      </w:tr>
      <w:tr>
        <w:trPr>
          <w:trHeight w:val="135"/>
        </w:trPr>
        <w:tc>
          <w:tcPr>
            <w:tcW w:w="47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Due (from) to affiliates..............................</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(2,147)</w:t>
            </w:r>
          </w:p>
        </w:tc>
        <w:tc>
          <w:tcPr>
            <w:tcW w:w="13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5,111</w:t>
            </w:r>
          </w:p>
        </w:tc>
      </w:tr>
      <w:tr>
        <w:trPr>
          <w:trHeight w:val="135"/>
        </w:trPr>
        <w:tc>
          <w:tcPr>
            <w:tcW w:w="47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Other assets..........................................</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(7,096)</w:t>
            </w:r>
          </w:p>
        </w:tc>
        <w:tc>
          <w:tcPr>
            <w:tcW w:w="13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1,730</w:t>
            </w:r>
          </w:p>
        </w:tc>
      </w:tr>
      <w:tr>
        <w:trPr>
          <w:trHeight w:val="135"/>
        </w:trPr>
        <w:tc>
          <w:tcPr>
            <w:tcW w:w="47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Accounts payable and other liabilities................</w:t>
            </w:r>
          </w:p>
        </w:tc>
        <w:tc>
          <w:tcPr>
            <w:tcW w:w="142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11,234</w:t>
            </w:r>
          </w:p>
        </w:tc>
        <w:tc>
          <w:tcPr>
            <w:tcW w:w="13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5,708</w:t>
            </w:r>
          </w:p>
        </w:tc>
      </w:tr>
      <w:tr>
        <w:trPr>
          <w:trHeight w:val="135"/>
        </w:trPr>
        <w:tc>
          <w:tcPr>
            <w:tcW w:w="47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Net cash provided by operating activities</w:t>
            </w:r>
            <w:r>
              <w:rPr>
                <w:rFonts w:ascii="Courier New" w:cs="Courier New" w:eastAsia="Courier New" w:hAnsi="Courier New"/>
                <w:sz w:val="12"/>
                <w:szCs w:val="12"/>
                <w:color w:val="auto"/>
              </w:rPr>
              <w:t>.......................</w:t>
            </w:r>
          </w:p>
        </w:tc>
        <w:tc>
          <w:tcPr>
            <w:tcW w:w="142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113,229</w:t>
            </w:r>
          </w:p>
        </w:tc>
        <w:tc>
          <w:tcPr>
            <w:tcW w:w="13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103,384</w:t>
            </w:r>
          </w:p>
        </w:tc>
      </w:tr>
      <w:tr>
        <w:trPr>
          <w:trHeight w:val="137"/>
        </w:trPr>
        <w:tc>
          <w:tcPr>
            <w:tcW w:w="47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68"/>
        </w:trPr>
        <w:tc>
          <w:tcPr>
            <w:tcW w:w="4720" w:type="dxa"/>
            <w:vAlign w:val="bottom"/>
          </w:tcPr>
          <w:p>
            <w:pPr>
              <w:spacing w:after="0"/>
              <w:rPr>
                <w:sz w:val="20"/>
                <w:szCs w:val="20"/>
                <w:color w:val="auto"/>
              </w:rPr>
            </w:pPr>
            <w:r>
              <w:rPr>
                <w:rFonts w:ascii="Courier New" w:cs="Courier New" w:eastAsia="Courier New" w:hAnsi="Courier New"/>
                <w:sz w:val="12"/>
                <w:szCs w:val="12"/>
                <w:b w:val="1"/>
                <w:bCs w:val="1"/>
                <w:color w:val="auto"/>
              </w:rPr>
              <w:t>Cash flows from investing activities</w:t>
            </w:r>
          </w:p>
        </w:tc>
        <w:tc>
          <w:tcPr>
            <w:tcW w:w="14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Additions to rental properties..................................</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(44,034)</w:t>
            </w:r>
          </w:p>
        </w:tc>
        <w:tc>
          <w:tcPr>
            <w:tcW w:w="13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(27,856)</w:t>
            </w: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Net proceeds from sale of center................................</w:t>
            </w:r>
          </w:p>
        </w:tc>
        <w:tc>
          <w:tcPr>
            <w:tcW w:w="142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3,831</w:t>
            </w:r>
          </w:p>
        </w:tc>
        <w:tc>
          <w:tcPr>
            <w:tcW w:w="13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1,543</w:t>
            </w:r>
          </w:p>
        </w:tc>
      </w:tr>
      <w:tr>
        <w:trPr>
          <w:trHeight w:val="135"/>
        </w:trPr>
        <w:tc>
          <w:tcPr>
            <w:tcW w:w="4720" w:type="dxa"/>
            <w:vAlign w:val="bottom"/>
          </w:tcPr>
          <w:p>
            <w:pPr>
              <w:spacing w:after="0"/>
              <w:rPr>
                <w:sz w:val="20"/>
                <w:szCs w:val="20"/>
                <w:color w:val="auto"/>
              </w:rPr>
            </w:pPr>
            <w:r>
              <w:rPr>
                <w:rFonts w:ascii="Courier New" w:cs="Courier New" w:eastAsia="Courier New" w:hAnsi="Courier New"/>
                <w:sz w:val="12"/>
                <w:szCs w:val="12"/>
                <w:color w:val="auto"/>
              </w:rPr>
              <w:t>Reductions from (additions to) investments in</w:t>
            </w:r>
          </w:p>
        </w:tc>
        <w:tc>
          <w:tcPr>
            <w:tcW w:w="142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unconsolidated affiliates......................................</w:t>
            </w:r>
          </w:p>
        </w:tc>
        <w:tc>
          <w:tcPr>
            <w:tcW w:w="142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8,878</w:t>
            </w:r>
          </w:p>
        </w:tc>
        <w:tc>
          <w:tcPr>
            <w:tcW w:w="13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(21,370)</w:t>
            </w:r>
          </w:p>
        </w:tc>
      </w:tr>
      <w:tr>
        <w:trPr>
          <w:trHeight w:val="135"/>
        </w:trPr>
        <w:tc>
          <w:tcPr>
            <w:tcW w:w="4720" w:type="dxa"/>
            <w:vAlign w:val="bottom"/>
          </w:tcPr>
          <w:p>
            <w:pPr>
              <w:spacing w:after="0"/>
              <w:rPr>
                <w:sz w:val="20"/>
                <w:szCs w:val="20"/>
                <w:color w:val="auto"/>
              </w:rPr>
            </w:pPr>
            <w:r>
              <w:rPr>
                <w:rFonts w:ascii="Courier New" w:cs="Courier New" w:eastAsia="Courier New" w:hAnsi="Courier New"/>
                <w:sz w:val="12"/>
                <w:szCs w:val="12"/>
                <w:color w:val="auto"/>
              </w:rPr>
              <w:t>Distributions from investments in unconsolidated</w:t>
            </w:r>
          </w:p>
        </w:tc>
        <w:tc>
          <w:tcPr>
            <w:tcW w:w="142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affiliates in excess of earnings..........................</w:t>
            </w:r>
          </w:p>
        </w:tc>
        <w:tc>
          <w:tcPr>
            <w:tcW w:w="142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4,081</w:t>
            </w:r>
          </w:p>
        </w:tc>
        <w:tc>
          <w:tcPr>
            <w:tcW w:w="13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r>
      <w:tr>
        <w:trPr>
          <w:trHeight w:val="135"/>
        </w:trPr>
        <w:tc>
          <w:tcPr>
            <w:tcW w:w="4720" w:type="dxa"/>
            <w:vAlign w:val="bottom"/>
          </w:tcPr>
          <w:p>
            <w:pPr>
              <w:spacing w:after="0"/>
              <w:rPr>
                <w:sz w:val="20"/>
                <w:szCs w:val="20"/>
                <w:color w:val="auto"/>
              </w:rPr>
            </w:pPr>
            <w:r>
              <w:rPr>
                <w:rFonts w:ascii="Courier New" w:cs="Courier New" w:eastAsia="Courier New" w:hAnsi="Courier New"/>
                <w:sz w:val="12"/>
                <w:szCs w:val="12"/>
                <w:color w:val="auto"/>
              </w:rPr>
              <w:t>Payments from related parties</w:t>
            </w:r>
          </w:p>
        </w:tc>
        <w:tc>
          <w:tcPr>
            <w:tcW w:w="142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3,192</w:t>
            </w: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Additions to deferred development costs.........................</w:t>
            </w:r>
          </w:p>
        </w:tc>
        <w:tc>
          <w:tcPr>
            <w:tcW w:w="142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(458)</w:t>
            </w:r>
          </w:p>
        </w:tc>
        <w:tc>
          <w:tcPr>
            <w:tcW w:w="13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(79)</w:t>
            </w:r>
          </w:p>
        </w:tc>
      </w:tr>
      <w:tr>
        <w:trPr>
          <w:trHeight w:val="135"/>
        </w:trPr>
        <w:tc>
          <w:tcPr>
            <w:tcW w:w="47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Net cash used in investing activities</w:t>
            </w:r>
            <w:r>
              <w:rPr>
                <w:rFonts w:ascii="Courier New" w:cs="Courier New" w:eastAsia="Courier New" w:hAnsi="Courier New"/>
                <w:sz w:val="12"/>
                <w:szCs w:val="12"/>
                <w:color w:val="auto"/>
              </w:rPr>
              <w:t>...........................</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(27,702)</w:t>
            </w:r>
          </w:p>
        </w:tc>
        <w:tc>
          <w:tcPr>
            <w:tcW w:w="13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(44,570)</w:t>
            </w:r>
          </w:p>
        </w:tc>
      </w:tr>
      <w:tr>
        <w:trPr>
          <w:trHeight w:val="137"/>
        </w:trPr>
        <w:tc>
          <w:tcPr>
            <w:tcW w:w="47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68"/>
        </w:trPr>
        <w:tc>
          <w:tcPr>
            <w:tcW w:w="4720" w:type="dxa"/>
            <w:vAlign w:val="bottom"/>
          </w:tcPr>
          <w:p>
            <w:pPr>
              <w:spacing w:after="0"/>
              <w:rPr>
                <w:sz w:val="20"/>
                <w:szCs w:val="20"/>
                <w:color w:val="auto"/>
              </w:rPr>
            </w:pPr>
            <w:r>
              <w:rPr>
                <w:rFonts w:ascii="Courier New" w:cs="Courier New" w:eastAsia="Courier New" w:hAnsi="Courier New"/>
                <w:sz w:val="12"/>
                <w:szCs w:val="12"/>
                <w:b w:val="1"/>
                <w:bCs w:val="1"/>
                <w:color w:val="auto"/>
              </w:rPr>
              <w:t>Cash flows from financing activities</w:t>
            </w:r>
          </w:p>
        </w:tc>
        <w:tc>
          <w:tcPr>
            <w:tcW w:w="14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Debt proceeds...................................................</w:t>
            </w:r>
          </w:p>
        </w:tc>
        <w:tc>
          <w:tcPr>
            <w:tcW w:w="142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23,261</w:t>
            </w:r>
          </w:p>
        </w:tc>
        <w:tc>
          <w:tcPr>
            <w:tcW w:w="13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141,284</w:t>
            </w: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Debt repayment..................................................</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(34,500)</w:t>
            </w:r>
          </w:p>
        </w:tc>
        <w:tc>
          <w:tcPr>
            <w:tcW w:w="13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(167,173)</w:t>
            </w: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Net proceeds from sale of the OP's common units.................</w:t>
            </w:r>
          </w:p>
        </w:tc>
        <w:tc>
          <w:tcPr>
            <w:tcW w:w="142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7,205</w:t>
            </w: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Distributions...................................................</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(86,500)</w:t>
            </w:r>
          </w:p>
        </w:tc>
        <w:tc>
          <w:tcPr>
            <w:tcW w:w="13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(39,317)</w:t>
            </w: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Loans to related parties........................................</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(5,295)</w:t>
            </w:r>
          </w:p>
        </w:tc>
        <w:tc>
          <w:tcPr>
            <w:tcW w:w="13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Additions to deferred financing costs...........................</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(103)</w:t>
            </w:r>
          </w:p>
        </w:tc>
        <w:tc>
          <w:tcPr>
            <w:tcW w:w="13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(1,243)</w:t>
            </w:r>
          </w:p>
        </w:tc>
      </w:tr>
      <w:tr>
        <w:trPr>
          <w:trHeight w:val="135"/>
        </w:trPr>
        <w:tc>
          <w:tcPr>
            <w:tcW w:w="47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Net cash used in financing activities</w:t>
            </w:r>
            <w:r>
              <w:rPr>
                <w:rFonts w:ascii="Courier New" w:cs="Courier New" w:eastAsia="Courier New" w:hAnsi="Courier New"/>
                <w:sz w:val="12"/>
                <w:szCs w:val="12"/>
                <w:color w:val="auto"/>
              </w:rPr>
              <w:t>...........................</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(103,137)</w:t>
            </w:r>
          </w:p>
        </w:tc>
        <w:tc>
          <w:tcPr>
            <w:tcW w:w="13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(59,244)</w:t>
            </w:r>
          </w:p>
        </w:tc>
      </w:tr>
      <w:tr>
        <w:trPr>
          <w:trHeight w:val="137"/>
        </w:trPr>
        <w:tc>
          <w:tcPr>
            <w:tcW w:w="47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68"/>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Net decrease in cash and cash equivalents.......................</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(17,610)</w:t>
            </w:r>
          </w:p>
        </w:tc>
        <w:tc>
          <w:tcPr>
            <w:tcW w:w="13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(430)</w:t>
            </w: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Cash and cash equivalents, beginning of period..................</w:t>
            </w:r>
          </w:p>
        </w:tc>
        <w:tc>
          <w:tcPr>
            <w:tcW w:w="142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33,362</w:t>
            </w:r>
          </w:p>
        </w:tc>
        <w:tc>
          <w:tcPr>
            <w:tcW w:w="13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18,476</w:t>
            </w:r>
          </w:p>
        </w:tc>
      </w:tr>
      <w:tr>
        <w:trPr>
          <w:trHeight w:val="135"/>
        </w:trPr>
        <w:tc>
          <w:tcPr>
            <w:tcW w:w="47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Cash and cash equivalents, end of period</w:t>
            </w:r>
            <w:r>
              <w:rPr>
                <w:rFonts w:ascii="Courier New" w:cs="Courier New" w:eastAsia="Courier New" w:hAnsi="Courier New"/>
                <w:sz w:val="12"/>
                <w:szCs w:val="12"/>
                <w:color w:val="auto"/>
              </w:rPr>
              <w:t>........................</w:t>
            </w:r>
          </w:p>
        </w:tc>
        <w:tc>
          <w:tcPr>
            <w:tcW w:w="142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$ 15,752</w:t>
            </w:r>
          </w:p>
        </w:tc>
        <w:tc>
          <w:tcPr>
            <w:tcW w:w="13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$ 18,046</w:t>
            </w:r>
          </w:p>
        </w:tc>
      </w:tr>
      <w:tr>
        <w:trPr>
          <w:trHeight w:val="137"/>
        </w:trPr>
        <w:tc>
          <w:tcPr>
            <w:tcW w:w="47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accompanying notes are an integral part of the financial statements.</w:t>
      </w:r>
    </w:p>
    <w:p>
      <w:pPr>
        <w:spacing w:after="0" w:line="200"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19"/>
        <w:spacing w:after="0"/>
        <w:rPr>
          <w:sz w:val="20"/>
          <w:szCs w:val="20"/>
          <w:color w:val="auto"/>
        </w:rPr>
      </w:pPr>
      <w:r>
        <w:rPr>
          <w:rFonts w:ascii="Arial" w:cs="Arial" w:eastAsia="Arial" w:hAnsi="Arial"/>
          <w:sz w:val="22"/>
          <w:szCs w:val="22"/>
          <w:b w:val="1"/>
          <w:bCs w:val="1"/>
          <w:i w:val="1"/>
          <w:iCs w:val="1"/>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Organization and Basis of Presentation</w:t>
      </w:r>
    </w:p>
    <w:p>
      <w:pPr>
        <w:spacing w:after="0" w:line="212"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CPG Partners, L.P., a Delaware limited partnership, (the "Operating Partnership" or "OP") is owned by its sole general partner, Chelsea Property Group, Inc. (the "Company") and its limited partners, Simon Property Group, L.P., ("Simon") and CPG Holdings LLC in the following percentages: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160" w:type="dxa"/>
            <w:vAlign w:val="bottom"/>
          </w:tcPr>
          <w:p>
            <w:pPr>
              <w:spacing w:after="0"/>
              <w:rPr>
                <w:sz w:val="11"/>
                <w:szCs w:val="11"/>
                <w:color w:val="auto"/>
              </w:rPr>
            </w:pPr>
          </w:p>
        </w:tc>
        <w:tc>
          <w:tcPr>
            <w:tcW w:w="150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Capital</w:t>
            </w:r>
          </w:p>
        </w:tc>
        <w:tc>
          <w:tcPr>
            <w:tcW w:w="120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Profits</w:t>
            </w:r>
          </w:p>
        </w:tc>
        <w:tc>
          <w:tcPr>
            <w:tcW w:w="0" w:type="dxa"/>
            <w:vAlign w:val="bottom"/>
          </w:tcPr>
          <w:p>
            <w:pPr>
              <w:spacing w:after="0"/>
              <w:rPr>
                <w:sz w:val="1"/>
                <w:szCs w:val="1"/>
                <w:color w:val="auto"/>
              </w:rPr>
            </w:pPr>
          </w:p>
        </w:tc>
      </w:tr>
      <w:tr>
        <w:trPr>
          <w:trHeight w:val="137"/>
        </w:trPr>
        <w:tc>
          <w:tcPr>
            <w:tcW w:w="4160" w:type="dxa"/>
            <w:vAlign w:val="bottom"/>
            <w:vMerge w:val="restart"/>
          </w:tcPr>
          <w:p>
            <w:pPr>
              <w:spacing w:after="0"/>
              <w:rPr>
                <w:sz w:val="20"/>
                <w:szCs w:val="20"/>
                <w:color w:val="auto"/>
              </w:rPr>
            </w:pPr>
            <w:r>
              <w:rPr>
                <w:rFonts w:ascii="Courier New" w:cs="Courier New" w:eastAsia="Courier New" w:hAnsi="Courier New"/>
                <w:sz w:val="12"/>
                <w:szCs w:val="12"/>
                <w:color w:val="auto"/>
              </w:rPr>
              <w:t>General Partner</w:t>
            </w:r>
          </w:p>
        </w:tc>
        <w:tc>
          <w:tcPr>
            <w:tcW w:w="15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416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160" w:type="dxa"/>
            <w:vAlign w:val="bottom"/>
          </w:tcPr>
          <w:p>
            <w:pPr>
              <w:ind w:left="1760"/>
              <w:spacing w:after="0"/>
              <w:rPr>
                <w:sz w:val="20"/>
                <w:szCs w:val="20"/>
                <w:color w:val="auto"/>
              </w:rPr>
            </w:pPr>
            <w:r>
              <w:rPr>
                <w:rFonts w:ascii="Courier New" w:cs="Courier New" w:eastAsia="Courier New" w:hAnsi="Courier New"/>
                <w:sz w:val="12"/>
                <w:szCs w:val="12"/>
                <w:color w:val="auto"/>
              </w:rPr>
              <w:t>Chelsea Property Group, Inc.</w:t>
            </w:r>
          </w:p>
        </w:tc>
        <w:tc>
          <w:tcPr>
            <w:tcW w:w="15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50.100%</w:t>
            </w:r>
          </w:p>
        </w:tc>
        <w:tc>
          <w:tcPr>
            <w:tcW w:w="12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1.000%</w:t>
            </w:r>
          </w:p>
        </w:tc>
        <w:tc>
          <w:tcPr>
            <w:tcW w:w="0" w:type="dxa"/>
            <w:vAlign w:val="bottom"/>
          </w:tcPr>
          <w:p>
            <w:pPr>
              <w:spacing w:after="0"/>
              <w:rPr>
                <w:sz w:val="1"/>
                <w:szCs w:val="1"/>
                <w:color w:val="auto"/>
              </w:rPr>
            </w:pPr>
          </w:p>
        </w:tc>
      </w:tr>
      <w:tr>
        <w:trPr>
          <w:trHeight w:val="268"/>
        </w:trPr>
        <w:tc>
          <w:tcPr>
            <w:tcW w:w="4160" w:type="dxa"/>
            <w:vAlign w:val="bottom"/>
          </w:tcPr>
          <w:p>
            <w:pPr>
              <w:spacing w:after="0"/>
              <w:rPr>
                <w:sz w:val="20"/>
                <w:szCs w:val="20"/>
                <w:color w:val="auto"/>
              </w:rPr>
            </w:pPr>
            <w:r>
              <w:rPr>
                <w:rFonts w:ascii="Courier New" w:cs="Courier New" w:eastAsia="Courier New" w:hAnsi="Courier New"/>
                <w:sz w:val="12"/>
                <w:szCs w:val="12"/>
                <w:color w:val="auto"/>
              </w:rPr>
              <w:t>Limited Partners</w:t>
            </w:r>
          </w:p>
        </w:tc>
        <w:tc>
          <w:tcPr>
            <w:tcW w:w="15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160" w:type="dxa"/>
            <w:vAlign w:val="bottom"/>
          </w:tcPr>
          <w:p>
            <w:pPr>
              <w:ind w:left="1760"/>
              <w:spacing w:after="0"/>
              <w:rPr>
                <w:sz w:val="20"/>
                <w:szCs w:val="20"/>
                <w:color w:val="auto"/>
              </w:rPr>
            </w:pPr>
            <w:r>
              <w:rPr>
                <w:rFonts w:ascii="Courier New" w:cs="Courier New" w:eastAsia="Courier New" w:hAnsi="Courier New"/>
                <w:sz w:val="12"/>
                <w:szCs w:val="12"/>
                <w:color w:val="auto"/>
              </w:rPr>
              <w:t>Simon Property Group, LP</w:t>
            </w:r>
          </w:p>
        </w:tc>
        <w:tc>
          <w:tcPr>
            <w:tcW w:w="15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14.011%</w:t>
            </w:r>
          </w:p>
        </w:tc>
        <w:tc>
          <w:tcPr>
            <w:tcW w:w="12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14.011%</w:t>
            </w:r>
          </w:p>
        </w:tc>
        <w:tc>
          <w:tcPr>
            <w:tcW w:w="0" w:type="dxa"/>
            <w:vAlign w:val="bottom"/>
          </w:tcPr>
          <w:p>
            <w:pPr>
              <w:spacing w:after="0"/>
              <w:rPr>
                <w:sz w:val="1"/>
                <w:szCs w:val="1"/>
                <w:color w:val="auto"/>
              </w:rPr>
            </w:pPr>
          </w:p>
        </w:tc>
      </w:tr>
      <w:tr>
        <w:trPr>
          <w:trHeight w:val="135"/>
        </w:trPr>
        <w:tc>
          <w:tcPr>
            <w:tcW w:w="4160" w:type="dxa"/>
            <w:vAlign w:val="bottom"/>
          </w:tcPr>
          <w:p>
            <w:pPr>
              <w:ind w:left="1760"/>
              <w:spacing w:after="0"/>
              <w:rPr>
                <w:sz w:val="20"/>
                <w:szCs w:val="20"/>
                <w:color w:val="auto"/>
              </w:rPr>
            </w:pPr>
            <w:r>
              <w:rPr>
                <w:rFonts w:ascii="Courier New" w:cs="Courier New" w:eastAsia="Courier New" w:hAnsi="Courier New"/>
                <w:sz w:val="12"/>
                <w:szCs w:val="12"/>
                <w:color w:val="auto"/>
              </w:rPr>
              <w:t>CPG Holdings, LLC</w:t>
            </w:r>
          </w:p>
        </w:tc>
        <w:tc>
          <w:tcPr>
            <w:tcW w:w="15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35.889%</w:t>
            </w:r>
          </w:p>
        </w:tc>
        <w:tc>
          <w:tcPr>
            <w:tcW w:w="12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84.989%</w:t>
            </w: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5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7"/>
        </w:trPr>
        <w:tc>
          <w:tcPr>
            <w:tcW w:w="4160" w:type="dxa"/>
            <w:vAlign w:val="bottom"/>
          </w:tcPr>
          <w:p>
            <w:pPr>
              <w:ind w:left="1760"/>
              <w:spacing w:after="0"/>
              <w:rPr>
                <w:sz w:val="20"/>
                <w:szCs w:val="20"/>
                <w:color w:val="auto"/>
              </w:rPr>
            </w:pPr>
            <w:r>
              <w:rPr>
                <w:rFonts w:ascii="Courier New" w:cs="Courier New" w:eastAsia="Courier New" w:hAnsi="Courier New"/>
                <w:sz w:val="12"/>
                <w:szCs w:val="12"/>
                <w:b w:val="1"/>
                <w:bCs w:val="1"/>
                <w:color w:val="auto"/>
              </w:rPr>
              <w:t>Total</w:t>
            </w:r>
          </w:p>
        </w:tc>
        <w:tc>
          <w:tcPr>
            <w:tcW w:w="15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100.000%</w:t>
            </w:r>
          </w:p>
        </w:tc>
        <w:tc>
          <w:tcPr>
            <w:tcW w:w="12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ind w:right="500"/>
        <w:spacing w:after="0" w:line="328" w:lineRule="auto"/>
        <w:rPr>
          <w:sz w:val="20"/>
          <w:szCs w:val="20"/>
          <w:color w:val="auto"/>
        </w:rPr>
      </w:pPr>
      <w:r>
        <w:rPr>
          <w:rFonts w:ascii="Arial" w:cs="Arial" w:eastAsia="Arial" w:hAnsi="Arial"/>
          <w:sz w:val="19"/>
          <w:szCs w:val="19"/>
          <w:color w:val="auto"/>
        </w:rPr>
        <w:t>On June 1, 2005, the Company reorganized its capital structure, whereby Chelsea Property Group, Inc., in a partial liquidation transferred a portion of its capital and profit interests to the newly formed limited partner, CPG Holdings LLC.</w:t>
      </w:r>
    </w:p>
    <w:p>
      <w:pPr>
        <w:spacing w:after="0" w:line="105"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The OP specializes in owning, developing, leasing, marketing and managing upscale and fashion-oriented manufacturers’ outlet centers. As of June 30, 2005, the OP wholly or partially-owned 61 centers in 30 states, Japan and Mexico containing approximately 17.3 million square feet of gross leasable area ("GLA"); the OP’s portfolio comprised 42 domestic and international outlet centers containing 14.9 million square feet of GLA (the "Outlets") and 19 other centers containing approximately 2.4 million square feet of GLA ("Other Retail") (collectively the "Properties"). The Outlets generated approximately 97% of the OP’s real estate net operating income for the six months ended June 30, 2005, and 2004. The Outlets generally are located near metropolitan areas including New York City, Los Angeles, Chicago, Boston, Washington, D.C., San Francisco, Sacramento, Atlanta, Dallas, Seattle, Mexico City, Mexico and Tokyo, Osaka and Nagoya, Japan. Some Outlets are also located within 20 miles of major tourist destinations including Palm Springs, Napa Valley, Orlando, Las Vegas and Honolulu</w:t>
      </w:r>
      <w:r>
        <w:rPr>
          <w:rFonts w:ascii="Arial" w:cs="Arial" w:eastAsia="Arial" w:hAnsi="Arial"/>
          <w:sz w:val="19"/>
          <w:szCs w:val="19"/>
          <w:b w:val="1"/>
          <w:bCs w:val="1"/>
          <w:color w:val="auto"/>
        </w:rPr>
        <w:t>.</w:t>
      </w:r>
    </w:p>
    <w:p>
      <w:pPr>
        <w:spacing w:after="0" w:line="159" w:lineRule="exact"/>
        <w:rPr>
          <w:sz w:val="20"/>
          <w:szCs w:val="20"/>
          <w:color w:val="auto"/>
        </w:rPr>
      </w:pPr>
    </w:p>
    <w:p>
      <w:pPr>
        <w:ind w:right="160"/>
        <w:spacing w:after="0" w:line="297" w:lineRule="auto"/>
        <w:rPr>
          <w:sz w:val="20"/>
          <w:szCs w:val="20"/>
          <w:color w:val="auto"/>
        </w:rPr>
      </w:pPr>
      <w:r>
        <w:rPr>
          <w:rFonts w:ascii="Arial" w:cs="Arial" w:eastAsia="Arial" w:hAnsi="Arial"/>
          <w:sz w:val="19"/>
          <w:szCs w:val="19"/>
          <w:color w:val="auto"/>
        </w:rPr>
        <w:t>The consolidated financial statements contain the accounts of the Operating Partnership and its majority-owned subsidiaries. Such subsidiaries represent partnerships in which the OP has greater than a 50% ownership interest and the ability to maintain operational control. All significant intercompany transactions and accounts have been eliminated in consolidation.</w:t>
      </w: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accounting principles generally accepted in the United States for complete financial statements. In the opinion of management, all adjustments (consisting of normal recurring accruals) considered necessary for fair presentation have been included. Operating results for the six months ended June 30, 2005, are not necessarily indicative of the results that may be expected for the year ending December 31, 2005. The balance sheet at December 31, 2004 has been derived from the audited financial statements at that date but does not</w:t>
      </w:r>
    </w:p>
    <w:p>
      <w:pPr>
        <w:sectPr>
          <w:pgSz w:w="11900" w:h="16838" w:orient="portrait"/>
          <w:cols w:equalWidth="0" w:num="1">
            <w:col w:w="11420"/>
          </w:cols>
          <w:pgMar w:left="240" w:top="132" w:right="239" w:bottom="0" w:gutter="0" w:footer="0" w:header="0"/>
        </w:sectPr>
      </w:pPr>
    </w:p>
    <w:bookmarkStart w:id="3" w:name="page4"/>
    <w:bookmarkEnd w:id="3"/>
    <w:p>
      <w:pPr>
        <w:ind w:right="120"/>
        <w:spacing w:after="0" w:line="298" w:lineRule="auto"/>
        <w:rPr>
          <w:sz w:val="20"/>
          <w:szCs w:val="20"/>
          <w:color w:val="auto"/>
        </w:rPr>
      </w:pPr>
      <w:r>
        <w:rPr>
          <w:rFonts w:ascii="Arial" w:cs="Arial" w:eastAsia="Arial" w:hAnsi="Arial"/>
          <w:sz w:val="19"/>
          <w:szCs w:val="19"/>
          <w:color w:val="auto"/>
        </w:rPr>
        <w:t>include all of the information and footnotes required by accounting principles generally accepted in the United States for complete financial statements. These financial statements should be read in conjunction with the consolidated financial statements and accompanying notes included in the OP’s Annual Report on Form 10-K for the year ended December 31, 2004.</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Certain amounts in the prior year financial statements have been reclassified to conform to current year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59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Notes to Consolidated Financial Statements </w:t>
      </w:r>
      <w:r>
        <w:rPr>
          <w:rFonts w:ascii="Arial" w:cs="Arial" w:eastAsia="Arial" w:hAnsi="Arial"/>
          <w:sz w:val="22"/>
          <w:szCs w:val="22"/>
          <w:b w:val="1"/>
          <w:bCs w:val="1"/>
          <w:i w:val="1"/>
          <w:iCs w:val="1"/>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Dispositions</w:t>
      </w:r>
    </w:p>
    <w:p>
      <w:pPr>
        <w:spacing w:after="0" w:line="212" w:lineRule="exact"/>
        <w:rPr>
          <w:sz w:val="20"/>
          <w:szCs w:val="20"/>
          <w:color w:val="auto"/>
        </w:rPr>
      </w:pPr>
    </w:p>
    <w:p>
      <w:pPr>
        <w:ind w:right="80"/>
        <w:spacing w:after="0"/>
        <w:rPr>
          <w:sz w:val="20"/>
          <w:szCs w:val="20"/>
          <w:color w:val="auto"/>
        </w:rPr>
      </w:pPr>
      <w:r>
        <w:rPr>
          <w:rFonts w:ascii="Arial" w:cs="Arial" w:eastAsia="Arial" w:hAnsi="Arial"/>
          <w:sz w:val="22"/>
          <w:szCs w:val="22"/>
          <w:color w:val="auto"/>
        </w:rPr>
        <w:t>In March 2005, the OP sold Lakeland Factory Outlet Mall, a 319,000 square-foot center located in Lakeland, Tennessee. Net proceeds from the sale of the center were approximately $3.8 million, the net book value was $3.5 million and the OP recognized a $0.3 million gain.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Investments in Affiliates</w:t>
      </w:r>
    </w:p>
    <w:p>
      <w:pPr>
        <w:spacing w:after="0" w:line="212"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color w:val="auto"/>
        </w:rPr>
        <w:t>The OP holds interests in several domestic and international joint ventures. Non-controlling investments are accounted for under the equity method. Equity in earnings or losses of these affiliates, and related management, advisory, license, leasing and guarantee fees earned, are included in income from unconsolidated investments in the accompanying financial statements.</w:t>
      </w:r>
    </w:p>
    <w:p>
      <w:pPr>
        <w:spacing w:after="0" w:line="134" w:lineRule="exact"/>
        <w:rPr>
          <w:sz w:val="20"/>
          <w:szCs w:val="20"/>
          <w:color w:val="auto"/>
        </w:rPr>
      </w:pPr>
    </w:p>
    <w:p>
      <w:pPr>
        <w:ind w:right="200"/>
        <w:spacing w:after="0" w:line="252" w:lineRule="auto"/>
        <w:rPr>
          <w:sz w:val="20"/>
          <w:szCs w:val="20"/>
          <w:color w:val="auto"/>
        </w:rPr>
      </w:pPr>
      <w:r>
        <w:rPr>
          <w:rFonts w:ascii="Arial" w:cs="Arial" w:eastAsia="Arial" w:hAnsi="Arial"/>
          <w:sz w:val="21"/>
          <w:szCs w:val="21"/>
          <w:color w:val="auto"/>
        </w:rPr>
        <w:t>At June 30, 2005, the OP’s interests in joint ventures included a 50% interest in Las Vegas Premium Outlets and a 50% interest in Chicago Premium Outlets with Simon (collectively "Simon Ventures"); a 40% interest in Chelsea Japan Co., Ltd. ("Chelsea Japan"); a 50% interest in Premium Outlets Punta Norte ("Chelsea Mexico"); and minority interests in various outlet centers and development projects in Europe operated by Value Retail PLC ("Value Retail").</w:t>
      </w:r>
    </w:p>
    <w:p>
      <w:pPr>
        <w:spacing w:after="0" w:line="174" w:lineRule="exact"/>
        <w:rPr>
          <w:sz w:val="20"/>
          <w:szCs w:val="20"/>
          <w:color w:val="auto"/>
        </w:rPr>
      </w:pPr>
    </w:p>
    <w:p>
      <w:pPr>
        <w:ind w:right="240"/>
        <w:spacing w:after="0" w:line="249" w:lineRule="auto"/>
        <w:rPr>
          <w:sz w:val="20"/>
          <w:szCs w:val="20"/>
          <w:color w:val="auto"/>
        </w:rPr>
      </w:pPr>
      <w:r>
        <w:rPr>
          <w:rFonts w:ascii="Arial" w:cs="Arial" w:eastAsia="Arial" w:hAnsi="Arial"/>
          <w:sz w:val="21"/>
          <w:szCs w:val="21"/>
          <w:color w:val="auto"/>
        </w:rPr>
        <w:t>In March 2005, Chelsea Japan opened its fifth project, the 178,000 square-foot first phase of Toki Premium Outlets located near Nagoya, Japan. Chelsea Japan owns and operates four other centers: Gotemba Premium Outlets, a 390,000 square-foot property located 60 miles west of Tokyo; Rinku Premium Outlets, a 321,000 square-foot property located near Osaka; Sano Premium Outlets, a 229,000 square-foot property located about 40 miles north of Tokyo, and Tosu Premium Outlets, a 187,000 square-foot property located approximately 20 miles south of Fukuoka.</w:t>
      </w:r>
    </w:p>
    <w:p>
      <w:pPr>
        <w:spacing w:after="0" w:line="179" w:lineRule="exact"/>
        <w:rPr>
          <w:sz w:val="20"/>
          <w:szCs w:val="20"/>
          <w:color w:val="auto"/>
        </w:rPr>
      </w:pPr>
    </w:p>
    <w:p>
      <w:pPr>
        <w:ind w:right="180"/>
        <w:spacing w:after="0" w:line="274" w:lineRule="auto"/>
        <w:rPr>
          <w:sz w:val="20"/>
          <w:szCs w:val="20"/>
          <w:color w:val="auto"/>
        </w:rPr>
      </w:pPr>
      <w:r>
        <w:rPr>
          <w:rFonts w:ascii="Arial" w:cs="Arial" w:eastAsia="Arial" w:hAnsi="Arial"/>
          <w:sz w:val="21"/>
          <w:szCs w:val="21"/>
          <w:color w:val="auto"/>
        </w:rPr>
        <w:t>In August 2002, the OP and Simon entered into a 50/50 joint venture to develop and operate Chicago Premium Outlets, a 438,000 square-foot single-phase Premium Outlet center located in Aurora, Illinois, which opened in May 2004.</w:t>
      </w:r>
    </w:p>
    <w:p>
      <w:pPr>
        <w:spacing w:after="0" w:line="151" w:lineRule="exact"/>
        <w:rPr>
          <w:sz w:val="20"/>
          <w:szCs w:val="20"/>
          <w:color w:val="auto"/>
        </w:rPr>
      </w:pPr>
    </w:p>
    <w:p>
      <w:pPr>
        <w:ind w:right="240"/>
        <w:spacing w:after="0" w:line="274" w:lineRule="auto"/>
        <w:rPr>
          <w:sz w:val="20"/>
          <w:szCs w:val="20"/>
          <w:color w:val="auto"/>
        </w:rPr>
      </w:pPr>
      <w:r>
        <w:rPr>
          <w:rFonts w:ascii="Arial" w:cs="Arial" w:eastAsia="Arial" w:hAnsi="Arial"/>
          <w:sz w:val="21"/>
          <w:szCs w:val="21"/>
          <w:color w:val="auto"/>
        </w:rPr>
        <w:t>In June 2002, the OP and Simon entered into a 50/50 joint venture to develop and operate Las Vegas Premium Outlets, a 435,000 square-foot single-phase outlet center located in Las Vegas, Nevada, which opened in August 2003.</w:t>
      </w:r>
    </w:p>
    <w:p>
      <w:pPr>
        <w:spacing w:after="0" w:line="151"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In May 2002, the OP entered into a 50/50 joint venture agreement with Sordo Madaleno y Asociados and affiliates to jointly develop Premium Outlet centers in Mexico. In December 2004, the joint venture opened its first project; a 232,000 square-foot first phase of Premium Outlets Punta Norte, located near Mexico City. In February 2005, the OP repaid the outstanding balance of the 180 million peso-denominated credit facility entered into by a wholly owned subsidiary of the OP. The revolving facility, guaranteed by the Company and OP, is available to fund the OP’s share of construction costs for projects in Mexico.</w:t>
      </w:r>
    </w:p>
    <w:p>
      <w:pPr>
        <w:spacing w:after="0" w:line="148"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The OP has minority interests ranging from 3% to 8% in several outlet centers and outlet development projects in Europe. The OP’s total investment in Europe as of June 30, 2005 was $3.6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59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rPr>
          <w:sz w:val="20"/>
          <w:szCs w:val="20"/>
          <w:color w:val="auto"/>
        </w:rPr>
      </w:pPr>
      <w:r>
        <w:rPr>
          <w:rFonts w:ascii="Arial" w:cs="Arial" w:eastAsia="Arial" w:hAnsi="Arial"/>
          <w:sz w:val="22"/>
          <w:szCs w:val="22"/>
          <w:b w:val="1"/>
          <w:bCs w:val="1"/>
          <w:i w:val="1"/>
          <w:iCs w:val="1"/>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Investments in Affiliates (continued)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a summary of investments in and amounts due from affiliates at June 30, 2005 (in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180" w:type="dxa"/>
            <w:vAlign w:val="bottom"/>
          </w:tcPr>
          <w:p>
            <w:pPr>
              <w:spacing w:after="0"/>
              <w:rPr>
                <w:sz w:val="11"/>
                <w:szCs w:val="11"/>
                <w:color w:val="auto"/>
              </w:rPr>
            </w:pP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Simon</w:t>
            </w:r>
          </w:p>
        </w:tc>
        <w:tc>
          <w:tcPr>
            <w:tcW w:w="116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Chelsea</w:t>
            </w:r>
          </w:p>
        </w:tc>
        <w:tc>
          <w:tcPr>
            <w:tcW w:w="110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Chelsea</w:t>
            </w:r>
          </w:p>
        </w:tc>
        <w:tc>
          <w:tcPr>
            <w:tcW w:w="1020" w:type="dxa"/>
            <w:vAlign w:val="bottom"/>
          </w:tcPr>
          <w:p>
            <w:pPr>
              <w:spacing w:after="0"/>
              <w:rPr>
                <w:sz w:val="11"/>
                <w:szCs w:val="11"/>
                <w:color w:val="auto"/>
              </w:rPr>
            </w:pPr>
          </w:p>
        </w:tc>
        <w:tc>
          <w:tcPr>
            <w:tcW w:w="382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Ventures</w:t>
            </w:r>
          </w:p>
        </w:tc>
        <w:tc>
          <w:tcPr>
            <w:tcW w:w="116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Japan</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Mexico</w:t>
            </w: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Other</w:t>
            </w:r>
          </w:p>
        </w:tc>
        <w:tc>
          <w:tcPr>
            <w:tcW w:w="3820" w:type="dxa"/>
            <w:vAlign w:val="bottom"/>
          </w:tcPr>
          <w:p>
            <w:pPr>
              <w:jc w:val="right"/>
              <w:ind w:right="3119"/>
              <w:spacing w:after="0"/>
              <w:rPr>
                <w:sz w:val="20"/>
                <w:szCs w:val="20"/>
                <w:color w:val="auto"/>
              </w:rPr>
            </w:pPr>
            <w:r>
              <w:rPr>
                <w:rFonts w:ascii="Courier New" w:cs="Courier New" w:eastAsia="Courier New" w:hAnsi="Courier New"/>
                <w:sz w:val="12"/>
                <w:szCs w:val="12"/>
                <w:b w:val="1"/>
                <w:bCs w:val="1"/>
                <w:color w:val="auto"/>
              </w:rPr>
              <w:t>Total</w:t>
            </w:r>
          </w:p>
        </w:tc>
      </w:tr>
      <w:tr>
        <w:trPr>
          <w:trHeight w:val="135"/>
        </w:trPr>
        <w:tc>
          <w:tcPr>
            <w:tcW w:w="3180" w:type="dxa"/>
            <w:vAlign w:val="bottom"/>
          </w:tcPr>
          <w:p>
            <w:pPr>
              <w:spacing w:after="0"/>
              <w:rPr>
                <w:sz w:val="11"/>
                <w:szCs w:val="11"/>
                <w:color w:val="auto"/>
              </w:rPr>
            </w:pP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w:t>
            </w:r>
          </w:p>
        </w:tc>
        <w:tc>
          <w:tcPr>
            <w:tcW w:w="1160" w:type="dxa"/>
            <w:vAlign w:val="bottom"/>
          </w:tcPr>
          <w:p>
            <w:pPr>
              <w:jc w:val="center"/>
              <w:ind w:right="19"/>
              <w:spacing w:after="0"/>
              <w:rPr>
                <w:sz w:val="20"/>
                <w:szCs w:val="20"/>
                <w:color w:val="auto"/>
              </w:rPr>
            </w:pPr>
            <w:r>
              <w:rPr>
                <w:rFonts w:ascii="Courier New" w:cs="Courier New" w:eastAsia="Courier New" w:hAnsi="Courier New"/>
                <w:sz w:val="12"/>
                <w:szCs w:val="12"/>
                <w:b w:val="1"/>
                <w:bCs w:val="1"/>
                <w:color w:val="auto"/>
              </w:rPr>
              <w:t>-------------</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w:t>
            </w:r>
          </w:p>
        </w:tc>
        <w:tc>
          <w:tcPr>
            <w:tcW w:w="3820" w:type="dxa"/>
            <w:vAlign w:val="bottom"/>
          </w:tcPr>
          <w:p>
            <w:pPr>
              <w:jc w:val="right"/>
              <w:ind w:right="2739"/>
              <w:spacing w:after="0"/>
              <w:rPr>
                <w:sz w:val="20"/>
                <w:szCs w:val="20"/>
                <w:color w:val="auto"/>
              </w:rPr>
            </w:pPr>
            <w:r>
              <w:rPr>
                <w:rFonts w:ascii="Courier New" w:cs="Courier New" w:eastAsia="Courier New" w:hAnsi="Courier New"/>
                <w:sz w:val="12"/>
                <w:szCs w:val="12"/>
                <w:b w:val="1"/>
                <w:bCs w:val="1"/>
                <w:color w:val="auto"/>
              </w:rPr>
              <w:t>-------------</w:t>
            </w:r>
          </w:p>
        </w:tc>
      </w:tr>
      <w:tr>
        <w:trPr>
          <w:trHeight w:val="137"/>
        </w:trPr>
        <w:tc>
          <w:tcPr>
            <w:tcW w:w="318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Balance December 31, 2004</w:t>
            </w:r>
            <w:r>
              <w:rPr>
                <w:rFonts w:ascii="Courier New" w:cs="Courier New" w:eastAsia="Courier New" w:hAnsi="Courier New"/>
                <w:sz w:val="12"/>
                <w:szCs w:val="12"/>
                <w:color w:val="auto"/>
              </w:rPr>
              <w:t>..............</w:t>
            </w: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$103,252</w:t>
            </w:r>
          </w:p>
        </w:tc>
        <w:tc>
          <w:tcPr>
            <w:tcW w:w="11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$26,783</w:t>
            </w:r>
          </w:p>
        </w:tc>
        <w:tc>
          <w:tcPr>
            <w:tcW w:w="11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$15,874</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$3,722</w:t>
            </w:r>
          </w:p>
        </w:tc>
        <w:tc>
          <w:tcPr>
            <w:tcW w:w="3820" w:type="dxa"/>
            <w:vAlign w:val="bottom"/>
          </w:tcPr>
          <w:p>
            <w:pPr>
              <w:jc w:val="right"/>
              <w:ind w:right="2819"/>
              <w:spacing w:after="0"/>
              <w:rPr>
                <w:sz w:val="20"/>
                <w:szCs w:val="20"/>
                <w:color w:val="auto"/>
              </w:rPr>
            </w:pPr>
            <w:r>
              <w:rPr>
                <w:rFonts w:ascii="Courier New" w:cs="Courier New" w:eastAsia="Courier New" w:hAnsi="Courier New"/>
                <w:sz w:val="12"/>
                <w:szCs w:val="12"/>
                <w:color w:val="auto"/>
              </w:rPr>
              <w:t>$149,631</w:t>
            </w:r>
          </w:p>
        </w:tc>
      </w:tr>
      <w:tr>
        <w:trPr>
          <w:trHeight w:val="270"/>
        </w:trPr>
        <w:tc>
          <w:tcPr>
            <w:tcW w:w="318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Additional investment...............</w:t>
            </w: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38</w:t>
            </w:r>
          </w:p>
        </w:tc>
        <w:tc>
          <w:tcPr>
            <w:tcW w:w="11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135</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3</w:t>
            </w:r>
          </w:p>
        </w:tc>
        <w:tc>
          <w:tcPr>
            <w:tcW w:w="3820" w:type="dxa"/>
            <w:vAlign w:val="bottom"/>
          </w:tcPr>
          <w:p>
            <w:pPr>
              <w:jc w:val="right"/>
              <w:ind w:right="2819"/>
              <w:spacing w:after="0"/>
              <w:rPr>
                <w:sz w:val="20"/>
                <w:szCs w:val="20"/>
                <w:color w:val="auto"/>
              </w:rPr>
            </w:pPr>
            <w:r>
              <w:rPr>
                <w:rFonts w:ascii="Courier New" w:cs="Courier New" w:eastAsia="Courier New" w:hAnsi="Courier New"/>
                <w:sz w:val="12"/>
                <w:szCs w:val="12"/>
                <w:color w:val="auto"/>
              </w:rPr>
              <w:t>176</w:t>
            </w:r>
          </w:p>
        </w:tc>
      </w:tr>
      <w:tr>
        <w:trPr>
          <w:trHeight w:val="270"/>
        </w:trPr>
        <w:tc>
          <w:tcPr>
            <w:tcW w:w="31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Income from unconsolidated investments</w:t>
            </w: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6,107</w:t>
            </w:r>
          </w:p>
        </w:tc>
        <w:tc>
          <w:tcPr>
            <w:tcW w:w="11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7,239</w:t>
            </w:r>
          </w:p>
        </w:tc>
        <w:tc>
          <w:tcPr>
            <w:tcW w:w="11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3820" w:type="dxa"/>
            <w:vAlign w:val="bottom"/>
          </w:tcPr>
          <w:p>
            <w:pPr>
              <w:jc w:val="right"/>
              <w:ind w:right="2819"/>
              <w:spacing w:after="0"/>
              <w:rPr>
                <w:sz w:val="20"/>
                <w:szCs w:val="20"/>
                <w:color w:val="auto"/>
              </w:rPr>
            </w:pPr>
            <w:r>
              <w:rPr>
                <w:rFonts w:ascii="Courier New" w:cs="Courier New" w:eastAsia="Courier New" w:hAnsi="Courier New"/>
                <w:sz w:val="12"/>
                <w:szCs w:val="12"/>
                <w:color w:val="auto"/>
              </w:rPr>
              <w:t>13,347</w:t>
            </w:r>
          </w:p>
        </w:tc>
      </w:tr>
      <w:tr>
        <w:trPr>
          <w:trHeight w:val="270"/>
        </w:trPr>
        <w:tc>
          <w:tcPr>
            <w:tcW w:w="318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Distributions and fees..............</w:t>
            </w:r>
          </w:p>
        </w:tc>
        <w:tc>
          <w:tcPr>
            <w:tcW w:w="11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(10,188)</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(3,955)</w:t>
            </w:r>
          </w:p>
        </w:tc>
        <w:tc>
          <w:tcPr>
            <w:tcW w:w="11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3820" w:type="dxa"/>
            <w:vAlign w:val="bottom"/>
          </w:tcPr>
          <w:p>
            <w:pPr>
              <w:jc w:val="right"/>
              <w:ind w:right="2739"/>
              <w:spacing w:after="0"/>
              <w:rPr>
                <w:sz w:val="20"/>
                <w:szCs w:val="20"/>
                <w:color w:val="auto"/>
              </w:rPr>
            </w:pPr>
            <w:r>
              <w:rPr>
                <w:rFonts w:ascii="Courier New" w:cs="Courier New" w:eastAsia="Courier New" w:hAnsi="Courier New"/>
                <w:sz w:val="12"/>
                <w:szCs w:val="12"/>
                <w:color w:val="auto"/>
              </w:rPr>
              <w:t>(14,143)</w:t>
            </w:r>
          </w:p>
        </w:tc>
      </w:tr>
      <w:tr>
        <w:trPr>
          <w:trHeight w:val="270"/>
        </w:trPr>
        <w:tc>
          <w:tcPr>
            <w:tcW w:w="318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Foreign exchange....................</w:t>
            </w: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(235)</w:t>
            </w:r>
          </w:p>
        </w:tc>
        <w:tc>
          <w:tcPr>
            <w:tcW w:w="11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454</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3820" w:type="dxa"/>
            <w:vAlign w:val="bottom"/>
          </w:tcPr>
          <w:p>
            <w:pPr>
              <w:jc w:val="right"/>
              <w:ind w:right="2819"/>
              <w:spacing w:after="0"/>
              <w:rPr>
                <w:sz w:val="20"/>
                <w:szCs w:val="20"/>
                <w:color w:val="auto"/>
              </w:rPr>
            </w:pPr>
            <w:r>
              <w:rPr>
                <w:rFonts w:ascii="Courier New" w:cs="Courier New" w:eastAsia="Courier New" w:hAnsi="Courier New"/>
                <w:sz w:val="12"/>
                <w:szCs w:val="12"/>
                <w:color w:val="auto"/>
              </w:rPr>
              <w:t>219</w:t>
            </w:r>
          </w:p>
        </w:tc>
      </w:tr>
      <w:tr>
        <w:trPr>
          <w:trHeight w:val="268"/>
        </w:trPr>
        <w:tc>
          <w:tcPr>
            <w:tcW w:w="318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Advances (net) .....................</w:t>
            </w:r>
          </w:p>
        </w:tc>
        <w:tc>
          <w:tcPr>
            <w:tcW w:w="11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(231)</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(5,981)</w:t>
            </w:r>
          </w:p>
        </w:tc>
        <w:tc>
          <w:tcPr>
            <w:tcW w:w="11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(89)</w:t>
            </w:r>
          </w:p>
        </w:tc>
        <w:tc>
          <w:tcPr>
            <w:tcW w:w="3820" w:type="dxa"/>
            <w:vAlign w:val="bottom"/>
          </w:tcPr>
          <w:p>
            <w:pPr>
              <w:jc w:val="right"/>
              <w:ind w:right="2739"/>
              <w:spacing w:after="0"/>
              <w:rPr>
                <w:sz w:val="20"/>
                <w:szCs w:val="20"/>
                <w:color w:val="auto"/>
              </w:rPr>
            </w:pPr>
            <w:r>
              <w:rPr>
                <w:rFonts w:ascii="Courier New" w:cs="Courier New" w:eastAsia="Courier New" w:hAnsi="Courier New"/>
                <w:sz w:val="12"/>
                <w:szCs w:val="12"/>
                <w:color w:val="auto"/>
              </w:rPr>
              <w:t>(6,301)</w:t>
            </w:r>
          </w:p>
        </w:tc>
      </w:tr>
      <w:tr>
        <w:trPr>
          <w:trHeight w:val="135"/>
        </w:trPr>
        <w:tc>
          <w:tcPr>
            <w:tcW w:w="3180" w:type="dxa"/>
            <w:vAlign w:val="bottom"/>
          </w:tcPr>
          <w:p>
            <w:pPr>
              <w:spacing w:after="0"/>
              <w:rPr>
                <w:sz w:val="11"/>
                <w:szCs w:val="11"/>
                <w:color w:val="auto"/>
              </w:rPr>
            </w:pP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center"/>
              <w:ind w:right="1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3820" w:type="dxa"/>
            <w:vAlign w:val="bottom"/>
          </w:tcPr>
          <w:p>
            <w:pPr>
              <w:jc w:val="right"/>
              <w:ind w:right="2679"/>
              <w:spacing w:after="0"/>
              <w:rPr>
                <w:sz w:val="20"/>
                <w:szCs w:val="20"/>
                <w:color w:val="auto"/>
              </w:rPr>
            </w:pPr>
            <w:r>
              <w:rPr>
                <w:rFonts w:ascii="Courier New" w:cs="Courier New" w:eastAsia="Courier New" w:hAnsi="Courier New"/>
                <w:sz w:val="12"/>
                <w:szCs w:val="12"/>
                <w:color w:val="auto"/>
              </w:rPr>
              <w:t>------------</w:t>
            </w:r>
          </w:p>
        </w:tc>
      </w:tr>
      <w:tr>
        <w:trPr>
          <w:trHeight w:val="135"/>
        </w:trPr>
        <w:tc>
          <w:tcPr>
            <w:tcW w:w="318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Balance June 30, 2005..................</w:t>
            </w: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$98,940</w:t>
            </w:r>
          </w:p>
        </w:tc>
        <w:tc>
          <w:tcPr>
            <w:tcW w:w="116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$23,889</w:t>
            </w:r>
          </w:p>
        </w:tc>
        <w:tc>
          <w:tcPr>
            <w:tcW w:w="110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$16,464</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$3,636</w:t>
            </w:r>
          </w:p>
        </w:tc>
        <w:tc>
          <w:tcPr>
            <w:tcW w:w="3820" w:type="dxa"/>
            <w:vAlign w:val="bottom"/>
          </w:tcPr>
          <w:p>
            <w:pPr>
              <w:jc w:val="right"/>
              <w:ind w:right="2819"/>
              <w:spacing w:after="0"/>
              <w:rPr>
                <w:sz w:val="20"/>
                <w:szCs w:val="20"/>
                <w:color w:val="auto"/>
              </w:rPr>
            </w:pPr>
            <w:r>
              <w:rPr>
                <w:rFonts w:ascii="Courier New" w:cs="Courier New" w:eastAsia="Courier New" w:hAnsi="Courier New"/>
                <w:sz w:val="12"/>
                <w:szCs w:val="12"/>
                <w:b w:val="1"/>
                <w:bCs w:val="1"/>
                <w:color w:val="auto"/>
              </w:rPr>
              <w:t>$142,929</w:t>
            </w:r>
          </w:p>
        </w:tc>
      </w:tr>
      <w:tr>
        <w:trPr>
          <w:trHeight w:val="137"/>
        </w:trPr>
        <w:tc>
          <w:tcPr>
            <w:tcW w:w="3180" w:type="dxa"/>
            <w:vAlign w:val="bottom"/>
          </w:tcPr>
          <w:p>
            <w:pPr>
              <w:spacing w:after="0"/>
              <w:rPr>
                <w:sz w:val="11"/>
                <w:szCs w:val="11"/>
                <w:color w:val="auto"/>
              </w:rPr>
            </w:pP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center"/>
              <w:ind w:right="1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3820" w:type="dxa"/>
            <w:vAlign w:val="bottom"/>
          </w:tcPr>
          <w:p>
            <w:pPr>
              <w:jc w:val="right"/>
              <w:ind w:right="2679"/>
              <w:spacing w:after="0"/>
              <w:rPr>
                <w:sz w:val="20"/>
                <w:szCs w:val="20"/>
                <w:color w:val="auto"/>
              </w:rPr>
            </w:pPr>
            <w:r>
              <w:rPr>
                <w:rFonts w:ascii="Courier New" w:cs="Courier New" w:eastAsia="Courier New" w:hAnsi="Courier New"/>
                <w:sz w:val="12"/>
                <w:szCs w:val="12"/>
                <w:color w:val="auto"/>
              </w:rPr>
              <w:t>============</w:t>
            </w:r>
          </w:p>
        </w:tc>
      </w:tr>
      <w:tr>
        <w:trPr>
          <w:trHeight w:val="383"/>
        </w:trPr>
        <w:tc>
          <w:tcPr>
            <w:tcW w:w="3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4" w:name="page5"/>
    <w:bookmarkEnd w:id="4"/>
    <w:p>
      <w:pPr>
        <w:jc w:val="center"/>
        <w:ind w:right="-59"/>
        <w:spacing w:after="0"/>
        <w:rPr>
          <w:sz w:val="20"/>
          <w:szCs w:val="20"/>
          <w:color w:val="auto"/>
        </w:rPr>
      </w:pPr>
      <w:r>
        <w:rPr>
          <w:rFonts w:ascii="Arial" w:cs="Arial" w:eastAsia="Arial" w:hAnsi="Arial"/>
          <w:sz w:val="22"/>
          <w:szCs w:val="22"/>
          <w:b w:val="1"/>
          <w:bCs w:val="1"/>
          <w:color w:val="auto"/>
        </w:rPr>
        <w:t>CPG Partners, L.P.</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59"/>
        <w:spacing w:after="0"/>
        <w:rPr>
          <w:sz w:val="20"/>
          <w:szCs w:val="20"/>
          <w:color w:val="auto"/>
        </w:rPr>
      </w:pPr>
      <w:r>
        <w:rPr>
          <w:rFonts w:ascii="Arial" w:cs="Arial" w:eastAsia="Arial" w:hAnsi="Arial"/>
          <w:sz w:val="22"/>
          <w:szCs w:val="22"/>
          <w:b w:val="1"/>
          <w:bCs w:val="1"/>
          <w:i w:val="1"/>
          <w:iCs w:val="1"/>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Investments in Affiliates (continued)</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OP’s share of income before depreciation, depreciation expense and income from unconsolidated investments for the three and six months ended June 30, 2005 and 2004, is as follows (in thousands):</w:t>
      </w:r>
    </w:p>
    <w:p>
      <w:pPr>
        <w:spacing w:after="0" w:line="322" w:lineRule="exact"/>
        <w:rPr>
          <w:sz w:val="20"/>
          <w:szCs w:val="20"/>
          <w:color w:val="auto"/>
        </w:rPr>
      </w:pPr>
    </w:p>
    <w:tbl>
      <w:tblPr>
        <w:tblLayout w:type="fixed"/>
        <w:tblInd w:w="220" w:type="dxa"/>
        <w:tblCellMar>
          <w:top w:w="0" w:type="dxa"/>
          <w:left w:w="0" w:type="dxa"/>
          <w:bottom w:w="0" w:type="dxa"/>
          <w:right w:w="0" w:type="dxa"/>
        </w:tblCellMar>
      </w:tblPr>
      <w:tr>
        <w:trPr>
          <w:trHeight w:val="136"/>
        </w:trPr>
        <w:tc>
          <w:tcPr>
            <w:tcW w:w="16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20" w:type="dxa"/>
            <w:vAlign w:val="bottom"/>
            <w:gridSpan w:val="2"/>
          </w:tcPr>
          <w:p>
            <w:pPr>
              <w:ind w:left="400"/>
              <w:spacing w:after="0"/>
              <w:rPr>
                <w:sz w:val="20"/>
                <w:szCs w:val="20"/>
                <w:color w:val="auto"/>
              </w:rPr>
            </w:pPr>
            <w:r>
              <w:rPr>
                <w:rFonts w:ascii="Courier New" w:cs="Courier New" w:eastAsia="Courier New" w:hAnsi="Courier New"/>
                <w:sz w:val="12"/>
                <w:szCs w:val="12"/>
                <w:b w:val="1"/>
                <w:bCs w:val="1"/>
                <w:color w:val="auto"/>
              </w:rPr>
              <w:t>Three Months Ended June 30,</w:t>
            </w:r>
          </w:p>
        </w:tc>
        <w:tc>
          <w:tcPr>
            <w:tcW w:w="940" w:type="dxa"/>
            <w:vAlign w:val="bottom"/>
          </w:tcPr>
          <w:p>
            <w:pPr>
              <w:spacing w:after="0"/>
              <w:rPr>
                <w:sz w:val="11"/>
                <w:szCs w:val="11"/>
                <w:color w:val="auto"/>
              </w:rPr>
            </w:pPr>
          </w:p>
        </w:tc>
        <w:tc>
          <w:tcPr>
            <w:tcW w:w="1600" w:type="dxa"/>
            <w:vAlign w:val="bottom"/>
          </w:tcPr>
          <w:p>
            <w:pPr>
              <w:spacing w:after="0"/>
              <w:rPr>
                <w:sz w:val="11"/>
                <w:szCs w:val="11"/>
                <w:color w:val="auto"/>
              </w:rPr>
            </w:pPr>
          </w:p>
        </w:tc>
      </w:tr>
      <w:tr>
        <w:trPr>
          <w:trHeight w:val="135"/>
        </w:trPr>
        <w:tc>
          <w:tcPr>
            <w:tcW w:w="1680" w:type="dxa"/>
            <w:vAlign w:val="bottom"/>
          </w:tcPr>
          <w:p>
            <w:pPr>
              <w:spacing w:after="0"/>
              <w:rPr>
                <w:sz w:val="11"/>
                <w:szCs w:val="11"/>
                <w:color w:val="auto"/>
              </w:rPr>
            </w:pPr>
          </w:p>
        </w:tc>
        <w:tc>
          <w:tcPr>
            <w:tcW w:w="7580" w:type="dxa"/>
            <w:vAlign w:val="bottom"/>
            <w:gridSpan w:val="6"/>
          </w:tcPr>
          <w:p>
            <w:pPr>
              <w:jc w:val="right"/>
              <w:spacing w:after="0"/>
              <w:rPr>
                <w:sz w:val="20"/>
                <w:szCs w:val="20"/>
                <w:color w:val="auto"/>
              </w:rPr>
            </w:pPr>
            <w:r>
              <w:rPr>
                <w:rFonts w:ascii="Courier New" w:cs="Courier New" w:eastAsia="Courier New" w:hAnsi="Courier New"/>
                <w:sz w:val="12"/>
                <w:szCs w:val="12"/>
                <w:b w:val="1"/>
                <w:bCs w:val="1"/>
                <w:color w:val="auto"/>
              </w:rPr>
              <w:t>---------------------------------------------------------------------------------------------------</w:t>
            </w:r>
          </w:p>
        </w:tc>
      </w:tr>
      <w:tr>
        <w:trPr>
          <w:trHeight w:val="135"/>
        </w:trPr>
        <w:tc>
          <w:tcPr>
            <w:tcW w:w="16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4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2005</w:t>
            </w:r>
          </w:p>
        </w:tc>
        <w:tc>
          <w:tcPr>
            <w:tcW w:w="15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4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2004</w:t>
            </w:r>
          </w:p>
        </w:tc>
        <w:tc>
          <w:tcPr>
            <w:tcW w:w="1600" w:type="dxa"/>
            <w:vAlign w:val="bottom"/>
          </w:tcPr>
          <w:p>
            <w:pPr>
              <w:spacing w:after="0"/>
              <w:rPr>
                <w:sz w:val="11"/>
                <w:szCs w:val="11"/>
                <w:color w:val="auto"/>
              </w:rPr>
            </w:pPr>
          </w:p>
        </w:tc>
      </w:tr>
      <w:tr>
        <w:trPr>
          <w:trHeight w:val="135"/>
        </w:trPr>
        <w:tc>
          <w:tcPr>
            <w:tcW w:w="1680" w:type="dxa"/>
            <w:vAlign w:val="bottom"/>
          </w:tcPr>
          <w:p>
            <w:pPr>
              <w:spacing w:after="0"/>
              <w:rPr>
                <w:sz w:val="11"/>
                <w:szCs w:val="11"/>
                <w:color w:val="auto"/>
              </w:rPr>
            </w:pPr>
          </w:p>
        </w:tc>
        <w:tc>
          <w:tcPr>
            <w:tcW w:w="7580" w:type="dxa"/>
            <w:vAlign w:val="bottom"/>
            <w:gridSpan w:val="6"/>
          </w:tcPr>
          <w:p>
            <w:pPr>
              <w:jc w:val="right"/>
              <w:spacing w:after="0"/>
              <w:rPr>
                <w:sz w:val="20"/>
                <w:szCs w:val="20"/>
                <w:color w:val="auto"/>
              </w:rPr>
            </w:pPr>
            <w:r>
              <w:rPr>
                <w:rFonts w:ascii="Courier New" w:cs="Courier New" w:eastAsia="Courier New" w:hAnsi="Courier New"/>
                <w:sz w:val="12"/>
                <w:szCs w:val="12"/>
                <w:b w:val="1"/>
                <w:bCs w:val="1"/>
                <w:color w:val="auto"/>
              </w:rPr>
              <w:t>---------------------------------------------------------------------------------------------------</w:t>
            </w:r>
          </w:p>
        </w:tc>
      </w:tr>
      <w:tr>
        <w:trPr>
          <w:trHeight w:val="135"/>
        </w:trPr>
        <w:tc>
          <w:tcPr>
            <w:tcW w:w="16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80" w:type="dxa"/>
            <w:vAlign w:val="bottom"/>
          </w:tcPr>
          <w:p>
            <w:pPr>
              <w:jc w:val="center"/>
              <w:ind w:left="39"/>
              <w:spacing w:after="0"/>
              <w:rPr>
                <w:sz w:val="20"/>
                <w:szCs w:val="20"/>
                <w:color w:val="auto"/>
              </w:rPr>
            </w:pPr>
            <w:r>
              <w:rPr>
                <w:rFonts w:ascii="Courier New" w:cs="Courier New" w:eastAsia="Courier New" w:hAnsi="Courier New"/>
                <w:sz w:val="12"/>
                <w:szCs w:val="12"/>
                <w:b w:val="1"/>
                <w:bCs w:val="1"/>
                <w:color w:val="auto"/>
              </w:rPr>
              <w:t>Income</w:t>
            </w:r>
          </w:p>
        </w:tc>
        <w:tc>
          <w:tcPr>
            <w:tcW w:w="1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0" w:type="dxa"/>
            <w:vAlign w:val="bottom"/>
          </w:tcPr>
          <w:p>
            <w:pPr>
              <w:jc w:val="center"/>
              <w:ind w:right="379"/>
              <w:spacing w:after="0"/>
              <w:rPr>
                <w:sz w:val="20"/>
                <w:szCs w:val="20"/>
                <w:color w:val="auto"/>
              </w:rPr>
            </w:pPr>
            <w:r>
              <w:rPr>
                <w:rFonts w:ascii="Courier New" w:cs="Courier New" w:eastAsia="Courier New" w:hAnsi="Courier New"/>
                <w:sz w:val="12"/>
                <w:szCs w:val="12"/>
                <w:b w:val="1"/>
                <w:bCs w:val="1"/>
                <w:color w:val="auto"/>
              </w:rPr>
              <w:t>Income</w:t>
            </w:r>
          </w:p>
        </w:tc>
      </w:tr>
      <w:tr>
        <w:trPr>
          <w:trHeight w:val="135"/>
        </w:trPr>
        <w:tc>
          <w:tcPr>
            <w:tcW w:w="1680" w:type="dxa"/>
            <w:vAlign w:val="bottom"/>
          </w:tcPr>
          <w:p>
            <w:pPr>
              <w:spacing w:after="0"/>
              <w:rPr>
                <w:sz w:val="11"/>
                <w:szCs w:val="11"/>
                <w:color w:val="auto"/>
              </w:rPr>
            </w:pPr>
          </w:p>
        </w:tc>
        <w:tc>
          <w:tcPr>
            <w:tcW w:w="1380" w:type="dxa"/>
            <w:vAlign w:val="bottom"/>
          </w:tcPr>
          <w:p>
            <w:pPr>
              <w:ind w:left="300"/>
              <w:spacing w:after="0"/>
              <w:rPr>
                <w:sz w:val="20"/>
                <w:szCs w:val="20"/>
                <w:color w:val="auto"/>
              </w:rPr>
            </w:pPr>
            <w:r>
              <w:rPr>
                <w:rFonts w:ascii="Courier New" w:cs="Courier New" w:eastAsia="Courier New" w:hAnsi="Courier New"/>
                <w:sz w:val="12"/>
                <w:szCs w:val="12"/>
                <w:b w:val="1"/>
                <w:bCs w:val="1"/>
                <w:color w:val="auto"/>
              </w:rPr>
              <w:t>Income</w:t>
            </w:r>
          </w:p>
        </w:tc>
        <w:tc>
          <w:tcPr>
            <w:tcW w:w="840" w:type="dxa"/>
            <w:vAlign w:val="bottom"/>
          </w:tcPr>
          <w:p>
            <w:pPr>
              <w:spacing w:after="0"/>
              <w:rPr>
                <w:sz w:val="11"/>
                <w:szCs w:val="11"/>
                <w:color w:val="auto"/>
              </w:rPr>
            </w:pPr>
          </w:p>
        </w:tc>
        <w:tc>
          <w:tcPr>
            <w:tcW w:w="1580" w:type="dxa"/>
            <w:vAlign w:val="bottom"/>
          </w:tcPr>
          <w:p>
            <w:pPr>
              <w:ind w:left="400"/>
              <w:spacing w:after="0"/>
              <w:rPr>
                <w:sz w:val="20"/>
                <w:szCs w:val="20"/>
                <w:color w:val="auto"/>
              </w:rPr>
            </w:pPr>
            <w:r>
              <w:rPr>
                <w:rFonts w:ascii="Courier New" w:cs="Courier New" w:eastAsia="Courier New" w:hAnsi="Courier New"/>
                <w:sz w:val="12"/>
                <w:szCs w:val="12"/>
                <w:b w:val="1"/>
                <w:bCs w:val="1"/>
                <w:color w:val="auto"/>
              </w:rPr>
              <w:t>(loss) from</w:t>
            </w:r>
          </w:p>
        </w:tc>
        <w:tc>
          <w:tcPr>
            <w:tcW w:w="1240" w:type="dxa"/>
            <w:vAlign w:val="bottom"/>
          </w:tcPr>
          <w:p>
            <w:pPr>
              <w:ind w:left="360"/>
              <w:spacing w:after="0"/>
              <w:rPr>
                <w:sz w:val="20"/>
                <w:szCs w:val="20"/>
                <w:color w:val="auto"/>
              </w:rPr>
            </w:pPr>
            <w:r>
              <w:rPr>
                <w:rFonts w:ascii="Courier New" w:cs="Courier New" w:eastAsia="Courier New" w:hAnsi="Courier New"/>
                <w:sz w:val="12"/>
                <w:szCs w:val="12"/>
                <w:b w:val="1"/>
                <w:bCs w:val="1"/>
                <w:color w:val="auto"/>
              </w:rPr>
              <w:t>Income</w:t>
            </w:r>
          </w:p>
        </w:tc>
        <w:tc>
          <w:tcPr>
            <w:tcW w:w="940" w:type="dxa"/>
            <w:vAlign w:val="bottom"/>
          </w:tcPr>
          <w:p>
            <w:pPr>
              <w:spacing w:after="0"/>
              <w:rPr>
                <w:sz w:val="11"/>
                <w:szCs w:val="11"/>
                <w:color w:val="auto"/>
              </w:rPr>
            </w:pPr>
          </w:p>
        </w:tc>
        <w:tc>
          <w:tcPr>
            <w:tcW w:w="1600" w:type="dxa"/>
            <w:vAlign w:val="bottom"/>
          </w:tcPr>
          <w:p>
            <w:pPr>
              <w:jc w:val="center"/>
              <w:ind w:right="359"/>
              <w:spacing w:after="0"/>
              <w:rPr>
                <w:sz w:val="20"/>
                <w:szCs w:val="20"/>
                <w:color w:val="auto"/>
              </w:rPr>
            </w:pPr>
            <w:r>
              <w:rPr>
                <w:rFonts w:ascii="Courier New" w:cs="Courier New" w:eastAsia="Courier New" w:hAnsi="Courier New"/>
                <w:sz w:val="12"/>
                <w:szCs w:val="12"/>
                <w:b w:val="1"/>
                <w:bCs w:val="1"/>
                <w:color w:val="auto"/>
              </w:rPr>
              <w:t>from</w:t>
            </w:r>
          </w:p>
        </w:tc>
      </w:tr>
      <w:tr>
        <w:trPr>
          <w:trHeight w:val="135"/>
        </w:trPr>
        <w:tc>
          <w:tcPr>
            <w:tcW w:w="1680" w:type="dxa"/>
            <w:vAlign w:val="bottom"/>
          </w:tcPr>
          <w:p>
            <w:pPr>
              <w:spacing w:after="0"/>
              <w:rPr>
                <w:sz w:val="11"/>
                <w:szCs w:val="11"/>
                <w:color w:val="auto"/>
              </w:rPr>
            </w:pPr>
          </w:p>
        </w:tc>
        <w:tc>
          <w:tcPr>
            <w:tcW w:w="1380" w:type="dxa"/>
            <w:vAlign w:val="bottom"/>
          </w:tcPr>
          <w:p>
            <w:pPr>
              <w:ind w:left="300"/>
              <w:spacing w:after="0"/>
              <w:rPr>
                <w:sz w:val="20"/>
                <w:szCs w:val="20"/>
                <w:color w:val="auto"/>
              </w:rPr>
            </w:pPr>
            <w:r>
              <w:rPr>
                <w:rFonts w:ascii="Courier New" w:cs="Courier New" w:eastAsia="Courier New" w:hAnsi="Courier New"/>
                <w:sz w:val="12"/>
                <w:szCs w:val="12"/>
                <w:b w:val="1"/>
                <w:bCs w:val="1"/>
                <w:color w:val="auto"/>
              </w:rPr>
              <w:t>before</w:t>
            </w:r>
          </w:p>
        </w:tc>
        <w:tc>
          <w:tcPr>
            <w:tcW w:w="840" w:type="dxa"/>
            <w:vAlign w:val="bottom"/>
          </w:tcPr>
          <w:p>
            <w:pPr>
              <w:spacing w:after="0"/>
              <w:rPr>
                <w:sz w:val="11"/>
                <w:szCs w:val="11"/>
                <w:color w:val="auto"/>
              </w:rPr>
            </w:pPr>
          </w:p>
        </w:tc>
        <w:tc>
          <w:tcPr>
            <w:tcW w:w="1580" w:type="dxa"/>
            <w:vAlign w:val="bottom"/>
          </w:tcPr>
          <w:p>
            <w:pPr>
              <w:jc w:val="center"/>
              <w:ind w:left="59"/>
              <w:spacing w:after="0"/>
              <w:rPr>
                <w:sz w:val="20"/>
                <w:szCs w:val="20"/>
                <w:color w:val="auto"/>
              </w:rPr>
            </w:pPr>
            <w:r>
              <w:rPr>
                <w:rFonts w:ascii="Courier New" w:cs="Courier New" w:eastAsia="Courier New" w:hAnsi="Courier New"/>
                <w:sz w:val="12"/>
                <w:szCs w:val="12"/>
                <w:b w:val="1"/>
                <w:bCs w:val="1"/>
                <w:color w:val="auto"/>
              </w:rPr>
              <w:t>unconsolidated</w:t>
            </w:r>
          </w:p>
        </w:tc>
        <w:tc>
          <w:tcPr>
            <w:tcW w:w="1240" w:type="dxa"/>
            <w:vAlign w:val="bottom"/>
          </w:tcPr>
          <w:p>
            <w:pPr>
              <w:ind w:left="360"/>
              <w:spacing w:after="0"/>
              <w:rPr>
                <w:sz w:val="20"/>
                <w:szCs w:val="20"/>
                <w:color w:val="auto"/>
              </w:rPr>
            </w:pPr>
            <w:r>
              <w:rPr>
                <w:rFonts w:ascii="Courier New" w:cs="Courier New" w:eastAsia="Courier New" w:hAnsi="Courier New"/>
                <w:sz w:val="12"/>
                <w:szCs w:val="12"/>
                <w:b w:val="1"/>
                <w:bCs w:val="1"/>
                <w:color w:val="auto"/>
              </w:rPr>
              <w:t>before</w:t>
            </w:r>
          </w:p>
        </w:tc>
        <w:tc>
          <w:tcPr>
            <w:tcW w:w="940" w:type="dxa"/>
            <w:vAlign w:val="bottom"/>
          </w:tcPr>
          <w:p>
            <w:pPr>
              <w:spacing w:after="0"/>
              <w:rPr>
                <w:sz w:val="11"/>
                <w:szCs w:val="11"/>
                <w:color w:val="auto"/>
              </w:rPr>
            </w:pPr>
          </w:p>
        </w:tc>
        <w:tc>
          <w:tcPr>
            <w:tcW w:w="1600" w:type="dxa"/>
            <w:vAlign w:val="bottom"/>
          </w:tcPr>
          <w:p>
            <w:pPr>
              <w:ind w:left="160"/>
              <w:spacing w:after="0"/>
              <w:rPr>
                <w:sz w:val="20"/>
                <w:szCs w:val="20"/>
                <w:color w:val="auto"/>
              </w:rPr>
            </w:pPr>
            <w:r>
              <w:rPr>
                <w:rFonts w:ascii="Courier New" w:cs="Courier New" w:eastAsia="Courier New" w:hAnsi="Courier New"/>
                <w:sz w:val="12"/>
                <w:szCs w:val="12"/>
                <w:b w:val="1"/>
                <w:bCs w:val="1"/>
                <w:color w:val="auto"/>
              </w:rPr>
              <w:t>unconsolidated</w:t>
            </w:r>
          </w:p>
        </w:tc>
      </w:tr>
      <w:tr>
        <w:trPr>
          <w:trHeight w:val="135"/>
        </w:trPr>
        <w:tc>
          <w:tcPr>
            <w:tcW w:w="1680" w:type="dxa"/>
            <w:vAlign w:val="bottom"/>
          </w:tcPr>
          <w:p>
            <w:pPr>
              <w:spacing w:after="0"/>
              <w:rPr>
                <w:sz w:val="11"/>
                <w:szCs w:val="11"/>
                <w:color w:val="auto"/>
              </w:rPr>
            </w:pPr>
          </w:p>
        </w:tc>
        <w:tc>
          <w:tcPr>
            <w:tcW w:w="1380" w:type="dxa"/>
            <w:vAlign w:val="bottom"/>
          </w:tcPr>
          <w:p>
            <w:pPr>
              <w:ind w:left="300"/>
              <w:spacing w:after="0"/>
              <w:rPr>
                <w:sz w:val="20"/>
                <w:szCs w:val="20"/>
                <w:color w:val="auto"/>
              </w:rPr>
            </w:pPr>
            <w:r>
              <w:rPr>
                <w:rFonts w:ascii="Courier New" w:cs="Courier New" w:eastAsia="Courier New" w:hAnsi="Courier New"/>
                <w:sz w:val="12"/>
                <w:szCs w:val="12"/>
                <w:b w:val="1"/>
                <w:bCs w:val="1"/>
                <w:color w:val="auto"/>
              </w:rPr>
              <w:t>depr.</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Depr.</w:t>
            </w:r>
          </w:p>
        </w:tc>
        <w:tc>
          <w:tcPr>
            <w:tcW w:w="1580" w:type="dxa"/>
            <w:vAlign w:val="bottom"/>
          </w:tcPr>
          <w:p>
            <w:pPr>
              <w:ind w:left="400"/>
              <w:spacing w:after="0"/>
              <w:rPr>
                <w:sz w:val="20"/>
                <w:szCs w:val="20"/>
                <w:color w:val="auto"/>
              </w:rPr>
            </w:pPr>
            <w:r>
              <w:rPr>
                <w:rFonts w:ascii="Courier New" w:cs="Courier New" w:eastAsia="Courier New" w:hAnsi="Courier New"/>
                <w:sz w:val="12"/>
                <w:szCs w:val="12"/>
                <w:b w:val="1"/>
                <w:bCs w:val="1"/>
                <w:color w:val="auto"/>
              </w:rPr>
              <w:t>investments</w:t>
            </w:r>
          </w:p>
        </w:tc>
        <w:tc>
          <w:tcPr>
            <w:tcW w:w="1240" w:type="dxa"/>
            <w:vAlign w:val="bottom"/>
          </w:tcPr>
          <w:p>
            <w:pPr>
              <w:ind w:left="360"/>
              <w:spacing w:after="0"/>
              <w:rPr>
                <w:sz w:val="20"/>
                <w:szCs w:val="20"/>
                <w:color w:val="auto"/>
              </w:rPr>
            </w:pPr>
            <w:r>
              <w:rPr>
                <w:rFonts w:ascii="Courier New" w:cs="Courier New" w:eastAsia="Courier New" w:hAnsi="Courier New"/>
                <w:sz w:val="12"/>
                <w:szCs w:val="12"/>
                <w:b w:val="1"/>
                <w:bCs w:val="1"/>
                <w:color w:val="auto"/>
              </w:rPr>
              <w:t>depr.</w:t>
            </w: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Depr.</w:t>
            </w:r>
          </w:p>
        </w:tc>
        <w:tc>
          <w:tcPr>
            <w:tcW w:w="1600" w:type="dxa"/>
            <w:vAlign w:val="bottom"/>
          </w:tcPr>
          <w:p>
            <w:pPr>
              <w:jc w:val="right"/>
              <w:ind w:right="519"/>
              <w:spacing w:after="0"/>
              <w:rPr>
                <w:sz w:val="20"/>
                <w:szCs w:val="20"/>
                <w:color w:val="auto"/>
              </w:rPr>
            </w:pPr>
            <w:r>
              <w:rPr>
                <w:rFonts w:ascii="Courier New" w:cs="Courier New" w:eastAsia="Courier New" w:hAnsi="Courier New"/>
                <w:sz w:val="12"/>
                <w:szCs w:val="12"/>
                <w:b w:val="1"/>
                <w:bCs w:val="1"/>
                <w:color w:val="auto"/>
              </w:rPr>
              <w:t>investments</w:t>
            </w:r>
          </w:p>
        </w:tc>
      </w:tr>
      <w:tr>
        <w:trPr>
          <w:trHeight w:val="135"/>
        </w:trPr>
        <w:tc>
          <w:tcPr>
            <w:tcW w:w="1680" w:type="dxa"/>
            <w:vAlign w:val="bottom"/>
          </w:tcPr>
          <w:p>
            <w:pPr>
              <w:spacing w:after="0"/>
              <w:rPr>
                <w:sz w:val="11"/>
                <w:szCs w:val="11"/>
                <w:color w:val="auto"/>
              </w:rPr>
            </w:pPr>
          </w:p>
        </w:tc>
        <w:tc>
          <w:tcPr>
            <w:tcW w:w="13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w:t>
            </w:r>
          </w:p>
        </w:tc>
        <w:tc>
          <w:tcPr>
            <w:tcW w:w="158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w:t>
            </w:r>
          </w:p>
        </w:tc>
        <w:tc>
          <w:tcPr>
            <w:tcW w:w="1240" w:type="dxa"/>
            <w:vAlign w:val="bottom"/>
          </w:tcPr>
          <w:p>
            <w:pPr>
              <w:jc w:val="center"/>
              <w:ind w:left="19"/>
              <w:spacing w:after="0"/>
              <w:rPr>
                <w:sz w:val="20"/>
                <w:szCs w:val="20"/>
                <w:color w:val="auto"/>
              </w:rPr>
            </w:pPr>
            <w:r>
              <w:rPr>
                <w:rFonts w:ascii="Courier New" w:cs="Courier New" w:eastAsia="Courier New" w:hAnsi="Courier New"/>
                <w:sz w:val="12"/>
                <w:szCs w:val="12"/>
                <w:b w:val="1"/>
                <w:bCs w:val="1"/>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1600" w:type="dxa"/>
            <w:vAlign w:val="bottom"/>
          </w:tcPr>
          <w:p>
            <w:pPr>
              <w:ind w:left="160"/>
              <w:spacing w:after="0"/>
              <w:rPr>
                <w:sz w:val="20"/>
                <w:szCs w:val="20"/>
                <w:color w:val="auto"/>
              </w:rPr>
            </w:pPr>
            <w:r>
              <w:rPr>
                <w:rFonts w:ascii="Courier New" w:cs="Courier New" w:eastAsia="Courier New" w:hAnsi="Courier New"/>
                <w:sz w:val="12"/>
                <w:szCs w:val="12"/>
                <w:b w:val="1"/>
                <w:bCs w:val="1"/>
                <w:color w:val="auto"/>
              </w:rPr>
              <w:t>---------------</w:t>
            </w:r>
          </w:p>
        </w:tc>
      </w:tr>
      <w:tr>
        <w:trPr>
          <w:trHeight w:val="137"/>
        </w:trPr>
        <w:tc>
          <w:tcPr>
            <w:tcW w:w="1680" w:type="dxa"/>
            <w:vAlign w:val="bottom"/>
          </w:tcPr>
          <w:p>
            <w:pPr>
              <w:spacing w:after="0"/>
              <w:rPr>
                <w:sz w:val="20"/>
                <w:szCs w:val="20"/>
                <w:color w:val="auto"/>
              </w:rPr>
            </w:pPr>
            <w:r>
              <w:rPr>
                <w:rFonts w:ascii="Courier New" w:cs="Courier New" w:eastAsia="Courier New" w:hAnsi="Courier New"/>
                <w:sz w:val="12"/>
                <w:szCs w:val="12"/>
                <w:b w:val="1"/>
                <w:bCs w:val="1"/>
                <w:color w:val="auto"/>
              </w:rPr>
              <w:t>Chelsea Japan</w:t>
            </w:r>
            <w:r>
              <w:rPr>
                <w:rFonts w:ascii="Courier New" w:cs="Courier New" w:eastAsia="Courier New" w:hAnsi="Courier New"/>
                <w:sz w:val="12"/>
                <w:szCs w:val="12"/>
                <w:color w:val="auto"/>
              </w:rPr>
              <w:t>.......</w:t>
            </w:r>
          </w:p>
        </w:tc>
        <w:tc>
          <w:tcPr>
            <w:tcW w:w="138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$5,757</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$1,675</w:t>
            </w:r>
          </w:p>
        </w:tc>
        <w:tc>
          <w:tcPr>
            <w:tcW w:w="158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$4,082</w:t>
            </w:r>
          </w:p>
        </w:tc>
        <w:tc>
          <w:tcPr>
            <w:tcW w:w="1240" w:type="dxa"/>
            <w:vAlign w:val="bottom"/>
          </w:tcPr>
          <w:p>
            <w:pPr>
              <w:jc w:val="center"/>
              <w:ind w:left="19"/>
              <w:spacing w:after="0"/>
              <w:rPr>
                <w:sz w:val="20"/>
                <w:szCs w:val="20"/>
                <w:color w:val="auto"/>
              </w:rPr>
            </w:pPr>
            <w:r>
              <w:rPr>
                <w:rFonts w:ascii="Courier New" w:cs="Courier New" w:eastAsia="Courier New" w:hAnsi="Courier New"/>
                <w:sz w:val="12"/>
                <w:szCs w:val="12"/>
                <w:color w:val="auto"/>
              </w:rPr>
              <w:t>$4,387</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$1,231</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color w:val="auto"/>
              </w:rPr>
              <w:t>$3,156</w:t>
            </w:r>
          </w:p>
        </w:tc>
      </w:tr>
      <w:tr>
        <w:trPr>
          <w:trHeight w:val="270"/>
        </w:trPr>
        <w:tc>
          <w:tcPr>
            <w:tcW w:w="1680" w:type="dxa"/>
            <w:vAlign w:val="bottom"/>
          </w:tcPr>
          <w:p>
            <w:pPr>
              <w:spacing w:after="0"/>
              <w:rPr>
                <w:sz w:val="20"/>
                <w:szCs w:val="20"/>
                <w:color w:val="auto"/>
              </w:rPr>
            </w:pPr>
            <w:r>
              <w:rPr>
                <w:rFonts w:ascii="Courier New" w:cs="Courier New" w:eastAsia="Courier New" w:hAnsi="Courier New"/>
                <w:sz w:val="12"/>
                <w:szCs w:val="12"/>
                <w:b w:val="1"/>
                <w:bCs w:val="1"/>
                <w:color w:val="auto"/>
              </w:rPr>
              <w:t>Simon Ventures</w:t>
            </w:r>
            <w:r>
              <w:rPr>
                <w:rFonts w:ascii="Courier New" w:cs="Courier New" w:eastAsia="Courier New" w:hAnsi="Courier New"/>
                <w:sz w:val="12"/>
                <w:szCs w:val="12"/>
                <w:color w:val="auto"/>
              </w:rPr>
              <w:t>......</w:t>
            </w:r>
          </w:p>
        </w:tc>
        <w:tc>
          <w:tcPr>
            <w:tcW w:w="138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4,266</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1,040</w:t>
            </w:r>
          </w:p>
        </w:tc>
        <w:tc>
          <w:tcPr>
            <w:tcW w:w="158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3,226</w:t>
            </w:r>
          </w:p>
        </w:tc>
        <w:tc>
          <w:tcPr>
            <w:tcW w:w="12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2,797</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648</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color w:val="auto"/>
              </w:rPr>
              <w:t>2,149</w:t>
            </w:r>
          </w:p>
        </w:tc>
      </w:tr>
      <w:tr>
        <w:trPr>
          <w:trHeight w:val="268"/>
        </w:trPr>
        <w:tc>
          <w:tcPr>
            <w:tcW w:w="1680" w:type="dxa"/>
            <w:vAlign w:val="bottom"/>
          </w:tcPr>
          <w:p>
            <w:pPr>
              <w:spacing w:after="0"/>
              <w:rPr>
                <w:sz w:val="20"/>
                <w:szCs w:val="20"/>
                <w:color w:val="auto"/>
              </w:rPr>
            </w:pPr>
            <w:r>
              <w:rPr>
                <w:rFonts w:ascii="Courier New" w:cs="Courier New" w:eastAsia="Courier New" w:hAnsi="Courier New"/>
                <w:sz w:val="12"/>
                <w:szCs w:val="12"/>
                <w:b w:val="1"/>
                <w:bCs w:val="1"/>
                <w:color w:val="auto"/>
              </w:rPr>
              <w:t>Chelsea Mexico</w:t>
            </w:r>
            <w:r>
              <w:rPr>
                <w:rFonts w:ascii="Courier New" w:cs="Courier New" w:eastAsia="Courier New" w:hAnsi="Courier New"/>
                <w:sz w:val="12"/>
                <w:szCs w:val="12"/>
                <w:color w:val="auto"/>
              </w:rPr>
              <w:t>......</w:t>
            </w:r>
          </w:p>
        </w:tc>
        <w:tc>
          <w:tcPr>
            <w:tcW w:w="138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99</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124</w:t>
            </w:r>
          </w:p>
        </w:tc>
        <w:tc>
          <w:tcPr>
            <w:tcW w:w="158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(25)</w:t>
            </w:r>
          </w:p>
        </w:tc>
        <w:tc>
          <w:tcPr>
            <w:tcW w:w="12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color w:val="auto"/>
              </w:rPr>
              <w:t>-</w:t>
            </w:r>
          </w:p>
        </w:tc>
      </w:tr>
      <w:tr>
        <w:trPr>
          <w:trHeight w:val="135"/>
        </w:trPr>
        <w:tc>
          <w:tcPr>
            <w:tcW w:w="1680" w:type="dxa"/>
            <w:vAlign w:val="bottom"/>
          </w:tcPr>
          <w:p>
            <w:pPr>
              <w:spacing w:after="0"/>
              <w:rPr>
                <w:sz w:val="11"/>
                <w:szCs w:val="11"/>
                <w:color w:val="auto"/>
              </w:rPr>
            </w:pPr>
          </w:p>
        </w:tc>
        <w:tc>
          <w:tcPr>
            <w:tcW w:w="13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5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center"/>
              <w:ind w:left="1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60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r>
      <w:tr>
        <w:trPr>
          <w:trHeight w:val="135"/>
        </w:trPr>
        <w:tc>
          <w:tcPr>
            <w:tcW w:w="1680" w:type="dxa"/>
            <w:vAlign w:val="bottom"/>
          </w:tcPr>
          <w:p>
            <w:pPr>
              <w:spacing w:after="0"/>
              <w:rPr>
                <w:sz w:val="20"/>
                <w:szCs w:val="20"/>
                <w:color w:val="auto"/>
              </w:rPr>
            </w:pPr>
            <w:r>
              <w:rPr>
                <w:rFonts w:ascii="Courier New" w:cs="Courier New" w:eastAsia="Courier New" w:hAnsi="Courier New"/>
                <w:sz w:val="12"/>
                <w:szCs w:val="12"/>
                <w:b w:val="1"/>
                <w:bCs w:val="1"/>
                <w:color w:val="auto"/>
              </w:rPr>
              <w:t>Total...............</w:t>
            </w:r>
          </w:p>
        </w:tc>
        <w:tc>
          <w:tcPr>
            <w:tcW w:w="1380" w:type="dxa"/>
            <w:vAlign w:val="bottom"/>
          </w:tcPr>
          <w:p>
            <w:pPr>
              <w:jc w:val="right"/>
              <w:ind w:right="439"/>
              <w:spacing w:after="0"/>
              <w:rPr>
                <w:sz w:val="20"/>
                <w:szCs w:val="20"/>
                <w:color w:val="auto"/>
              </w:rPr>
            </w:pPr>
            <w:r>
              <w:rPr>
                <w:rFonts w:ascii="Courier New" w:cs="Courier New" w:eastAsia="Courier New" w:hAnsi="Courier New"/>
                <w:sz w:val="12"/>
                <w:szCs w:val="12"/>
                <w:b w:val="1"/>
                <w:bCs w:val="1"/>
                <w:color w:val="auto"/>
              </w:rPr>
              <w:t>$10,122</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$2,839</w:t>
            </w:r>
          </w:p>
        </w:tc>
        <w:tc>
          <w:tcPr>
            <w:tcW w:w="1580" w:type="dxa"/>
            <w:vAlign w:val="bottom"/>
          </w:tcPr>
          <w:p>
            <w:pPr>
              <w:jc w:val="right"/>
              <w:ind w:right="599"/>
              <w:spacing w:after="0"/>
              <w:rPr>
                <w:sz w:val="20"/>
                <w:szCs w:val="20"/>
                <w:color w:val="auto"/>
              </w:rPr>
            </w:pPr>
            <w:r>
              <w:rPr>
                <w:rFonts w:ascii="Courier New" w:cs="Courier New" w:eastAsia="Courier New" w:hAnsi="Courier New"/>
                <w:sz w:val="12"/>
                <w:szCs w:val="12"/>
                <w:b w:val="1"/>
                <w:bCs w:val="1"/>
                <w:color w:val="auto"/>
              </w:rPr>
              <w:t>$7,283</w:t>
            </w:r>
          </w:p>
        </w:tc>
        <w:tc>
          <w:tcPr>
            <w:tcW w:w="1240" w:type="dxa"/>
            <w:vAlign w:val="bottom"/>
          </w:tcPr>
          <w:p>
            <w:pPr>
              <w:jc w:val="center"/>
              <w:ind w:left="19"/>
              <w:spacing w:after="0"/>
              <w:rPr>
                <w:sz w:val="20"/>
                <w:szCs w:val="20"/>
                <w:color w:val="auto"/>
              </w:rPr>
            </w:pPr>
            <w:r>
              <w:rPr>
                <w:rFonts w:ascii="Courier New" w:cs="Courier New" w:eastAsia="Courier New" w:hAnsi="Courier New"/>
                <w:sz w:val="12"/>
                <w:szCs w:val="12"/>
                <w:b w:val="1"/>
                <w:bCs w:val="1"/>
                <w:color w:val="auto"/>
              </w:rPr>
              <w:t>$7,184</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$1,879</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b w:val="1"/>
                <w:bCs w:val="1"/>
                <w:color w:val="auto"/>
              </w:rPr>
              <w:t>$5,305</w:t>
            </w:r>
          </w:p>
        </w:tc>
      </w:tr>
      <w:tr>
        <w:trPr>
          <w:trHeight w:val="137"/>
        </w:trPr>
        <w:tc>
          <w:tcPr>
            <w:tcW w:w="1680" w:type="dxa"/>
            <w:vAlign w:val="bottom"/>
          </w:tcPr>
          <w:p>
            <w:pPr>
              <w:spacing w:after="0"/>
              <w:rPr>
                <w:sz w:val="11"/>
                <w:szCs w:val="11"/>
                <w:color w:val="auto"/>
              </w:rPr>
            </w:pPr>
          </w:p>
        </w:tc>
        <w:tc>
          <w:tcPr>
            <w:tcW w:w="13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5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center"/>
              <w:ind w:left="1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60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r>
      <w:tr>
        <w:trPr>
          <w:trHeight w:val="403"/>
        </w:trPr>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20" w:type="dxa"/>
            <w:vAlign w:val="bottom"/>
            <w:gridSpan w:val="2"/>
          </w:tcPr>
          <w:p>
            <w:pPr>
              <w:jc w:val="right"/>
              <w:ind w:right="379"/>
              <w:spacing w:after="0"/>
              <w:rPr>
                <w:sz w:val="20"/>
                <w:szCs w:val="20"/>
                <w:color w:val="auto"/>
              </w:rPr>
            </w:pPr>
            <w:r>
              <w:rPr>
                <w:rFonts w:ascii="Courier New" w:cs="Courier New" w:eastAsia="Courier New" w:hAnsi="Courier New"/>
                <w:sz w:val="12"/>
                <w:szCs w:val="12"/>
                <w:b w:val="1"/>
                <w:bCs w:val="1"/>
                <w:color w:val="auto"/>
              </w:rPr>
              <w:t>Six Months Ended June 30,</w:t>
            </w:r>
          </w:p>
        </w:tc>
        <w:tc>
          <w:tcPr>
            <w:tcW w:w="9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35"/>
        </w:trPr>
        <w:tc>
          <w:tcPr>
            <w:tcW w:w="1680" w:type="dxa"/>
            <w:vAlign w:val="bottom"/>
          </w:tcPr>
          <w:p>
            <w:pPr>
              <w:spacing w:after="0"/>
              <w:rPr>
                <w:sz w:val="11"/>
                <w:szCs w:val="11"/>
                <w:color w:val="auto"/>
              </w:rPr>
            </w:pPr>
          </w:p>
        </w:tc>
        <w:tc>
          <w:tcPr>
            <w:tcW w:w="7580" w:type="dxa"/>
            <w:vAlign w:val="bottom"/>
            <w:gridSpan w:val="6"/>
          </w:tcPr>
          <w:p>
            <w:pPr>
              <w:jc w:val="right"/>
              <w:spacing w:after="0"/>
              <w:rPr>
                <w:sz w:val="20"/>
                <w:szCs w:val="20"/>
                <w:color w:val="auto"/>
              </w:rPr>
            </w:pPr>
            <w:r>
              <w:rPr>
                <w:rFonts w:ascii="Courier New" w:cs="Courier New" w:eastAsia="Courier New" w:hAnsi="Courier New"/>
                <w:sz w:val="12"/>
                <w:szCs w:val="12"/>
                <w:b w:val="1"/>
                <w:bCs w:val="1"/>
                <w:color w:val="auto"/>
              </w:rPr>
              <w:t>---------------------------------------------------------------------------------------------------</w:t>
            </w:r>
          </w:p>
        </w:tc>
      </w:tr>
      <w:tr>
        <w:trPr>
          <w:trHeight w:val="135"/>
        </w:trPr>
        <w:tc>
          <w:tcPr>
            <w:tcW w:w="16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4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2005</w:t>
            </w:r>
          </w:p>
        </w:tc>
        <w:tc>
          <w:tcPr>
            <w:tcW w:w="15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4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2004</w:t>
            </w:r>
          </w:p>
        </w:tc>
        <w:tc>
          <w:tcPr>
            <w:tcW w:w="1600" w:type="dxa"/>
            <w:vAlign w:val="bottom"/>
          </w:tcPr>
          <w:p>
            <w:pPr>
              <w:spacing w:after="0"/>
              <w:rPr>
                <w:sz w:val="11"/>
                <w:szCs w:val="11"/>
                <w:color w:val="auto"/>
              </w:rPr>
            </w:pPr>
          </w:p>
        </w:tc>
      </w:tr>
      <w:tr>
        <w:trPr>
          <w:trHeight w:val="135"/>
        </w:trPr>
        <w:tc>
          <w:tcPr>
            <w:tcW w:w="1680" w:type="dxa"/>
            <w:vAlign w:val="bottom"/>
          </w:tcPr>
          <w:p>
            <w:pPr>
              <w:spacing w:after="0"/>
              <w:rPr>
                <w:sz w:val="11"/>
                <w:szCs w:val="11"/>
                <w:color w:val="auto"/>
              </w:rPr>
            </w:pPr>
          </w:p>
        </w:tc>
        <w:tc>
          <w:tcPr>
            <w:tcW w:w="7580" w:type="dxa"/>
            <w:vAlign w:val="bottom"/>
            <w:gridSpan w:val="6"/>
          </w:tcPr>
          <w:p>
            <w:pPr>
              <w:jc w:val="right"/>
              <w:spacing w:after="0"/>
              <w:rPr>
                <w:sz w:val="20"/>
                <w:szCs w:val="20"/>
                <w:color w:val="auto"/>
              </w:rPr>
            </w:pPr>
            <w:r>
              <w:rPr>
                <w:rFonts w:ascii="Courier New" w:cs="Courier New" w:eastAsia="Courier New" w:hAnsi="Courier New"/>
                <w:sz w:val="12"/>
                <w:szCs w:val="12"/>
                <w:b w:val="1"/>
                <w:bCs w:val="1"/>
                <w:color w:val="auto"/>
              </w:rPr>
              <w:t>---------------------------------------------------------------------------------------------------</w:t>
            </w:r>
          </w:p>
        </w:tc>
      </w:tr>
      <w:tr>
        <w:trPr>
          <w:trHeight w:val="135"/>
        </w:trPr>
        <w:tc>
          <w:tcPr>
            <w:tcW w:w="16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80" w:type="dxa"/>
            <w:vAlign w:val="bottom"/>
          </w:tcPr>
          <w:p>
            <w:pPr>
              <w:jc w:val="center"/>
              <w:ind w:left="39"/>
              <w:spacing w:after="0"/>
              <w:rPr>
                <w:sz w:val="20"/>
                <w:szCs w:val="20"/>
                <w:color w:val="auto"/>
              </w:rPr>
            </w:pPr>
            <w:r>
              <w:rPr>
                <w:rFonts w:ascii="Courier New" w:cs="Courier New" w:eastAsia="Courier New" w:hAnsi="Courier New"/>
                <w:sz w:val="12"/>
                <w:szCs w:val="12"/>
                <w:b w:val="1"/>
                <w:bCs w:val="1"/>
                <w:color w:val="auto"/>
              </w:rPr>
              <w:t>Income</w:t>
            </w:r>
          </w:p>
        </w:tc>
        <w:tc>
          <w:tcPr>
            <w:tcW w:w="1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0" w:type="dxa"/>
            <w:vAlign w:val="bottom"/>
          </w:tcPr>
          <w:p>
            <w:pPr>
              <w:jc w:val="center"/>
              <w:ind w:right="379"/>
              <w:spacing w:after="0"/>
              <w:rPr>
                <w:sz w:val="20"/>
                <w:szCs w:val="20"/>
                <w:color w:val="auto"/>
              </w:rPr>
            </w:pPr>
            <w:r>
              <w:rPr>
                <w:rFonts w:ascii="Courier New" w:cs="Courier New" w:eastAsia="Courier New" w:hAnsi="Courier New"/>
                <w:sz w:val="12"/>
                <w:szCs w:val="12"/>
                <w:b w:val="1"/>
                <w:bCs w:val="1"/>
                <w:color w:val="auto"/>
              </w:rPr>
              <w:t>Income</w:t>
            </w:r>
          </w:p>
        </w:tc>
      </w:tr>
      <w:tr>
        <w:trPr>
          <w:trHeight w:val="135"/>
        </w:trPr>
        <w:tc>
          <w:tcPr>
            <w:tcW w:w="1680" w:type="dxa"/>
            <w:vAlign w:val="bottom"/>
          </w:tcPr>
          <w:p>
            <w:pPr>
              <w:spacing w:after="0"/>
              <w:rPr>
                <w:sz w:val="11"/>
                <w:szCs w:val="11"/>
                <w:color w:val="auto"/>
              </w:rPr>
            </w:pPr>
          </w:p>
        </w:tc>
        <w:tc>
          <w:tcPr>
            <w:tcW w:w="1380" w:type="dxa"/>
            <w:vAlign w:val="bottom"/>
          </w:tcPr>
          <w:p>
            <w:pPr>
              <w:ind w:left="300"/>
              <w:spacing w:after="0"/>
              <w:rPr>
                <w:sz w:val="20"/>
                <w:szCs w:val="20"/>
                <w:color w:val="auto"/>
              </w:rPr>
            </w:pPr>
            <w:r>
              <w:rPr>
                <w:rFonts w:ascii="Courier New" w:cs="Courier New" w:eastAsia="Courier New" w:hAnsi="Courier New"/>
                <w:sz w:val="12"/>
                <w:szCs w:val="12"/>
                <w:b w:val="1"/>
                <w:bCs w:val="1"/>
                <w:color w:val="auto"/>
              </w:rPr>
              <w:t>Income</w:t>
            </w:r>
          </w:p>
        </w:tc>
        <w:tc>
          <w:tcPr>
            <w:tcW w:w="840" w:type="dxa"/>
            <w:vAlign w:val="bottom"/>
          </w:tcPr>
          <w:p>
            <w:pPr>
              <w:spacing w:after="0"/>
              <w:rPr>
                <w:sz w:val="11"/>
                <w:szCs w:val="11"/>
                <w:color w:val="auto"/>
              </w:rPr>
            </w:pPr>
          </w:p>
        </w:tc>
        <w:tc>
          <w:tcPr>
            <w:tcW w:w="1580" w:type="dxa"/>
            <w:vAlign w:val="bottom"/>
          </w:tcPr>
          <w:p>
            <w:pPr>
              <w:jc w:val="right"/>
              <w:ind w:right="599"/>
              <w:spacing w:after="0"/>
              <w:rPr>
                <w:sz w:val="20"/>
                <w:szCs w:val="20"/>
                <w:color w:val="auto"/>
              </w:rPr>
            </w:pPr>
            <w:r>
              <w:rPr>
                <w:rFonts w:ascii="Courier New" w:cs="Courier New" w:eastAsia="Courier New" w:hAnsi="Courier New"/>
                <w:sz w:val="12"/>
                <w:szCs w:val="12"/>
                <w:b w:val="1"/>
                <w:bCs w:val="1"/>
                <w:color w:val="auto"/>
              </w:rPr>
              <w:t>from</w:t>
            </w:r>
          </w:p>
        </w:tc>
        <w:tc>
          <w:tcPr>
            <w:tcW w:w="1240" w:type="dxa"/>
            <w:vAlign w:val="bottom"/>
          </w:tcPr>
          <w:p>
            <w:pPr>
              <w:ind w:left="360"/>
              <w:spacing w:after="0"/>
              <w:rPr>
                <w:sz w:val="20"/>
                <w:szCs w:val="20"/>
                <w:color w:val="auto"/>
              </w:rPr>
            </w:pPr>
            <w:r>
              <w:rPr>
                <w:rFonts w:ascii="Courier New" w:cs="Courier New" w:eastAsia="Courier New" w:hAnsi="Courier New"/>
                <w:sz w:val="12"/>
                <w:szCs w:val="12"/>
                <w:b w:val="1"/>
                <w:bCs w:val="1"/>
                <w:color w:val="auto"/>
              </w:rPr>
              <w:t>Income</w:t>
            </w:r>
          </w:p>
        </w:tc>
        <w:tc>
          <w:tcPr>
            <w:tcW w:w="940" w:type="dxa"/>
            <w:vAlign w:val="bottom"/>
          </w:tcPr>
          <w:p>
            <w:pPr>
              <w:spacing w:after="0"/>
              <w:rPr>
                <w:sz w:val="11"/>
                <w:szCs w:val="11"/>
                <w:color w:val="auto"/>
              </w:rPr>
            </w:pPr>
          </w:p>
        </w:tc>
        <w:tc>
          <w:tcPr>
            <w:tcW w:w="1600" w:type="dxa"/>
            <w:vAlign w:val="bottom"/>
          </w:tcPr>
          <w:p>
            <w:pPr>
              <w:jc w:val="center"/>
              <w:ind w:right="359"/>
              <w:spacing w:after="0"/>
              <w:rPr>
                <w:sz w:val="20"/>
                <w:szCs w:val="20"/>
                <w:color w:val="auto"/>
              </w:rPr>
            </w:pPr>
            <w:r>
              <w:rPr>
                <w:rFonts w:ascii="Courier New" w:cs="Courier New" w:eastAsia="Courier New" w:hAnsi="Courier New"/>
                <w:sz w:val="12"/>
                <w:szCs w:val="12"/>
                <w:b w:val="1"/>
                <w:bCs w:val="1"/>
                <w:color w:val="auto"/>
              </w:rPr>
              <w:t>from</w:t>
            </w:r>
          </w:p>
        </w:tc>
      </w:tr>
      <w:tr>
        <w:trPr>
          <w:trHeight w:val="135"/>
        </w:trPr>
        <w:tc>
          <w:tcPr>
            <w:tcW w:w="1680" w:type="dxa"/>
            <w:vAlign w:val="bottom"/>
          </w:tcPr>
          <w:p>
            <w:pPr>
              <w:spacing w:after="0"/>
              <w:rPr>
                <w:sz w:val="11"/>
                <w:szCs w:val="11"/>
                <w:color w:val="auto"/>
              </w:rPr>
            </w:pPr>
          </w:p>
        </w:tc>
        <w:tc>
          <w:tcPr>
            <w:tcW w:w="1380" w:type="dxa"/>
            <w:vAlign w:val="bottom"/>
          </w:tcPr>
          <w:p>
            <w:pPr>
              <w:ind w:left="300"/>
              <w:spacing w:after="0"/>
              <w:rPr>
                <w:sz w:val="20"/>
                <w:szCs w:val="20"/>
                <w:color w:val="auto"/>
              </w:rPr>
            </w:pPr>
            <w:r>
              <w:rPr>
                <w:rFonts w:ascii="Courier New" w:cs="Courier New" w:eastAsia="Courier New" w:hAnsi="Courier New"/>
                <w:sz w:val="12"/>
                <w:szCs w:val="12"/>
                <w:b w:val="1"/>
                <w:bCs w:val="1"/>
                <w:color w:val="auto"/>
              </w:rPr>
              <w:t>before</w:t>
            </w:r>
          </w:p>
        </w:tc>
        <w:tc>
          <w:tcPr>
            <w:tcW w:w="840" w:type="dxa"/>
            <w:vAlign w:val="bottom"/>
          </w:tcPr>
          <w:p>
            <w:pPr>
              <w:spacing w:after="0"/>
              <w:rPr>
                <w:sz w:val="11"/>
                <w:szCs w:val="11"/>
                <w:color w:val="auto"/>
              </w:rPr>
            </w:pPr>
          </w:p>
        </w:tc>
        <w:tc>
          <w:tcPr>
            <w:tcW w:w="1580" w:type="dxa"/>
            <w:vAlign w:val="bottom"/>
          </w:tcPr>
          <w:p>
            <w:pPr>
              <w:jc w:val="center"/>
              <w:ind w:left="59"/>
              <w:spacing w:after="0"/>
              <w:rPr>
                <w:sz w:val="20"/>
                <w:szCs w:val="20"/>
                <w:color w:val="auto"/>
              </w:rPr>
            </w:pPr>
            <w:r>
              <w:rPr>
                <w:rFonts w:ascii="Courier New" w:cs="Courier New" w:eastAsia="Courier New" w:hAnsi="Courier New"/>
                <w:sz w:val="12"/>
                <w:szCs w:val="12"/>
                <w:b w:val="1"/>
                <w:bCs w:val="1"/>
                <w:color w:val="auto"/>
              </w:rPr>
              <w:t>unconsolidated</w:t>
            </w:r>
          </w:p>
        </w:tc>
        <w:tc>
          <w:tcPr>
            <w:tcW w:w="1240" w:type="dxa"/>
            <w:vAlign w:val="bottom"/>
          </w:tcPr>
          <w:p>
            <w:pPr>
              <w:ind w:left="360"/>
              <w:spacing w:after="0"/>
              <w:rPr>
                <w:sz w:val="20"/>
                <w:szCs w:val="20"/>
                <w:color w:val="auto"/>
              </w:rPr>
            </w:pPr>
            <w:r>
              <w:rPr>
                <w:rFonts w:ascii="Courier New" w:cs="Courier New" w:eastAsia="Courier New" w:hAnsi="Courier New"/>
                <w:sz w:val="12"/>
                <w:szCs w:val="12"/>
                <w:b w:val="1"/>
                <w:bCs w:val="1"/>
                <w:color w:val="auto"/>
              </w:rPr>
              <w:t>before</w:t>
            </w:r>
          </w:p>
        </w:tc>
        <w:tc>
          <w:tcPr>
            <w:tcW w:w="940" w:type="dxa"/>
            <w:vAlign w:val="bottom"/>
          </w:tcPr>
          <w:p>
            <w:pPr>
              <w:spacing w:after="0"/>
              <w:rPr>
                <w:sz w:val="11"/>
                <w:szCs w:val="11"/>
                <w:color w:val="auto"/>
              </w:rPr>
            </w:pPr>
          </w:p>
        </w:tc>
        <w:tc>
          <w:tcPr>
            <w:tcW w:w="1600" w:type="dxa"/>
            <w:vAlign w:val="bottom"/>
          </w:tcPr>
          <w:p>
            <w:pPr>
              <w:ind w:left="160"/>
              <w:spacing w:after="0"/>
              <w:rPr>
                <w:sz w:val="20"/>
                <w:szCs w:val="20"/>
                <w:color w:val="auto"/>
              </w:rPr>
            </w:pPr>
            <w:r>
              <w:rPr>
                <w:rFonts w:ascii="Courier New" w:cs="Courier New" w:eastAsia="Courier New" w:hAnsi="Courier New"/>
                <w:sz w:val="12"/>
                <w:szCs w:val="12"/>
                <w:b w:val="1"/>
                <w:bCs w:val="1"/>
                <w:color w:val="auto"/>
              </w:rPr>
              <w:t>unconsolidated</w:t>
            </w:r>
          </w:p>
        </w:tc>
      </w:tr>
      <w:tr>
        <w:trPr>
          <w:trHeight w:val="135"/>
        </w:trPr>
        <w:tc>
          <w:tcPr>
            <w:tcW w:w="1680" w:type="dxa"/>
            <w:vAlign w:val="bottom"/>
          </w:tcPr>
          <w:p>
            <w:pPr>
              <w:spacing w:after="0"/>
              <w:rPr>
                <w:sz w:val="11"/>
                <w:szCs w:val="11"/>
                <w:color w:val="auto"/>
              </w:rPr>
            </w:pPr>
          </w:p>
        </w:tc>
        <w:tc>
          <w:tcPr>
            <w:tcW w:w="1380" w:type="dxa"/>
            <w:vAlign w:val="bottom"/>
          </w:tcPr>
          <w:p>
            <w:pPr>
              <w:ind w:left="300"/>
              <w:spacing w:after="0"/>
              <w:rPr>
                <w:sz w:val="20"/>
                <w:szCs w:val="20"/>
                <w:color w:val="auto"/>
              </w:rPr>
            </w:pPr>
            <w:r>
              <w:rPr>
                <w:rFonts w:ascii="Courier New" w:cs="Courier New" w:eastAsia="Courier New" w:hAnsi="Courier New"/>
                <w:sz w:val="12"/>
                <w:szCs w:val="12"/>
                <w:b w:val="1"/>
                <w:bCs w:val="1"/>
                <w:color w:val="auto"/>
              </w:rPr>
              <w:t>depr.</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Depr.</w:t>
            </w:r>
          </w:p>
        </w:tc>
        <w:tc>
          <w:tcPr>
            <w:tcW w:w="1580" w:type="dxa"/>
            <w:vAlign w:val="bottom"/>
          </w:tcPr>
          <w:p>
            <w:pPr>
              <w:ind w:left="400"/>
              <w:spacing w:after="0"/>
              <w:rPr>
                <w:sz w:val="20"/>
                <w:szCs w:val="20"/>
                <w:color w:val="auto"/>
              </w:rPr>
            </w:pPr>
            <w:r>
              <w:rPr>
                <w:rFonts w:ascii="Courier New" w:cs="Courier New" w:eastAsia="Courier New" w:hAnsi="Courier New"/>
                <w:sz w:val="12"/>
                <w:szCs w:val="12"/>
                <w:b w:val="1"/>
                <w:bCs w:val="1"/>
                <w:color w:val="auto"/>
              </w:rPr>
              <w:t>investments</w:t>
            </w:r>
          </w:p>
        </w:tc>
        <w:tc>
          <w:tcPr>
            <w:tcW w:w="1240" w:type="dxa"/>
            <w:vAlign w:val="bottom"/>
          </w:tcPr>
          <w:p>
            <w:pPr>
              <w:ind w:left="360"/>
              <w:spacing w:after="0"/>
              <w:rPr>
                <w:sz w:val="20"/>
                <w:szCs w:val="20"/>
                <w:color w:val="auto"/>
              </w:rPr>
            </w:pPr>
            <w:r>
              <w:rPr>
                <w:rFonts w:ascii="Courier New" w:cs="Courier New" w:eastAsia="Courier New" w:hAnsi="Courier New"/>
                <w:sz w:val="12"/>
                <w:szCs w:val="12"/>
                <w:b w:val="1"/>
                <w:bCs w:val="1"/>
                <w:color w:val="auto"/>
              </w:rPr>
              <w:t>depr.</w:t>
            </w: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Depr.</w:t>
            </w:r>
          </w:p>
        </w:tc>
        <w:tc>
          <w:tcPr>
            <w:tcW w:w="1600" w:type="dxa"/>
            <w:vAlign w:val="bottom"/>
          </w:tcPr>
          <w:p>
            <w:pPr>
              <w:jc w:val="right"/>
              <w:ind w:right="519"/>
              <w:spacing w:after="0"/>
              <w:rPr>
                <w:sz w:val="20"/>
                <w:szCs w:val="20"/>
                <w:color w:val="auto"/>
              </w:rPr>
            </w:pPr>
            <w:r>
              <w:rPr>
                <w:rFonts w:ascii="Courier New" w:cs="Courier New" w:eastAsia="Courier New" w:hAnsi="Courier New"/>
                <w:sz w:val="12"/>
                <w:szCs w:val="12"/>
                <w:b w:val="1"/>
                <w:bCs w:val="1"/>
                <w:color w:val="auto"/>
              </w:rPr>
              <w:t>investments</w:t>
            </w:r>
          </w:p>
        </w:tc>
      </w:tr>
      <w:tr>
        <w:trPr>
          <w:trHeight w:val="135"/>
        </w:trPr>
        <w:tc>
          <w:tcPr>
            <w:tcW w:w="1680" w:type="dxa"/>
            <w:vAlign w:val="bottom"/>
          </w:tcPr>
          <w:p>
            <w:pPr>
              <w:spacing w:after="0"/>
              <w:rPr>
                <w:sz w:val="11"/>
                <w:szCs w:val="11"/>
                <w:color w:val="auto"/>
              </w:rPr>
            </w:pPr>
          </w:p>
        </w:tc>
        <w:tc>
          <w:tcPr>
            <w:tcW w:w="13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w:t>
            </w:r>
          </w:p>
        </w:tc>
        <w:tc>
          <w:tcPr>
            <w:tcW w:w="158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w:t>
            </w:r>
          </w:p>
        </w:tc>
        <w:tc>
          <w:tcPr>
            <w:tcW w:w="1240" w:type="dxa"/>
            <w:vAlign w:val="bottom"/>
          </w:tcPr>
          <w:p>
            <w:pPr>
              <w:jc w:val="center"/>
              <w:ind w:left="19"/>
              <w:spacing w:after="0"/>
              <w:rPr>
                <w:sz w:val="20"/>
                <w:szCs w:val="20"/>
                <w:color w:val="auto"/>
              </w:rPr>
            </w:pPr>
            <w:r>
              <w:rPr>
                <w:rFonts w:ascii="Courier New" w:cs="Courier New" w:eastAsia="Courier New" w:hAnsi="Courier New"/>
                <w:sz w:val="12"/>
                <w:szCs w:val="12"/>
                <w:b w:val="1"/>
                <w:bCs w:val="1"/>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1600" w:type="dxa"/>
            <w:vAlign w:val="bottom"/>
          </w:tcPr>
          <w:p>
            <w:pPr>
              <w:ind w:left="160"/>
              <w:spacing w:after="0"/>
              <w:rPr>
                <w:sz w:val="20"/>
                <w:szCs w:val="20"/>
                <w:color w:val="auto"/>
              </w:rPr>
            </w:pPr>
            <w:r>
              <w:rPr>
                <w:rFonts w:ascii="Courier New" w:cs="Courier New" w:eastAsia="Courier New" w:hAnsi="Courier New"/>
                <w:sz w:val="12"/>
                <w:szCs w:val="12"/>
                <w:b w:val="1"/>
                <w:bCs w:val="1"/>
                <w:color w:val="auto"/>
              </w:rPr>
              <w:t>---------------</w:t>
            </w:r>
          </w:p>
        </w:tc>
      </w:tr>
      <w:tr>
        <w:trPr>
          <w:trHeight w:val="137"/>
        </w:trPr>
        <w:tc>
          <w:tcPr>
            <w:tcW w:w="1680" w:type="dxa"/>
            <w:vAlign w:val="bottom"/>
          </w:tcPr>
          <w:p>
            <w:pPr>
              <w:spacing w:after="0"/>
              <w:rPr>
                <w:sz w:val="20"/>
                <w:szCs w:val="20"/>
                <w:color w:val="auto"/>
              </w:rPr>
            </w:pPr>
            <w:r>
              <w:rPr>
                <w:rFonts w:ascii="Courier New" w:cs="Courier New" w:eastAsia="Courier New" w:hAnsi="Courier New"/>
                <w:sz w:val="12"/>
                <w:szCs w:val="12"/>
                <w:b w:val="1"/>
                <w:bCs w:val="1"/>
                <w:color w:val="auto"/>
              </w:rPr>
              <w:t>Chelsea Japan</w:t>
            </w:r>
            <w:r>
              <w:rPr>
                <w:rFonts w:ascii="Courier New" w:cs="Courier New" w:eastAsia="Courier New" w:hAnsi="Courier New"/>
                <w:sz w:val="12"/>
                <w:szCs w:val="12"/>
                <w:color w:val="auto"/>
              </w:rPr>
              <w:t>.......</w:t>
            </w:r>
          </w:p>
        </w:tc>
        <w:tc>
          <w:tcPr>
            <w:tcW w:w="138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$10,487</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$3,248</w:t>
            </w:r>
          </w:p>
        </w:tc>
        <w:tc>
          <w:tcPr>
            <w:tcW w:w="158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$ 7,239</w:t>
            </w:r>
          </w:p>
        </w:tc>
        <w:tc>
          <w:tcPr>
            <w:tcW w:w="1240" w:type="dxa"/>
            <w:vAlign w:val="bottom"/>
          </w:tcPr>
          <w:p>
            <w:pPr>
              <w:jc w:val="center"/>
              <w:ind w:left="19"/>
              <w:spacing w:after="0"/>
              <w:rPr>
                <w:sz w:val="20"/>
                <w:szCs w:val="20"/>
                <w:color w:val="auto"/>
              </w:rPr>
            </w:pPr>
            <w:r>
              <w:rPr>
                <w:rFonts w:ascii="Courier New" w:cs="Courier New" w:eastAsia="Courier New" w:hAnsi="Courier New"/>
                <w:sz w:val="12"/>
                <w:szCs w:val="12"/>
                <w:color w:val="auto"/>
              </w:rPr>
              <w:t>$8,453</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$2,460</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color w:val="auto"/>
              </w:rPr>
              <w:t>$5,993</w:t>
            </w:r>
          </w:p>
        </w:tc>
      </w:tr>
      <w:tr>
        <w:trPr>
          <w:trHeight w:val="270"/>
        </w:trPr>
        <w:tc>
          <w:tcPr>
            <w:tcW w:w="1680" w:type="dxa"/>
            <w:vAlign w:val="bottom"/>
          </w:tcPr>
          <w:p>
            <w:pPr>
              <w:spacing w:after="0"/>
              <w:rPr>
                <w:sz w:val="20"/>
                <w:szCs w:val="20"/>
                <w:color w:val="auto"/>
              </w:rPr>
            </w:pPr>
            <w:r>
              <w:rPr>
                <w:rFonts w:ascii="Courier New" w:cs="Courier New" w:eastAsia="Courier New" w:hAnsi="Courier New"/>
                <w:sz w:val="12"/>
                <w:szCs w:val="12"/>
                <w:b w:val="1"/>
                <w:bCs w:val="1"/>
                <w:color w:val="auto"/>
              </w:rPr>
              <w:t>Simon Ventures</w:t>
            </w:r>
            <w:r>
              <w:rPr>
                <w:rFonts w:ascii="Courier New" w:cs="Courier New" w:eastAsia="Courier New" w:hAnsi="Courier New"/>
                <w:sz w:val="12"/>
                <w:szCs w:val="12"/>
                <w:color w:val="auto"/>
              </w:rPr>
              <w:t>......</w:t>
            </w:r>
          </w:p>
        </w:tc>
        <w:tc>
          <w:tcPr>
            <w:tcW w:w="138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8,192</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2,085</w:t>
            </w:r>
          </w:p>
        </w:tc>
        <w:tc>
          <w:tcPr>
            <w:tcW w:w="158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6,107</w:t>
            </w:r>
          </w:p>
        </w:tc>
        <w:tc>
          <w:tcPr>
            <w:tcW w:w="12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5,437</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1,083</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color w:val="auto"/>
              </w:rPr>
              <w:t>4,354</w:t>
            </w:r>
          </w:p>
        </w:tc>
      </w:tr>
      <w:tr>
        <w:trPr>
          <w:trHeight w:val="268"/>
        </w:trPr>
        <w:tc>
          <w:tcPr>
            <w:tcW w:w="1680" w:type="dxa"/>
            <w:vAlign w:val="bottom"/>
          </w:tcPr>
          <w:p>
            <w:pPr>
              <w:spacing w:after="0"/>
              <w:rPr>
                <w:sz w:val="20"/>
                <w:szCs w:val="20"/>
                <w:color w:val="auto"/>
              </w:rPr>
            </w:pPr>
            <w:r>
              <w:rPr>
                <w:rFonts w:ascii="Courier New" w:cs="Courier New" w:eastAsia="Courier New" w:hAnsi="Courier New"/>
                <w:sz w:val="12"/>
                <w:szCs w:val="12"/>
                <w:b w:val="1"/>
                <w:bCs w:val="1"/>
                <w:color w:val="auto"/>
              </w:rPr>
              <w:t>Chelsea Mexico</w:t>
            </w:r>
            <w:r>
              <w:rPr>
                <w:rFonts w:ascii="Courier New" w:cs="Courier New" w:eastAsia="Courier New" w:hAnsi="Courier New"/>
                <w:sz w:val="12"/>
                <w:szCs w:val="12"/>
                <w:color w:val="auto"/>
              </w:rPr>
              <w:t>......</w:t>
            </w:r>
          </w:p>
        </w:tc>
        <w:tc>
          <w:tcPr>
            <w:tcW w:w="138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181</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180</w:t>
            </w:r>
          </w:p>
        </w:tc>
        <w:tc>
          <w:tcPr>
            <w:tcW w:w="158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1</w:t>
            </w:r>
          </w:p>
        </w:tc>
        <w:tc>
          <w:tcPr>
            <w:tcW w:w="12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color w:val="auto"/>
              </w:rPr>
              <w:t>-</w:t>
            </w:r>
          </w:p>
        </w:tc>
      </w:tr>
      <w:tr>
        <w:trPr>
          <w:trHeight w:val="135"/>
        </w:trPr>
        <w:tc>
          <w:tcPr>
            <w:tcW w:w="1680" w:type="dxa"/>
            <w:vAlign w:val="bottom"/>
          </w:tcPr>
          <w:p>
            <w:pPr>
              <w:spacing w:after="0"/>
              <w:rPr>
                <w:sz w:val="11"/>
                <w:szCs w:val="11"/>
                <w:color w:val="auto"/>
              </w:rPr>
            </w:pPr>
          </w:p>
        </w:tc>
        <w:tc>
          <w:tcPr>
            <w:tcW w:w="13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5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center"/>
              <w:ind w:left="1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60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r>
      <w:tr>
        <w:trPr>
          <w:trHeight w:val="135"/>
        </w:trPr>
        <w:tc>
          <w:tcPr>
            <w:tcW w:w="1680" w:type="dxa"/>
            <w:vAlign w:val="bottom"/>
          </w:tcPr>
          <w:p>
            <w:pPr>
              <w:spacing w:after="0"/>
              <w:rPr>
                <w:sz w:val="20"/>
                <w:szCs w:val="20"/>
                <w:color w:val="auto"/>
              </w:rPr>
            </w:pPr>
            <w:r>
              <w:rPr>
                <w:rFonts w:ascii="Courier New" w:cs="Courier New" w:eastAsia="Courier New" w:hAnsi="Courier New"/>
                <w:sz w:val="12"/>
                <w:szCs w:val="12"/>
                <w:b w:val="1"/>
                <w:bCs w:val="1"/>
                <w:color w:val="auto"/>
              </w:rPr>
              <w:t>Total...............</w:t>
            </w:r>
          </w:p>
        </w:tc>
        <w:tc>
          <w:tcPr>
            <w:tcW w:w="1380" w:type="dxa"/>
            <w:vAlign w:val="bottom"/>
          </w:tcPr>
          <w:p>
            <w:pPr>
              <w:jc w:val="right"/>
              <w:ind w:right="439"/>
              <w:spacing w:after="0"/>
              <w:rPr>
                <w:sz w:val="20"/>
                <w:szCs w:val="20"/>
                <w:color w:val="auto"/>
              </w:rPr>
            </w:pPr>
            <w:r>
              <w:rPr>
                <w:rFonts w:ascii="Courier New" w:cs="Courier New" w:eastAsia="Courier New" w:hAnsi="Courier New"/>
                <w:sz w:val="12"/>
                <w:szCs w:val="12"/>
                <w:b w:val="1"/>
                <w:bCs w:val="1"/>
                <w:color w:val="auto"/>
              </w:rPr>
              <w:t>$18,860</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$5,513</w:t>
            </w:r>
          </w:p>
        </w:tc>
        <w:tc>
          <w:tcPr>
            <w:tcW w:w="1580" w:type="dxa"/>
            <w:vAlign w:val="bottom"/>
          </w:tcPr>
          <w:p>
            <w:pPr>
              <w:jc w:val="right"/>
              <w:ind w:right="599"/>
              <w:spacing w:after="0"/>
              <w:rPr>
                <w:sz w:val="20"/>
                <w:szCs w:val="20"/>
                <w:color w:val="auto"/>
              </w:rPr>
            </w:pPr>
            <w:r>
              <w:rPr>
                <w:rFonts w:ascii="Courier New" w:cs="Courier New" w:eastAsia="Courier New" w:hAnsi="Courier New"/>
                <w:sz w:val="12"/>
                <w:szCs w:val="12"/>
                <w:b w:val="1"/>
                <w:bCs w:val="1"/>
                <w:color w:val="auto"/>
              </w:rPr>
              <w:t>$13,347</w:t>
            </w:r>
          </w:p>
        </w:tc>
        <w:tc>
          <w:tcPr>
            <w:tcW w:w="124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$13,890</w:t>
            </w:r>
          </w:p>
        </w:tc>
        <w:tc>
          <w:tcPr>
            <w:tcW w:w="94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$3,543</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b w:val="1"/>
                <w:bCs w:val="1"/>
                <w:color w:val="auto"/>
              </w:rPr>
              <w:t>$10,347</w:t>
            </w:r>
          </w:p>
        </w:tc>
      </w:tr>
      <w:tr>
        <w:trPr>
          <w:trHeight w:val="137"/>
        </w:trPr>
        <w:tc>
          <w:tcPr>
            <w:tcW w:w="1680" w:type="dxa"/>
            <w:vAlign w:val="bottom"/>
          </w:tcPr>
          <w:p>
            <w:pPr>
              <w:spacing w:after="0"/>
              <w:rPr>
                <w:sz w:val="11"/>
                <w:szCs w:val="11"/>
                <w:color w:val="auto"/>
              </w:rPr>
            </w:pPr>
          </w:p>
        </w:tc>
        <w:tc>
          <w:tcPr>
            <w:tcW w:w="13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5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center"/>
              <w:ind w:left="1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60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59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59"/>
        <w:spacing w:after="0"/>
        <w:rPr>
          <w:sz w:val="20"/>
          <w:szCs w:val="20"/>
          <w:color w:val="auto"/>
        </w:rPr>
      </w:pPr>
      <w:r>
        <w:rPr>
          <w:rFonts w:ascii="Arial" w:cs="Arial" w:eastAsia="Arial" w:hAnsi="Arial"/>
          <w:sz w:val="22"/>
          <w:szCs w:val="22"/>
          <w:b w:val="1"/>
          <w:bCs w:val="1"/>
          <w:i w:val="1"/>
          <w:iCs w:val="1"/>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Investments in Affiliates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Condensed financial information as of June 30, 2005 and December 31, 2004, and for the three and six months ended June 30,</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2005 and 2004 for Chelsea Japan, Chelsea Mexico and Simon Ventures is as follows (in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060" w:type="dxa"/>
            <w:vAlign w:val="bottom"/>
          </w:tcPr>
          <w:p>
            <w:pPr>
              <w:spacing w:after="0"/>
              <w:rPr>
                <w:sz w:val="11"/>
                <w:szCs w:val="11"/>
                <w:color w:val="auto"/>
              </w:rPr>
            </w:pPr>
          </w:p>
        </w:tc>
        <w:tc>
          <w:tcPr>
            <w:tcW w:w="134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June 30,</w:t>
            </w:r>
          </w:p>
        </w:tc>
        <w:tc>
          <w:tcPr>
            <w:tcW w:w="124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December</w:t>
            </w:r>
          </w:p>
        </w:tc>
      </w:tr>
      <w:tr>
        <w:trPr>
          <w:trHeight w:val="135"/>
        </w:trPr>
        <w:tc>
          <w:tcPr>
            <w:tcW w:w="4060" w:type="dxa"/>
            <w:vAlign w:val="bottom"/>
          </w:tcPr>
          <w:p>
            <w:pPr>
              <w:spacing w:after="0"/>
              <w:rPr>
                <w:sz w:val="20"/>
                <w:szCs w:val="20"/>
                <w:color w:val="auto"/>
              </w:rPr>
            </w:pPr>
            <w:r>
              <w:rPr>
                <w:rFonts w:ascii="Courier New" w:cs="Courier New" w:eastAsia="Courier New" w:hAnsi="Courier New"/>
                <w:sz w:val="12"/>
                <w:szCs w:val="12"/>
                <w:b w:val="1"/>
                <w:bCs w:val="1"/>
                <w:color w:val="auto"/>
              </w:rPr>
              <w:t>Balance Sheet Information:</w:t>
            </w:r>
          </w:p>
        </w:tc>
        <w:tc>
          <w:tcPr>
            <w:tcW w:w="134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2005</w:t>
            </w:r>
          </w:p>
        </w:tc>
        <w:tc>
          <w:tcPr>
            <w:tcW w:w="124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31, 2004</w:t>
            </w:r>
          </w:p>
        </w:tc>
      </w:tr>
      <w:tr>
        <w:trPr>
          <w:trHeight w:val="137"/>
        </w:trPr>
        <w:tc>
          <w:tcPr>
            <w:tcW w:w="4060" w:type="dxa"/>
            <w:vAlign w:val="bottom"/>
          </w:tcPr>
          <w:p>
            <w:pPr>
              <w:spacing w:after="0"/>
              <w:rPr>
                <w:sz w:val="11"/>
                <w:szCs w:val="11"/>
                <w:color w:val="auto"/>
              </w:rPr>
            </w:pPr>
          </w:p>
        </w:tc>
        <w:tc>
          <w:tcPr>
            <w:tcW w:w="13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060" w:type="dxa"/>
            <w:vAlign w:val="bottom"/>
          </w:tcPr>
          <w:p>
            <w:pPr>
              <w:ind w:left="160"/>
              <w:spacing w:after="0"/>
              <w:rPr>
                <w:sz w:val="20"/>
                <w:szCs w:val="20"/>
                <w:color w:val="auto"/>
              </w:rPr>
            </w:pPr>
            <w:r>
              <w:rPr>
                <w:rFonts w:ascii="Courier New" w:cs="Courier New" w:eastAsia="Courier New" w:hAnsi="Courier New"/>
                <w:sz w:val="12"/>
                <w:szCs w:val="12"/>
                <w:b w:val="1"/>
                <w:bCs w:val="1"/>
                <w:color w:val="auto"/>
              </w:rPr>
              <w:t xml:space="preserve">Property, plant and equipment (net) </w:t>
            </w:r>
            <w:r>
              <w:rPr>
                <w:rFonts w:ascii="Courier New" w:cs="Courier New" w:eastAsia="Courier New" w:hAnsi="Courier New"/>
                <w:sz w:val="12"/>
                <w:szCs w:val="12"/>
                <w:color w:val="auto"/>
              </w:rPr>
              <w:t>...............</w:t>
            </w:r>
          </w:p>
        </w:tc>
        <w:tc>
          <w:tcPr>
            <w:tcW w:w="13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$385,354</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$367,700</w:t>
            </w:r>
          </w:p>
        </w:tc>
      </w:tr>
      <w:tr>
        <w:trPr>
          <w:trHeight w:val="270"/>
        </w:trPr>
        <w:tc>
          <w:tcPr>
            <w:tcW w:w="4060" w:type="dxa"/>
            <w:vAlign w:val="bottom"/>
          </w:tcPr>
          <w:p>
            <w:pPr>
              <w:ind w:left="160"/>
              <w:spacing w:after="0"/>
              <w:rPr>
                <w:sz w:val="20"/>
                <w:szCs w:val="20"/>
                <w:color w:val="auto"/>
              </w:rPr>
            </w:pPr>
            <w:r>
              <w:rPr>
                <w:rFonts w:ascii="Courier New" w:cs="Courier New" w:eastAsia="Courier New" w:hAnsi="Courier New"/>
                <w:sz w:val="12"/>
                <w:szCs w:val="12"/>
                <w:b w:val="1"/>
                <w:bCs w:val="1"/>
                <w:color w:val="auto"/>
              </w:rPr>
              <w:t>Total assets</w:t>
            </w:r>
            <w:r>
              <w:rPr>
                <w:rFonts w:ascii="Courier New" w:cs="Courier New" w:eastAsia="Courier New" w:hAnsi="Courier New"/>
                <w:sz w:val="12"/>
                <w:szCs w:val="12"/>
                <w:color w:val="auto"/>
              </w:rPr>
              <w:t>.......................................</w:t>
            </w:r>
          </w:p>
        </w:tc>
        <w:tc>
          <w:tcPr>
            <w:tcW w:w="13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532,106</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548,621</w:t>
            </w:r>
          </w:p>
        </w:tc>
      </w:tr>
      <w:tr>
        <w:trPr>
          <w:trHeight w:val="270"/>
        </w:trPr>
        <w:tc>
          <w:tcPr>
            <w:tcW w:w="4060" w:type="dxa"/>
            <w:vAlign w:val="bottom"/>
          </w:tcPr>
          <w:p>
            <w:pPr>
              <w:ind w:left="160"/>
              <w:spacing w:after="0"/>
              <w:rPr>
                <w:sz w:val="20"/>
                <w:szCs w:val="20"/>
                <w:color w:val="auto"/>
              </w:rPr>
            </w:pPr>
            <w:r>
              <w:rPr>
                <w:rFonts w:ascii="Courier New" w:cs="Courier New" w:eastAsia="Courier New" w:hAnsi="Courier New"/>
                <w:sz w:val="12"/>
                <w:szCs w:val="12"/>
                <w:b w:val="1"/>
                <w:bCs w:val="1"/>
                <w:color w:val="auto"/>
              </w:rPr>
              <w:t xml:space="preserve">Long term debt (1) </w:t>
            </w:r>
            <w:r>
              <w:rPr>
                <w:rFonts w:ascii="Courier New" w:cs="Courier New" w:eastAsia="Courier New" w:hAnsi="Courier New"/>
                <w:sz w:val="12"/>
                <w:szCs w:val="12"/>
                <w:color w:val="auto"/>
              </w:rPr>
              <w:t>................................</w:t>
            </w:r>
          </w:p>
        </w:tc>
        <w:tc>
          <w:tcPr>
            <w:tcW w:w="13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162,550</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195,552</w:t>
            </w:r>
          </w:p>
        </w:tc>
      </w:tr>
      <w:tr>
        <w:trPr>
          <w:trHeight w:val="270"/>
        </w:trPr>
        <w:tc>
          <w:tcPr>
            <w:tcW w:w="4060" w:type="dxa"/>
            <w:vAlign w:val="bottom"/>
          </w:tcPr>
          <w:p>
            <w:pPr>
              <w:ind w:left="160"/>
              <w:spacing w:after="0"/>
              <w:rPr>
                <w:sz w:val="20"/>
                <w:szCs w:val="20"/>
                <w:color w:val="auto"/>
              </w:rPr>
            </w:pPr>
            <w:r>
              <w:rPr>
                <w:rFonts w:ascii="Courier New" w:cs="Courier New" w:eastAsia="Courier New" w:hAnsi="Courier New"/>
                <w:sz w:val="12"/>
                <w:szCs w:val="12"/>
                <w:b w:val="1"/>
                <w:bCs w:val="1"/>
                <w:color w:val="auto"/>
              </w:rPr>
              <w:t>Total liabilities</w:t>
            </w:r>
            <w:r>
              <w:rPr>
                <w:rFonts w:ascii="Courier New" w:cs="Courier New" w:eastAsia="Courier New" w:hAnsi="Courier New"/>
                <w:sz w:val="12"/>
                <w:szCs w:val="12"/>
                <w:color w:val="auto"/>
              </w:rPr>
              <w:t>..................................</w:t>
            </w:r>
          </w:p>
        </w:tc>
        <w:tc>
          <w:tcPr>
            <w:tcW w:w="13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283,901</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304,122</w:t>
            </w:r>
          </w:p>
        </w:tc>
      </w:tr>
    </w:tbl>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060" w:type="dxa"/>
            <w:vAlign w:val="bottom"/>
          </w:tcPr>
          <w:p>
            <w:pPr>
              <w:spacing w:after="0"/>
              <w:rPr>
                <w:sz w:val="11"/>
                <w:szCs w:val="11"/>
                <w:color w:val="auto"/>
              </w:rPr>
            </w:pPr>
          </w:p>
        </w:tc>
        <w:tc>
          <w:tcPr>
            <w:tcW w:w="138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June 30,</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June 30,</w:t>
            </w:r>
          </w:p>
        </w:tc>
      </w:tr>
      <w:tr>
        <w:trPr>
          <w:trHeight w:val="135"/>
        </w:trPr>
        <w:tc>
          <w:tcPr>
            <w:tcW w:w="4060" w:type="dxa"/>
            <w:vAlign w:val="bottom"/>
          </w:tcPr>
          <w:p>
            <w:pPr>
              <w:spacing w:after="0"/>
              <w:rPr>
                <w:sz w:val="20"/>
                <w:szCs w:val="20"/>
                <w:color w:val="auto"/>
              </w:rPr>
            </w:pPr>
            <w:r>
              <w:rPr>
                <w:rFonts w:ascii="Courier New" w:cs="Courier New" w:eastAsia="Courier New" w:hAnsi="Courier New"/>
                <w:sz w:val="12"/>
                <w:szCs w:val="12"/>
                <w:b w:val="1"/>
                <w:bCs w:val="1"/>
                <w:color w:val="auto"/>
              </w:rPr>
              <w:t>Operating Results:</w:t>
            </w:r>
          </w:p>
        </w:tc>
        <w:tc>
          <w:tcPr>
            <w:tcW w:w="1380" w:type="dxa"/>
            <w:vAlign w:val="bottom"/>
          </w:tcPr>
          <w:p>
            <w:pPr>
              <w:jc w:val="right"/>
              <w:ind w:right="419"/>
              <w:spacing w:after="0"/>
              <w:rPr>
                <w:sz w:val="20"/>
                <w:szCs w:val="20"/>
                <w:color w:val="auto"/>
              </w:rPr>
            </w:pPr>
            <w:r>
              <w:rPr>
                <w:rFonts w:ascii="Courier New" w:cs="Courier New" w:eastAsia="Courier New" w:hAnsi="Courier New"/>
                <w:sz w:val="12"/>
                <w:szCs w:val="12"/>
                <w:b w:val="1"/>
                <w:bCs w:val="1"/>
                <w:color w:val="auto"/>
              </w:rPr>
              <w:t>2005</w:t>
            </w:r>
          </w:p>
        </w:tc>
        <w:tc>
          <w:tcPr>
            <w:tcW w:w="128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2004</w:t>
            </w:r>
          </w:p>
        </w:tc>
      </w:tr>
      <w:tr>
        <w:trPr>
          <w:trHeight w:val="137"/>
        </w:trPr>
        <w:tc>
          <w:tcPr>
            <w:tcW w:w="4060" w:type="dxa"/>
            <w:vAlign w:val="bottom"/>
          </w:tcPr>
          <w:p>
            <w:pPr>
              <w:spacing w:after="0"/>
              <w:rPr>
                <w:sz w:val="11"/>
                <w:szCs w:val="11"/>
                <w:color w:val="auto"/>
              </w:rPr>
            </w:pPr>
          </w:p>
        </w:tc>
        <w:tc>
          <w:tcPr>
            <w:tcW w:w="13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68"/>
        </w:trPr>
        <w:tc>
          <w:tcPr>
            <w:tcW w:w="4060" w:type="dxa"/>
            <w:vAlign w:val="bottom"/>
          </w:tcPr>
          <w:p>
            <w:pPr>
              <w:spacing w:after="0"/>
              <w:rPr>
                <w:sz w:val="20"/>
                <w:szCs w:val="20"/>
                <w:color w:val="auto"/>
              </w:rPr>
            </w:pPr>
            <w:r>
              <w:rPr>
                <w:rFonts w:ascii="Courier New" w:cs="Courier New" w:eastAsia="Courier New" w:hAnsi="Courier New"/>
                <w:sz w:val="12"/>
                <w:szCs w:val="12"/>
                <w:b w:val="1"/>
                <w:bCs w:val="1"/>
                <w:color w:val="auto"/>
              </w:rPr>
              <w:t>Total revenues</w:t>
            </w:r>
          </w:p>
        </w:tc>
        <w:tc>
          <w:tcPr>
            <w:tcW w:w="13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135"/>
        </w:trPr>
        <w:tc>
          <w:tcPr>
            <w:tcW w:w="4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Three months ended..............................</w:t>
            </w:r>
          </w:p>
        </w:tc>
        <w:tc>
          <w:tcPr>
            <w:tcW w:w="138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$53,957</w:t>
            </w:r>
          </w:p>
        </w:tc>
        <w:tc>
          <w:tcPr>
            <w:tcW w:w="12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$35,472</w:t>
            </w:r>
          </w:p>
        </w:tc>
      </w:tr>
      <w:tr>
        <w:trPr>
          <w:trHeight w:val="137"/>
        </w:trPr>
        <w:tc>
          <w:tcPr>
            <w:tcW w:w="4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Six months ended...............................</w:t>
            </w:r>
          </w:p>
        </w:tc>
        <w:tc>
          <w:tcPr>
            <w:tcW w:w="138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98,831</w:t>
            </w:r>
          </w:p>
        </w:tc>
        <w:tc>
          <w:tcPr>
            <w:tcW w:w="12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67,766</w:t>
            </w:r>
          </w:p>
        </w:tc>
      </w:tr>
      <w:tr>
        <w:trPr>
          <w:trHeight w:val="268"/>
        </w:trPr>
        <w:tc>
          <w:tcPr>
            <w:tcW w:w="4060" w:type="dxa"/>
            <w:vAlign w:val="bottom"/>
          </w:tcPr>
          <w:p>
            <w:pPr>
              <w:spacing w:after="0"/>
              <w:rPr>
                <w:sz w:val="20"/>
                <w:szCs w:val="20"/>
                <w:color w:val="auto"/>
              </w:rPr>
            </w:pPr>
            <w:r>
              <w:rPr>
                <w:rFonts w:ascii="Courier New" w:cs="Courier New" w:eastAsia="Courier New" w:hAnsi="Courier New"/>
                <w:sz w:val="12"/>
                <w:szCs w:val="12"/>
                <w:b w:val="1"/>
                <w:bCs w:val="1"/>
                <w:color w:val="auto"/>
              </w:rPr>
              <w:t>Total expenses</w:t>
            </w:r>
          </w:p>
        </w:tc>
        <w:tc>
          <w:tcPr>
            <w:tcW w:w="13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135"/>
        </w:trPr>
        <w:tc>
          <w:tcPr>
            <w:tcW w:w="4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Three months ended..............................</w:t>
            </w:r>
          </w:p>
        </w:tc>
        <w:tc>
          <w:tcPr>
            <w:tcW w:w="138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43,410</w:t>
            </w:r>
          </w:p>
        </w:tc>
        <w:tc>
          <w:tcPr>
            <w:tcW w:w="12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28,142</w:t>
            </w:r>
          </w:p>
        </w:tc>
      </w:tr>
      <w:tr>
        <w:trPr>
          <w:trHeight w:val="137"/>
        </w:trPr>
        <w:tc>
          <w:tcPr>
            <w:tcW w:w="4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Six months ended...............................</w:t>
            </w:r>
          </w:p>
        </w:tc>
        <w:tc>
          <w:tcPr>
            <w:tcW w:w="138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80,967</w:t>
            </w:r>
          </w:p>
        </w:tc>
        <w:tc>
          <w:tcPr>
            <w:tcW w:w="12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54,057</w:t>
            </w:r>
          </w:p>
        </w:tc>
      </w:tr>
      <w:tr>
        <w:trPr>
          <w:trHeight w:val="268"/>
        </w:trPr>
        <w:tc>
          <w:tcPr>
            <w:tcW w:w="4060" w:type="dxa"/>
            <w:vAlign w:val="bottom"/>
          </w:tcPr>
          <w:p>
            <w:pPr>
              <w:spacing w:after="0"/>
              <w:rPr>
                <w:sz w:val="20"/>
                <w:szCs w:val="20"/>
                <w:color w:val="auto"/>
              </w:rPr>
            </w:pPr>
            <w:r>
              <w:rPr>
                <w:rFonts w:ascii="Courier New" w:cs="Courier New" w:eastAsia="Courier New" w:hAnsi="Courier New"/>
                <w:sz w:val="12"/>
                <w:szCs w:val="12"/>
                <w:b w:val="1"/>
                <w:bCs w:val="1"/>
                <w:color w:val="auto"/>
              </w:rPr>
              <w:t>Net income</w:t>
            </w:r>
          </w:p>
        </w:tc>
        <w:tc>
          <w:tcPr>
            <w:tcW w:w="13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135"/>
        </w:trPr>
        <w:tc>
          <w:tcPr>
            <w:tcW w:w="4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Three months ended..............................</w:t>
            </w:r>
          </w:p>
        </w:tc>
        <w:tc>
          <w:tcPr>
            <w:tcW w:w="138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10,542</w:t>
            </w:r>
          </w:p>
        </w:tc>
        <w:tc>
          <w:tcPr>
            <w:tcW w:w="12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7,330</w:t>
            </w:r>
          </w:p>
        </w:tc>
      </w:tr>
      <w:tr>
        <w:trPr>
          <w:trHeight w:val="137"/>
        </w:trPr>
        <w:tc>
          <w:tcPr>
            <w:tcW w:w="4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Six months ended...............................</w:t>
            </w:r>
          </w:p>
        </w:tc>
        <w:tc>
          <w:tcPr>
            <w:tcW w:w="138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17,861</w:t>
            </w:r>
          </w:p>
        </w:tc>
        <w:tc>
          <w:tcPr>
            <w:tcW w:w="12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13,709</w:t>
            </w:r>
          </w:p>
        </w:tc>
      </w:tr>
      <w:tr>
        <w:trPr>
          <w:trHeight w:val="268"/>
        </w:trPr>
        <w:tc>
          <w:tcPr>
            <w:tcW w:w="4060" w:type="dxa"/>
            <w:vAlign w:val="bottom"/>
          </w:tcPr>
          <w:p>
            <w:pPr>
              <w:spacing w:after="0"/>
              <w:rPr>
                <w:sz w:val="20"/>
                <w:szCs w:val="20"/>
                <w:color w:val="auto"/>
              </w:rPr>
            </w:pPr>
            <w:r>
              <w:rPr>
                <w:rFonts w:ascii="Courier New" w:cs="Courier New" w:eastAsia="Courier New" w:hAnsi="Courier New"/>
                <w:sz w:val="12"/>
                <w:szCs w:val="12"/>
                <w:b w:val="1"/>
                <w:bCs w:val="1"/>
                <w:color w:val="auto"/>
              </w:rPr>
              <w:t>OP's share of net income</w:t>
            </w:r>
          </w:p>
        </w:tc>
        <w:tc>
          <w:tcPr>
            <w:tcW w:w="13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135"/>
        </w:trPr>
        <w:tc>
          <w:tcPr>
            <w:tcW w:w="4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Three months ended..............................</w:t>
            </w:r>
          </w:p>
        </w:tc>
        <w:tc>
          <w:tcPr>
            <w:tcW w:w="138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4,753</w:t>
            </w:r>
          </w:p>
        </w:tc>
        <w:tc>
          <w:tcPr>
            <w:tcW w:w="12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3,290</w:t>
            </w:r>
          </w:p>
        </w:tc>
      </w:tr>
      <w:tr>
        <w:trPr>
          <w:trHeight w:val="137"/>
        </w:trPr>
        <w:tc>
          <w:tcPr>
            <w:tcW w:w="4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Six months ended...............................</w:t>
            </w:r>
          </w:p>
        </w:tc>
        <w:tc>
          <w:tcPr>
            <w:tcW w:w="138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8,167</w:t>
            </w:r>
          </w:p>
        </w:tc>
        <w:tc>
          <w:tcPr>
            <w:tcW w:w="12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6,233</w:t>
            </w:r>
          </w:p>
        </w:tc>
      </w:tr>
      <w:tr>
        <w:trPr>
          <w:trHeight w:val="268"/>
        </w:trPr>
        <w:tc>
          <w:tcPr>
            <w:tcW w:w="4060" w:type="dxa"/>
            <w:vAlign w:val="bottom"/>
          </w:tcPr>
          <w:p>
            <w:pPr>
              <w:spacing w:after="0"/>
              <w:rPr>
                <w:sz w:val="20"/>
                <w:szCs w:val="20"/>
                <w:color w:val="auto"/>
              </w:rPr>
            </w:pPr>
            <w:r>
              <w:rPr>
                <w:rFonts w:ascii="Courier New" w:cs="Courier New" w:eastAsia="Courier New" w:hAnsi="Courier New"/>
                <w:sz w:val="12"/>
                <w:szCs w:val="12"/>
                <w:b w:val="1"/>
                <w:bCs w:val="1"/>
                <w:color w:val="auto"/>
              </w:rPr>
              <w:t>Fee income</w:t>
            </w:r>
          </w:p>
        </w:tc>
        <w:tc>
          <w:tcPr>
            <w:tcW w:w="13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135"/>
        </w:trPr>
        <w:tc>
          <w:tcPr>
            <w:tcW w:w="4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Three months ended..............................</w:t>
            </w:r>
          </w:p>
        </w:tc>
        <w:tc>
          <w:tcPr>
            <w:tcW w:w="138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2,530</w:t>
            </w:r>
          </w:p>
        </w:tc>
        <w:tc>
          <w:tcPr>
            <w:tcW w:w="12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2,015</w:t>
            </w:r>
          </w:p>
        </w:tc>
      </w:tr>
      <w:tr>
        <w:trPr>
          <w:trHeight w:val="137"/>
        </w:trPr>
        <w:tc>
          <w:tcPr>
            <w:tcW w:w="4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Six months ended...............................</w:t>
            </w:r>
          </w:p>
        </w:tc>
        <w:tc>
          <w:tcPr>
            <w:tcW w:w="138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5,180</w:t>
            </w:r>
          </w:p>
        </w:tc>
        <w:tc>
          <w:tcPr>
            <w:tcW w:w="12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4,114</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(1) Long-term debt consists of borrowings related to Chelsea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59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Notes to Consolidated Financial Statements</w:t>
      </w:r>
    </w:p>
    <w:p>
      <w:pPr>
        <w:sectPr>
          <w:pgSz w:w="11900" w:h="16838" w:orient="portrait"/>
          <w:cols w:equalWidth="0" w:num="1">
            <w:col w:w="11360"/>
          </w:cols>
          <w:pgMar w:left="240" w:top="112" w:right="299" w:bottom="0" w:gutter="0" w:footer="0" w:header="0"/>
        </w:sectPr>
      </w:pPr>
    </w:p>
    <w:bookmarkStart w:id="5" w:name="page6"/>
    <w:bookmarkEnd w:id="5"/>
    <w:p>
      <w:pPr>
        <w:jc w:val="center"/>
        <w:ind w:right="-19"/>
        <w:spacing w:after="0"/>
        <w:rPr>
          <w:sz w:val="20"/>
          <w:szCs w:val="20"/>
          <w:color w:val="auto"/>
        </w:rPr>
      </w:pPr>
      <w:r>
        <w:rPr>
          <w:rFonts w:ascii="Arial" w:cs="Arial" w:eastAsia="Arial" w:hAnsi="Arial"/>
          <w:sz w:val="22"/>
          <w:szCs w:val="22"/>
          <w:b w:val="1"/>
          <w:bCs w:val="1"/>
          <w:i w:val="1"/>
          <w:iCs w:val="1"/>
          <w:color w:val="auto"/>
        </w:rPr>
        <w:t>(Unaudited)</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Debt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Unsecured Bank Debt</w:t>
      </w:r>
    </w:p>
    <w:p>
      <w:pPr>
        <w:spacing w:after="0" w:line="212"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A summary of the terms of the unsecured bank debt outstanding at June 30, 2005 and 2004, and the related effective interest rate, is as follows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940" w:type="dxa"/>
            <w:vAlign w:val="bottom"/>
          </w:tcPr>
          <w:p>
            <w:pPr>
              <w:spacing w:after="0"/>
              <w:rPr>
                <w:sz w:val="11"/>
                <w:szCs w:val="11"/>
                <w:color w:val="auto"/>
              </w:rPr>
            </w:pPr>
          </w:p>
        </w:tc>
        <w:tc>
          <w:tcPr>
            <w:tcW w:w="162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June 30,</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Effective</w:t>
            </w:r>
          </w:p>
        </w:tc>
        <w:tc>
          <w:tcPr>
            <w:tcW w:w="14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December 31,</w:t>
            </w:r>
          </w:p>
        </w:tc>
        <w:tc>
          <w:tcPr>
            <w:tcW w:w="11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Effective</w:t>
            </w:r>
          </w:p>
        </w:tc>
      </w:tr>
      <w:tr>
        <w:trPr>
          <w:trHeight w:val="135"/>
        </w:trPr>
        <w:tc>
          <w:tcPr>
            <w:tcW w:w="3940" w:type="dxa"/>
            <w:vAlign w:val="bottom"/>
          </w:tcPr>
          <w:p>
            <w:pPr>
              <w:spacing w:after="0"/>
              <w:rPr>
                <w:sz w:val="11"/>
                <w:szCs w:val="11"/>
                <w:color w:val="auto"/>
              </w:rPr>
            </w:pPr>
          </w:p>
        </w:tc>
        <w:tc>
          <w:tcPr>
            <w:tcW w:w="162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2005</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rate</w:t>
            </w:r>
          </w:p>
        </w:tc>
        <w:tc>
          <w:tcPr>
            <w:tcW w:w="1440" w:type="dxa"/>
            <w:vAlign w:val="bottom"/>
          </w:tcPr>
          <w:p>
            <w:pPr>
              <w:jc w:val="right"/>
              <w:ind w:right="139"/>
              <w:spacing w:after="0"/>
              <w:rPr>
                <w:sz w:val="20"/>
                <w:szCs w:val="20"/>
                <w:color w:val="auto"/>
              </w:rPr>
            </w:pPr>
            <w:r>
              <w:rPr>
                <w:rFonts w:ascii="Courier New" w:cs="Courier New" w:eastAsia="Courier New" w:hAnsi="Courier New"/>
                <w:sz w:val="12"/>
                <w:szCs w:val="12"/>
                <w:b w:val="1"/>
                <w:bCs w:val="1"/>
                <w:color w:val="auto"/>
              </w:rPr>
              <w:t>2004</w:t>
            </w:r>
          </w:p>
        </w:tc>
        <w:tc>
          <w:tcPr>
            <w:tcW w:w="11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rate</w:t>
            </w:r>
          </w:p>
        </w:tc>
      </w:tr>
      <w:tr>
        <w:trPr>
          <w:trHeight w:val="135"/>
        </w:trPr>
        <w:tc>
          <w:tcPr>
            <w:tcW w:w="3940" w:type="dxa"/>
            <w:vAlign w:val="bottom"/>
          </w:tcPr>
          <w:p>
            <w:pPr>
              <w:spacing w:after="0"/>
              <w:rPr>
                <w:sz w:val="11"/>
                <w:szCs w:val="11"/>
                <w:color w:val="auto"/>
              </w:rPr>
            </w:pPr>
          </w:p>
        </w:tc>
        <w:tc>
          <w:tcPr>
            <w:tcW w:w="16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4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940" w:type="dxa"/>
            <w:vAlign w:val="bottom"/>
          </w:tcPr>
          <w:p>
            <w:pPr>
              <w:spacing w:after="0"/>
              <w:rPr>
                <w:sz w:val="20"/>
                <w:szCs w:val="20"/>
                <w:color w:val="auto"/>
              </w:rPr>
            </w:pPr>
            <w:r>
              <w:rPr>
                <w:rFonts w:ascii="Courier New" w:cs="Courier New" w:eastAsia="Courier New" w:hAnsi="Courier New"/>
                <w:sz w:val="12"/>
                <w:szCs w:val="12"/>
                <w:color w:val="auto"/>
              </w:rPr>
              <w:t>Term loan due April 2010 (1) .......................</w:t>
            </w:r>
          </w:p>
        </w:tc>
        <w:tc>
          <w:tcPr>
            <w:tcW w:w="16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$59,975</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7.26%</w:t>
            </w:r>
          </w:p>
        </w:tc>
        <w:tc>
          <w:tcPr>
            <w:tcW w:w="14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$60,475</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rPr>
              <w:t>7.26%</w:t>
            </w:r>
          </w:p>
        </w:tc>
      </w:tr>
      <w:tr>
        <w:trPr>
          <w:trHeight w:val="135"/>
        </w:trPr>
        <w:tc>
          <w:tcPr>
            <w:tcW w:w="3940" w:type="dxa"/>
            <w:vAlign w:val="bottom"/>
          </w:tcPr>
          <w:p>
            <w:pPr>
              <w:spacing w:after="0"/>
              <w:rPr>
                <w:sz w:val="20"/>
                <w:szCs w:val="20"/>
                <w:color w:val="auto"/>
              </w:rPr>
            </w:pPr>
            <w:r>
              <w:rPr>
                <w:rFonts w:ascii="Courier New" w:cs="Courier New" w:eastAsia="Courier New" w:hAnsi="Courier New"/>
                <w:sz w:val="12"/>
                <w:szCs w:val="12"/>
                <w:color w:val="auto"/>
              </w:rPr>
              <w:t>Peso credit facility due January 2007 (2) ..........</w:t>
            </w:r>
          </w:p>
        </w:tc>
        <w:tc>
          <w:tcPr>
            <w:tcW w:w="16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spacing w:after="0"/>
              <w:rPr>
                <w:sz w:val="11"/>
                <w:szCs w:val="11"/>
                <w:color w:val="auto"/>
              </w:rPr>
            </w:pPr>
          </w:p>
        </w:tc>
        <w:tc>
          <w:tcPr>
            <w:tcW w:w="14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12,515</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rPr>
              <w:t>10.60%</w:t>
            </w:r>
          </w:p>
        </w:tc>
      </w:tr>
      <w:tr>
        <w:trPr>
          <w:trHeight w:val="135"/>
        </w:trPr>
        <w:tc>
          <w:tcPr>
            <w:tcW w:w="3940" w:type="dxa"/>
            <w:vAlign w:val="bottom"/>
          </w:tcPr>
          <w:p>
            <w:pPr>
              <w:spacing w:after="0"/>
              <w:rPr>
                <w:sz w:val="20"/>
                <w:szCs w:val="20"/>
                <w:color w:val="auto"/>
              </w:rPr>
            </w:pPr>
            <w:r>
              <w:rPr>
                <w:rFonts w:ascii="Courier New" w:cs="Courier New" w:eastAsia="Courier New" w:hAnsi="Courier New"/>
                <w:sz w:val="12"/>
                <w:szCs w:val="12"/>
                <w:color w:val="auto"/>
              </w:rPr>
              <w:t>Yen credit facility due April 2005 (3) .............</w:t>
            </w:r>
          </w:p>
        </w:tc>
        <w:tc>
          <w:tcPr>
            <w:tcW w:w="16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spacing w:after="0"/>
              <w:rPr>
                <w:sz w:val="11"/>
                <w:szCs w:val="11"/>
                <w:color w:val="auto"/>
              </w:rPr>
            </w:pPr>
          </w:p>
        </w:tc>
        <w:tc>
          <w:tcPr>
            <w:tcW w:w="14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11,845</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rPr>
              <w:t>1.31%</w:t>
            </w:r>
          </w:p>
        </w:tc>
      </w:tr>
      <w:tr>
        <w:trPr>
          <w:trHeight w:val="135"/>
        </w:trPr>
        <w:tc>
          <w:tcPr>
            <w:tcW w:w="3940" w:type="dxa"/>
            <w:vAlign w:val="bottom"/>
          </w:tcPr>
          <w:p>
            <w:pPr>
              <w:spacing w:after="0"/>
              <w:rPr>
                <w:sz w:val="11"/>
                <w:szCs w:val="11"/>
                <w:color w:val="auto"/>
              </w:rPr>
            </w:pPr>
          </w:p>
        </w:tc>
        <w:tc>
          <w:tcPr>
            <w:tcW w:w="16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spacing w:after="0"/>
              <w:rPr>
                <w:sz w:val="11"/>
                <w:szCs w:val="11"/>
                <w:color w:val="auto"/>
              </w:rPr>
            </w:pPr>
          </w:p>
        </w:tc>
        <w:tc>
          <w:tcPr>
            <w:tcW w:w="14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spacing w:after="0"/>
              <w:rPr>
                <w:sz w:val="11"/>
                <w:szCs w:val="11"/>
                <w:color w:val="auto"/>
              </w:rPr>
            </w:pPr>
          </w:p>
        </w:tc>
      </w:tr>
      <w:tr>
        <w:trPr>
          <w:trHeight w:val="135"/>
        </w:trPr>
        <w:tc>
          <w:tcPr>
            <w:tcW w:w="3940" w:type="dxa"/>
            <w:vAlign w:val="bottom"/>
          </w:tcPr>
          <w:p>
            <w:pPr>
              <w:spacing w:after="0"/>
              <w:rPr>
                <w:sz w:val="11"/>
                <w:szCs w:val="11"/>
                <w:color w:val="auto"/>
              </w:rPr>
            </w:pPr>
          </w:p>
        </w:tc>
        <w:tc>
          <w:tcPr>
            <w:tcW w:w="16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$59,975</w:t>
            </w:r>
          </w:p>
        </w:tc>
        <w:tc>
          <w:tcPr>
            <w:tcW w:w="1240" w:type="dxa"/>
            <w:vAlign w:val="bottom"/>
          </w:tcPr>
          <w:p>
            <w:pPr>
              <w:spacing w:after="0"/>
              <w:rPr>
                <w:sz w:val="11"/>
                <w:szCs w:val="11"/>
                <w:color w:val="auto"/>
              </w:rPr>
            </w:pPr>
          </w:p>
        </w:tc>
        <w:tc>
          <w:tcPr>
            <w:tcW w:w="14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$84,835</w:t>
            </w:r>
          </w:p>
        </w:tc>
        <w:tc>
          <w:tcPr>
            <w:tcW w:w="1100" w:type="dxa"/>
            <w:vAlign w:val="bottom"/>
          </w:tcPr>
          <w:p>
            <w:pPr>
              <w:spacing w:after="0"/>
              <w:rPr>
                <w:sz w:val="11"/>
                <w:szCs w:val="11"/>
                <w:color w:val="auto"/>
              </w:rPr>
            </w:pPr>
          </w:p>
        </w:tc>
      </w:tr>
      <w:tr>
        <w:trPr>
          <w:trHeight w:val="137"/>
        </w:trPr>
        <w:tc>
          <w:tcPr>
            <w:tcW w:w="3940" w:type="dxa"/>
            <w:vAlign w:val="bottom"/>
          </w:tcPr>
          <w:p>
            <w:pPr>
              <w:spacing w:after="0"/>
              <w:rPr>
                <w:sz w:val="11"/>
                <w:szCs w:val="11"/>
                <w:color w:val="auto"/>
              </w:rPr>
            </w:pPr>
          </w:p>
        </w:tc>
        <w:tc>
          <w:tcPr>
            <w:tcW w:w="16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spacing w:after="0"/>
              <w:rPr>
                <w:sz w:val="11"/>
                <w:szCs w:val="11"/>
                <w:color w:val="auto"/>
              </w:rPr>
            </w:pPr>
          </w:p>
        </w:tc>
        <w:tc>
          <w:tcPr>
            <w:tcW w:w="14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spacing w:after="0"/>
              <w:rPr>
                <w:sz w:val="11"/>
                <w:szCs w:val="11"/>
                <w:color w:val="auto"/>
              </w:rPr>
            </w:pPr>
          </w:p>
        </w:tc>
      </w:tr>
    </w:tbl>
    <w:p>
      <w:pPr>
        <w:spacing w:after="0" w:line="361" w:lineRule="exact"/>
        <w:rPr>
          <w:sz w:val="20"/>
          <w:szCs w:val="20"/>
          <w:color w:val="auto"/>
        </w:rPr>
      </w:pPr>
    </w:p>
    <w:p>
      <w:pPr>
        <w:ind w:left="580" w:right="40" w:hanging="572"/>
        <w:spacing w:after="0" w:line="234" w:lineRule="auto"/>
        <w:tabs>
          <w:tab w:leader="none" w:pos="58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February 2004, the OP amended its mortgage loan due April 2010 to unencumber four properties and reduce the interest rate from LIBOR plus 1.50% to LIBOR plus 1.25% (4.36% at June 30, 2005). The original terms remained unchanged requiring quarterly principal amortization of $0.25 million through April 2005 and $0.45 million per quarter thereafter until maturity. The OP maintains an interest rate swap that effectively fixes the interest rate on the mortgage debt on the term loan at 7.26% until January 2006. During the six months ended June 30, 2005 and 2004, the OP recognized interest expense of $1.0 million and $1.5 million, respectively, on the hedge that is included in interest expense in the accompanying financial statements.</w:t>
      </w:r>
    </w:p>
    <w:p>
      <w:pPr>
        <w:spacing w:after="0" w:line="218" w:lineRule="exact"/>
        <w:rPr>
          <w:rFonts w:ascii="Arial" w:cs="Arial" w:eastAsia="Arial" w:hAnsi="Arial"/>
          <w:sz w:val="22"/>
          <w:szCs w:val="22"/>
          <w:color w:val="auto"/>
        </w:rPr>
      </w:pPr>
    </w:p>
    <w:p>
      <w:pPr>
        <w:ind w:left="580" w:hanging="572"/>
        <w:spacing w:after="0" w:line="235" w:lineRule="auto"/>
        <w:tabs>
          <w:tab w:leader="none" w:pos="58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January 2004, a wholly-owned subsidiary of the OP entered into a 180 million peso-denominated revolving facility, which had a three-year term and provided funding for projects in Mexico. In February 2005, the OP repaid the outstanding balance of the peso facility. The drawn funds bore interest at the Interbank Interest Equilibrium Rate ("TIIE") plus 0.825% plus the bank's cost of funds spread limited to 20% of the TIIE, with an annual facility fee on the unused balance of 0.15% per annum. The TIIE rate spread ranged from 0.725% to 1.37% depending on the OP's Senior Debt rating. The Company and OP guaranteed the facility.</w:t>
      </w:r>
    </w:p>
    <w:p>
      <w:pPr>
        <w:spacing w:after="0" w:line="215" w:lineRule="exact"/>
        <w:rPr>
          <w:rFonts w:ascii="Arial" w:cs="Arial" w:eastAsia="Arial" w:hAnsi="Arial"/>
          <w:sz w:val="22"/>
          <w:szCs w:val="22"/>
          <w:color w:val="auto"/>
        </w:rPr>
      </w:pPr>
    </w:p>
    <w:p>
      <w:pPr>
        <w:ind w:left="580" w:right="160" w:hanging="572"/>
        <w:spacing w:after="0" w:line="297" w:lineRule="auto"/>
        <w:tabs>
          <w:tab w:leader="none" w:pos="58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OP's wholly-owned equity investor in Japan, Chelsea International Operating Corp., had a 4.0 billion yen line of credit that provided funding for projects being developed in Japan. On March 31, 2005, the facility was repaid and extinguished through borrowings from Simon. See note 11. The yen line of credit bore interest at yen LIBOR plus 1.25%.</w:t>
      </w: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Unsecured Public Notes</w:t>
      </w:r>
    </w:p>
    <w:p>
      <w:pPr>
        <w:spacing w:after="0" w:line="212"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A summary of the terms of the unsecured publicly traded notes outstanding at June 30, 2005 and December 31, 2004 is as follows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240" w:type="dxa"/>
            <w:vAlign w:val="bottom"/>
          </w:tcPr>
          <w:p>
            <w:pPr>
              <w:spacing w:after="0"/>
              <w:rPr>
                <w:sz w:val="20"/>
                <w:szCs w:val="20"/>
                <w:color w:val="auto"/>
              </w:rPr>
            </w:pPr>
            <w:r>
              <w:rPr>
                <w:rFonts w:ascii="Courier New" w:cs="Courier New" w:eastAsia="Courier New" w:hAnsi="Courier New"/>
                <w:sz w:val="12"/>
                <w:szCs w:val="12"/>
                <w:b w:val="1"/>
                <w:bCs w:val="1"/>
                <w:color w:val="auto"/>
              </w:rPr>
              <w:t>Stated</w:t>
            </w:r>
          </w:p>
        </w:tc>
        <w:tc>
          <w:tcPr>
            <w:tcW w:w="2020" w:type="dxa"/>
            <w:vAlign w:val="bottom"/>
          </w:tcPr>
          <w:p>
            <w:pPr>
              <w:spacing w:after="0"/>
              <w:rPr>
                <w:sz w:val="11"/>
                <w:szCs w:val="11"/>
                <w:color w:val="auto"/>
              </w:rPr>
            </w:pPr>
          </w:p>
        </w:tc>
        <w:tc>
          <w:tcPr>
            <w:tcW w:w="1380" w:type="dxa"/>
            <w:vAlign w:val="bottom"/>
            <w:gridSpan w:val="2"/>
          </w:tcPr>
          <w:p>
            <w:pPr>
              <w:ind w:left="540"/>
              <w:spacing w:after="0"/>
              <w:rPr>
                <w:sz w:val="20"/>
                <w:szCs w:val="20"/>
                <w:color w:val="auto"/>
              </w:rPr>
            </w:pPr>
            <w:r>
              <w:rPr>
                <w:rFonts w:ascii="Courier New" w:cs="Courier New" w:eastAsia="Courier New" w:hAnsi="Courier New"/>
                <w:sz w:val="12"/>
                <w:szCs w:val="12"/>
                <w:b w:val="1"/>
                <w:bCs w:val="1"/>
                <w:color w:val="auto"/>
              </w:rPr>
              <w:t>June 30,</w:t>
            </w:r>
          </w:p>
        </w:tc>
        <w:tc>
          <w:tcPr>
            <w:tcW w:w="160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December  31,</w:t>
            </w:r>
          </w:p>
        </w:tc>
        <w:tc>
          <w:tcPr>
            <w:tcW w:w="1140" w:type="dxa"/>
            <w:vAlign w:val="bottom"/>
          </w:tcPr>
          <w:p>
            <w:pPr>
              <w:ind w:left="180"/>
              <w:spacing w:after="0"/>
              <w:rPr>
                <w:sz w:val="20"/>
                <w:szCs w:val="20"/>
                <w:color w:val="auto"/>
              </w:rPr>
            </w:pPr>
            <w:r>
              <w:rPr>
                <w:rFonts w:ascii="Courier New" w:cs="Courier New" w:eastAsia="Courier New" w:hAnsi="Courier New"/>
                <w:sz w:val="12"/>
                <w:szCs w:val="12"/>
                <w:b w:val="1"/>
                <w:bCs w:val="1"/>
                <w:color w:val="auto"/>
              </w:rPr>
              <w:t>Effective</w:t>
            </w:r>
          </w:p>
        </w:tc>
      </w:tr>
      <w:tr>
        <w:trPr>
          <w:trHeight w:val="135"/>
        </w:trPr>
        <w:tc>
          <w:tcPr>
            <w:tcW w:w="1240" w:type="dxa"/>
            <w:vAlign w:val="bottom"/>
          </w:tcPr>
          <w:p>
            <w:pPr>
              <w:spacing w:after="0"/>
              <w:rPr>
                <w:sz w:val="20"/>
                <w:szCs w:val="20"/>
                <w:color w:val="auto"/>
              </w:rPr>
            </w:pPr>
            <w:r>
              <w:rPr>
                <w:rFonts w:ascii="Courier New" w:cs="Courier New" w:eastAsia="Courier New" w:hAnsi="Courier New"/>
                <w:sz w:val="12"/>
                <w:szCs w:val="12"/>
                <w:b w:val="1"/>
                <w:bCs w:val="1"/>
                <w:color w:val="auto"/>
              </w:rPr>
              <w:t>Rate</w:t>
            </w:r>
          </w:p>
        </w:tc>
        <w:tc>
          <w:tcPr>
            <w:tcW w:w="2020" w:type="dxa"/>
            <w:vAlign w:val="bottom"/>
          </w:tcPr>
          <w:p>
            <w:pPr>
              <w:ind w:left="220"/>
              <w:spacing w:after="0"/>
              <w:rPr>
                <w:sz w:val="20"/>
                <w:szCs w:val="20"/>
                <w:color w:val="auto"/>
              </w:rPr>
            </w:pPr>
            <w:r>
              <w:rPr>
                <w:rFonts w:ascii="Courier New" w:cs="Courier New" w:eastAsia="Courier New" w:hAnsi="Courier New"/>
                <w:sz w:val="12"/>
                <w:szCs w:val="12"/>
                <w:b w:val="1"/>
                <w:bCs w:val="1"/>
                <w:color w:val="auto"/>
              </w:rPr>
              <w:t>Maturity</w:t>
            </w:r>
          </w:p>
        </w:tc>
        <w:tc>
          <w:tcPr>
            <w:tcW w:w="620" w:type="dxa"/>
            <w:vAlign w:val="bottom"/>
          </w:tcPr>
          <w:p>
            <w:pPr>
              <w:spacing w:after="0"/>
              <w:rPr>
                <w:sz w:val="11"/>
                <w:szCs w:val="11"/>
                <w:color w:val="auto"/>
              </w:rPr>
            </w:pP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2005</w:t>
            </w:r>
          </w:p>
        </w:tc>
        <w:tc>
          <w:tcPr>
            <w:tcW w:w="160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2004</w:t>
            </w:r>
          </w:p>
        </w:tc>
        <w:tc>
          <w:tcPr>
            <w:tcW w:w="1140" w:type="dxa"/>
            <w:vAlign w:val="bottom"/>
          </w:tcPr>
          <w:p>
            <w:pPr>
              <w:ind w:left="260"/>
              <w:spacing w:after="0"/>
              <w:rPr>
                <w:sz w:val="20"/>
                <w:szCs w:val="20"/>
                <w:color w:val="auto"/>
              </w:rPr>
            </w:pPr>
            <w:r>
              <w:rPr>
                <w:rFonts w:ascii="Courier New" w:cs="Courier New" w:eastAsia="Courier New" w:hAnsi="Courier New"/>
                <w:sz w:val="12"/>
                <w:szCs w:val="12"/>
                <w:b w:val="1"/>
                <w:bCs w:val="1"/>
                <w:color w:val="auto"/>
              </w:rPr>
              <w:t>Yield (1)</w:t>
            </w:r>
          </w:p>
        </w:tc>
      </w:tr>
      <w:tr>
        <w:trPr>
          <w:trHeight w:val="135"/>
        </w:trPr>
        <w:tc>
          <w:tcPr>
            <w:tcW w:w="1240" w:type="dxa"/>
            <w:vAlign w:val="bottom"/>
          </w:tcPr>
          <w:p>
            <w:pPr>
              <w:spacing w:after="0"/>
              <w:rPr>
                <w:sz w:val="20"/>
                <w:szCs w:val="20"/>
                <w:color w:val="auto"/>
              </w:rPr>
            </w:pPr>
            <w:r>
              <w:rPr>
                <w:rFonts w:ascii="Courier New" w:cs="Courier New" w:eastAsia="Courier New" w:hAnsi="Courier New"/>
                <w:sz w:val="12"/>
                <w:szCs w:val="12"/>
                <w:color w:val="auto"/>
              </w:rPr>
              <w:t>- -------------</w:t>
            </w:r>
          </w:p>
        </w:tc>
        <w:tc>
          <w:tcPr>
            <w:tcW w:w="2020" w:type="dxa"/>
            <w:vAlign w:val="bottom"/>
          </w:tcPr>
          <w:p>
            <w:pPr>
              <w:ind w:left="300"/>
              <w:spacing w:after="0"/>
              <w:rPr>
                <w:sz w:val="20"/>
                <w:szCs w:val="20"/>
                <w:color w:val="auto"/>
              </w:rPr>
            </w:pPr>
            <w:r>
              <w:rPr>
                <w:rFonts w:ascii="Courier New" w:cs="Courier New" w:eastAsia="Courier New" w:hAnsi="Courier New"/>
                <w:sz w:val="12"/>
                <w:szCs w:val="12"/>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6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ind w:left="120"/>
              <w:spacing w:after="0"/>
              <w:rPr>
                <w:sz w:val="20"/>
                <w:szCs w:val="20"/>
                <w:color w:val="auto"/>
              </w:rPr>
            </w:pPr>
            <w:r>
              <w:rPr>
                <w:rFonts w:ascii="Courier New" w:cs="Courier New" w:eastAsia="Courier New" w:hAnsi="Courier New"/>
                <w:sz w:val="12"/>
                <w:szCs w:val="12"/>
                <w:color w:val="auto"/>
                <w:w w:val="99"/>
              </w:rPr>
              <w:t>--------------</w:t>
            </w:r>
          </w:p>
        </w:tc>
      </w:tr>
      <w:tr>
        <w:trPr>
          <w:trHeight w:val="135"/>
        </w:trPr>
        <w:tc>
          <w:tcPr>
            <w:tcW w:w="1240" w:type="dxa"/>
            <w:vAlign w:val="bottom"/>
          </w:tcPr>
          <w:p>
            <w:pPr>
              <w:spacing w:after="0"/>
              <w:rPr>
                <w:sz w:val="20"/>
                <w:szCs w:val="20"/>
                <w:color w:val="auto"/>
              </w:rPr>
            </w:pPr>
            <w:r>
              <w:rPr>
                <w:rFonts w:ascii="Courier New" w:cs="Courier New" w:eastAsia="Courier New" w:hAnsi="Courier New"/>
                <w:sz w:val="12"/>
                <w:szCs w:val="12"/>
                <w:color w:val="auto"/>
              </w:rPr>
              <w:t>8.375%</w:t>
            </w:r>
          </w:p>
        </w:tc>
        <w:tc>
          <w:tcPr>
            <w:tcW w:w="2020" w:type="dxa"/>
            <w:vAlign w:val="bottom"/>
          </w:tcPr>
          <w:p>
            <w:pPr>
              <w:ind w:left="160"/>
              <w:spacing w:after="0"/>
              <w:rPr>
                <w:sz w:val="20"/>
                <w:szCs w:val="20"/>
                <w:color w:val="auto"/>
              </w:rPr>
            </w:pPr>
            <w:r>
              <w:rPr>
                <w:rFonts w:ascii="Courier New" w:cs="Courier New" w:eastAsia="Courier New" w:hAnsi="Courier New"/>
                <w:sz w:val="12"/>
                <w:szCs w:val="12"/>
                <w:color w:val="auto"/>
              </w:rPr>
              <w:t>August 2005.............</w:t>
            </w:r>
          </w:p>
        </w:tc>
        <w:tc>
          <w:tcPr>
            <w:tcW w:w="620" w:type="dxa"/>
            <w:vAlign w:val="bottom"/>
          </w:tcPr>
          <w:p>
            <w:pPr>
              <w:ind w:left="540"/>
              <w:spacing w:after="0"/>
              <w:rPr>
                <w:sz w:val="20"/>
                <w:szCs w:val="20"/>
                <w:color w:val="auto"/>
              </w:rPr>
            </w:pPr>
            <w:r>
              <w:rPr>
                <w:rFonts w:ascii="Courier New" w:cs="Courier New" w:eastAsia="Courier New" w:hAnsi="Courier New"/>
                <w:sz w:val="12"/>
                <w:szCs w:val="12"/>
                <w:b w:val="1"/>
                <w:bCs w:val="1"/>
                <w:color w:val="auto"/>
                <w:w w:val="82"/>
              </w:rPr>
              <w:t>$</w:t>
            </w:r>
          </w:p>
        </w:tc>
        <w:tc>
          <w:tcPr>
            <w:tcW w:w="76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49,998</w:t>
            </w:r>
          </w:p>
        </w:tc>
        <w:tc>
          <w:tcPr>
            <w:tcW w:w="16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$ 49,982</w:t>
            </w:r>
          </w:p>
        </w:tc>
        <w:tc>
          <w:tcPr>
            <w:tcW w:w="1140" w:type="dxa"/>
            <w:vAlign w:val="bottom"/>
          </w:tcPr>
          <w:p>
            <w:pPr>
              <w:ind w:left="180"/>
              <w:spacing w:after="0"/>
              <w:rPr>
                <w:sz w:val="20"/>
                <w:szCs w:val="20"/>
                <w:color w:val="auto"/>
              </w:rPr>
            </w:pPr>
            <w:r>
              <w:rPr>
                <w:rFonts w:ascii="Courier New" w:cs="Courier New" w:eastAsia="Courier New" w:hAnsi="Courier New"/>
                <w:sz w:val="12"/>
                <w:szCs w:val="12"/>
                <w:color w:val="auto"/>
              </w:rPr>
              <w:t>8.44%</w:t>
            </w:r>
          </w:p>
        </w:tc>
      </w:tr>
      <w:tr>
        <w:trPr>
          <w:trHeight w:val="135"/>
        </w:trPr>
        <w:tc>
          <w:tcPr>
            <w:tcW w:w="1240" w:type="dxa"/>
            <w:vAlign w:val="bottom"/>
          </w:tcPr>
          <w:p>
            <w:pPr>
              <w:spacing w:after="0"/>
              <w:rPr>
                <w:sz w:val="20"/>
                <w:szCs w:val="20"/>
                <w:color w:val="auto"/>
              </w:rPr>
            </w:pPr>
            <w:r>
              <w:rPr>
                <w:rFonts w:ascii="Courier New" w:cs="Courier New" w:eastAsia="Courier New" w:hAnsi="Courier New"/>
                <w:sz w:val="12"/>
                <w:szCs w:val="12"/>
                <w:color w:val="auto"/>
              </w:rPr>
              <w:t>7.250%</w:t>
            </w:r>
          </w:p>
        </w:tc>
        <w:tc>
          <w:tcPr>
            <w:tcW w:w="2020" w:type="dxa"/>
            <w:vAlign w:val="bottom"/>
          </w:tcPr>
          <w:p>
            <w:pPr>
              <w:ind w:left="160"/>
              <w:spacing w:after="0"/>
              <w:rPr>
                <w:sz w:val="20"/>
                <w:szCs w:val="20"/>
                <w:color w:val="auto"/>
              </w:rPr>
            </w:pPr>
            <w:r>
              <w:rPr>
                <w:rFonts w:ascii="Courier New" w:cs="Courier New" w:eastAsia="Courier New" w:hAnsi="Courier New"/>
                <w:sz w:val="12"/>
                <w:szCs w:val="12"/>
                <w:color w:val="auto"/>
              </w:rPr>
              <w:t>October 2007............</w:t>
            </w:r>
          </w:p>
        </w:tc>
        <w:tc>
          <w:tcPr>
            <w:tcW w:w="620" w:type="dxa"/>
            <w:vAlign w:val="bottom"/>
          </w:tcPr>
          <w:p>
            <w:pPr>
              <w:spacing w:after="0"/>
              <w:rPr>
                <w:sz w:val="11"/>
                <w:szCs w:val="11"/>
                <w:color w:val="auto"/>
              </w:rPr>
            </w:pPr>
          </w:p>
        </w:tc>
        <w:tc>
          <w:tcPr>
            <w:tcW w:w="76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w w:val="95"/>
              </w:rPr>
              <w:t>124,923</w:t>
            </w:r>
          </w:p>
        </w:tc>
        <w:tc>
          <w:tcPr>
            <w:tcW w:w="16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124,906</w:t>
            </w:r>
          </w:p>
        </w:tc>
        <w:tc>
          <w:tcPr>
            <w:tcW w:w="1140" w:type="dxa"/>
            <w:vAlign w:val="bottom"/>
          </w:tcPr>
          <w:p>
            <w:pPr>
              <w:ind w:left="180"/>
              <w:spacing w:after="0"/>
              <w:rPr>
                <w:sz w:val="20"/>
                <w:szCs w:val="20"/>
                <w:color w:val="auto"/>
              </w:rPr>
            </w:pPr>
            <w:r>
              <w:rPr>
                <w:rFonts w:ascii="Courier New" w:cs="Courier New" w:eastAsia="Courier New" w:hAnsi="Courier New"/>
                <w:sz w:val="12"/>
                <w:szCs w:val="12"/>
                <w:color w:val="auto"/>
              </w:rPr>
              <w:t>7.39%</w:t>
            </w:r>
          </w:p>
        </w:tc>
      </w:tr>
      <w:tr>
        <w:trPr>
          <w:trHeight w:val="135"/>
        </w:trPr>
        <w:tc>
          <w:tcPr>
            <w:tcW w:w="1240" w:type="dxa"/>
            <w:vAlign w:val="bottom"/>
          </w:tcPr>
          <w:p>
            <w:pPr>
              <w:spacing w:after="0"/>
              <w:rPr>
                <w:sz w:val="20"/>
                <w:szCs w:val="20"/>
                <w:color w:val="auto"/>
              </w:rPr>
            </w:pPr>
            <w:r>
              <w:rPr>
                <w:rFonts w:ascii="Courier New" w:cs="Courier New" w:eastAsia="Courier New" w:hAnsi="Courier New"/>
                <w:sz w:val="12"/>
                <w:szCs w:val="12"/>
                <w:color w:val="auto"/>
              </w:rPr>
              <w:t>3.500%</w:t>
            </w:r>
          </w:p>
        </w:tc>
        <w:tc>
          <w:tcPr>
            <w:tcW w:w="2020" w:type="dxa"/>
            <w:vAlign w:val="bottom"/>
          </w:tcPr>
          <w:p>
            <w:pPr>
              <w:ind w:left="160"/>
              <w:spacing w:after="0"/>
              <w:rPr>
                <w:sz w:val="20"/>
                <w:szCs w:val="20"/>
                <w:color w:val="auto"/>
              </w:rPr>
            </w:pPr>
            <w:r>
              <w:rPr>
                <w:rFonts w:ascii="Courier New" w:cs="Courier New" w:eastAsia="Courier New" w:hAnsi="Courier New"/>
                <w:sz w:val="12"/>
                <w:szCs w:val="12"/>
                <w:color w:val="auto"/>
              </w:rPr>
              <w:t>March 2009..............</w:t>
            </w:r>
          </w:p>
        </w:tc>
        <w:tc>
          <w:tcPr>
            <w:tcW w:w="620" w:type="dxa"/>
            <w:vAlign w:val="bottom"/>
          </w:tcPr>
          <w:p>
            <w:pPr>
              <w:spacing w:after="0"/>
              <w:rPr>
                <w:sz w:val="11"/>
                <w:szCs w:val="11"/>
                <w:color w:val="auto"/>
              </w:rPr>
            </w:pPr>
          </w:p>
        </w:tc>
        <w:tc>
          <w:tcPr>
            <w:tcW w:w="76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99,654</w:t>
            </w:r>
          </w:p>
        </w:tc>
        <w:tc>
          <w:tcPr>
            <w:tcW w:w="16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99,608</w:t>
            </w:r>
          </w:p>
        </w:tc>
        <w:tc>
          <w:tcPr>
            <w:tcW w:w="1140" w:type="dxa"/>
            <w:vAlign w:val="bottom"/>
          </w:tcPr>
          <w:p>
            <w:pPr>
              <w:ind w:left="180"/>
              <w:spacing w:after="0"/>
              <w:rPr>
                <w:sz w:val="20"/>
                <w:szCs w:val="20"/>
                <w:color w:val="auto"/>
              </w:rPr>
            </w:pPr>
            <w:r>
              <w:rPr>
                <w:rFonts w:ascii="Courier New" w:cs="Courier New" w:eastAsia="Courier New" w:hAnsi="Courier New"/>
                <w:sz w:val="12"/>
                <w:szCs w:val="12"/>
                <w:color w:val="auto"/>
              </w:rPr>
              <w:t>3.60%</w:t>
            </w:r>
          </w:p>
        </w:tc>
      </w:tr>
      <w:tr>
        <w:trPr>
          <w:trHeight w:val="135"/>
        </w:trPr>
        <w:tc>
          <w:tcPr>
            <w:tcW w:w="1240" w:type="dxa"/>
            <w:vAlign w:val="bottom"/>
          </w:tcPr>
          <w:p>
            <w:pPr>
              <w:spacing w:after="0"/>
              <w:rPr>
                <w:sz w:val="20"/>
                <w:szCs w:val="20"/>
                <w:color w:val="auto"/>
              </w:rPr>
            </w:pPr>
            <w:r>
              <w:rPr>
                <w:rFonts w:ascii="Courier New" w:cs="Courier New" w:eastAsia="Courier New" w:hAnsi="Courier New"/>
                <w:sz w:val="12"/>
                <w:szCs w:val="12"/>
                <w:color w:val="auto"/>
              </w:rPr>
              <w:t>8.625%</w:t>
            </w:r>
          </w:p>
        </w:tc>
        <w:tc>
          <w:tcPr>
            <w:tcW w:w="2020" w:type="dxa"/>
            <w:vAlign w:val="bottom"/>
          </w:tcPr>
          <w:p>
            <w:pPr>
              <w:ind w:left="160"/>
              <w:spacing w:after="0"/>
              <w:rPr>
                <w:sz w:val="20"/>
                <w:szCs w:val="20"/>
                <w:color w:val="auto"/>
              </w:rPr>
            </w:pPr>
            <w:r>
              <w:rPr>
                <w:rFonts w:ascii="Courier New" w:cs="Courier New" w:eastAsia="Courier New" w:hAnsi="Courier New"/>
                <w:sz w:val="12"/>
                <w:szCs w:val="12"/>
                <w:color w:val="auto"/>
              </w:rPr>
              <w:t>August 2009.............</w:t>
            </w:r>
          </w:p>
        </w:tc>
        <w:tc>
          <w:tcPr>
            <w:tcW w:w="620" w:type="dxa"/>
            <w:vAlign w:val="bottom"/>
          </w:tcPr>
          <w:p>
            <w:pPr>
              <w:spacing w:after="0"/>
              <w:rPr>
                <w:sz w:val="11"/>
                <w:szCs w:val="11"/>
                <w:color w:val="auto"/>
              </w:rPr>
            </w:pPr>
          </w:p>
        </w:tc>
        <w:tc>
          <w:tcPr>
            <w:tcW w:w="76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49,958</w:t>
            </w:r>
          </w:p>
        </w:tc>
        <w:tc>
          <w:tcPr>
            <w:tcW w:w="16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49,953</w:t>
            </w:r>
          </w:p>
        </w:tc>
        <w:tc>
          <w:tcPr>
            <w:tcW w:w="1140" w:type="dxa"/>
            <w:vAlign w:val="bottom"/>
          </w:tcPr>
          <w:p>
            <w:pPr>
              <w:ind w:left="180"/>
              <w:spacing w:after="0"/>
              <w:rPr>
                <w:sz w:val="20"/>
                <w:szCs w:val="20"/>
                <w:color w:val="auto"/>
              </w:rPr>
            </w:pPr>
            <w:r>
              <w:rPr>
                <w:rFonts w:ascii="Courier New" w:cs="Courier New" w:eastAsia="Courier New" w:hAnsi="Courier New"/>
                <w:sz w:val="12"/>
                <w:szCs w:val="12"/>
                <w:color w:val="auto"/>
              </w:rPr>
              <w:t>8.76%</w:t>
            </w:r>
          </w:p>
        </w:tc>
      </w:tr>
      <w:tr>
        <w:trPr>
          <w:trHeight w:val="135"/>
        </w:trPr>
        <w:tc>
          <w:tcPr>
            <w:tcW w:w="1240" w:type="dxa"/>
            <w:vAlign w:val="bottom"/>
          </w:tcPr>
          <w:p>
            <w:pPr>
              <w:spacing w:after="0"/>
              <w:rPr>
                <w:sz w:val="20"/>
                <w:szCs w:val="20"/>
                <w:color w:val="auto"/>
              </w:rPr>
            </w:pPr>
            <w:r>
              <w:rPr>
                <w:rFonts w:ascii="Courier New" w:cs="Courier New" w:eastAsia="Courier New" w:hAnsi="Courier New"/>
                <w:sz w:val="12"/>
                <w:szCs w:val="12"/>
                <w:color w:val="auto"/>
              </w:rPr>
              <w:t>8.250%</w:t>
            </w:r>
          </w:p>
        </w:tc>
        <w:tc>
          <w:tcPr>
            <w:tcW w:w="2020" w:type="dxa"/>
            <w:vAlign w:val="bottom"/>
          </w:tcPr>
          <w:p>
            <w:pPr>
              <w:ind w:left="160"/>
              <w:spacing w:after="0"/>
              <w:rPr>
                <w:sz w:val="20"/>
                <w:szCs w:val="20"/>
                <w:color w:val="auto"/>
              </w:rPr>
            </w:pPr>
            <w:r>
              <w:rPr>
                <w:rFonts w:ascii="Courier New" w:cs="Courier New" w:eastAsia="Courier New" w:hAnsi="Courier New"/>
                <w:sz w:val="12"/>
                <w:szCs w:val="12"/>
                <w:color w:val="auto"/>
              </w:rPr>
              <w:t>February 2011...........</w:t>
            </w:r>
          </w:p>
        </w:tc>
        <w:tc>
          <w:tcPr>
            <w:tcW w:w="620" w:type="dxa"/>
            <w:vAlign w:val="bottom"/>
          </w:tcPr>
          <w:p>
            <w:pPr>
              <w:spacing w:after="0"/>
              <w:rPr>
                <w:sz w:val="11"/>
                <w:szCs w:val="11"/>
                <w:color w:val="auto"/>
              </w:rPr>
            </w:pPr>
          </w:p>
        </w:tc>
        <w:tc>
          <w:tcPr>
            <w:tcW w:w="76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w w:val="95"/>
              </w:rPr>
              <w:t>149,183</w:t>
            </w:r>
          </w:p>
        </w:tc>
        <w:tc>
          <w:tcPr>
            <w:tcW w:w="16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149,110</w:t>
            </w:r>
          </w:p>
        </w:tc>
        <w:tc>
          <w:tcPr>
            <w:tcW w:w="1140" w:type="dxa"/>
            <w:vAlign w:val="bottom"/>
          </w:tcPr>
          <w:p>
            <w:pPr>
              <w:ind w:left="180"/>
              <w:spacing w:after="0"/>
              <w:rPr>
                <w:sz w:val="20"/>
                <w:szCs w:val="20"/>
                <w:color w:val="auto"/>
              </w:rPr>
            </w:pPr>
            <w:r>
              <w:rPr>
                <w:rFonts w:ascii="Courier New" w:cs="Courier New" w:eastAsia="Courier New" w:hAnsi="Courier New"/>
                <w:sz w:val="12"/>
                <w:szCs w:val="12"/>
                <w:color w:val="auto"/>
              </w:rPr>
              <w:t>8.40%</w:t>
            </w:r>
          </w:p>
        </w:tc>
      </w:tr>
      <w:tr>
        <w:trPr>
          <w:trHeight w:val="135"/>
        </w:trPr>
        <w:tc>
          <w:tcPr>
            <w:tcW w:w="1240" w:type="dxa"/>
            <w:vAlign w:val="bottom"/>
          </w:tcPr>
          <w:p>
            <w:pPr>
              <w:spacing w:after="0"/>
              <w:rPr>
                <w:sz w:val="20"/>
                <w:szCs w:val="20"/>
                <w:color w:val="auto"/>
              </w:rPr>
            </w:pPr>
            <w:r>
              <w:rPr>
                <w:rFonts w:ascii="Courier New" w:cs="Courier New" w:eastAsia="Courier New" w:hAnsi="Courier New"/>
                <w:sz w:val="12"/>
                <w:szCs w:val="12"/>
                <w:color w:val="auto"/>
              </w:rPr>
              <w:t>6.875%</w:t>
            </w:r>
          </w:p>
        </w:tc>
        <w:tc>
          <w:tcPr>
            <w:tcW w:w="2020" w:type="dxa"/>
            <w:vAlign w:val="bottom"/>
          </w:tcPr>
          <w:p>
            <w:pPr>
              <w:ind w:left="160"/>
              <w:spacing w:after="0"/>
              <w:rPr>
                <w:sz w:val="20"/>
                <w:szCs w:val="20"/>
                <w:color w:val="auto"/>
              </w:rPr>
            </w:pPr>
            <w:r>
              <w:rPr>
                <w:rFonts w:ascii="Courier New" w:cs="Courier New" w:eastAsia="Courier New" w:hAnsi="Courier New"/>
                <w:sz w:val="12"/>
                <w:szCs w:val="12"/>
                <w:color w:val="auto"/>
              </w:rPr>
              <w:t>June 2012...............</w:t>
            </w:r>
          </w:p>
        </w:tc>
        <w:tc>
          <w:tcPr>
            <w:tcW w:w="620" w:type="dxa"/>
            <w:vAlign w:val="bottom"/>
          </w:tcPr>
          <w:p>
            <w:pPr>
              <w:spacing w:after="0"/>
              <w:rPr>
                <w:sz w:val="11"/>
                <w:szCs w:val="11"/>
                <w:color w:val="auto"/>
              </w:rPr>
            </w:pPr>
          </w:p>
        </w:tc>
        <w:tc>
          <w:tcPr>
            <w:tcW w:w="76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99,906</w:t>
            </w:r>
          </w:p>
        </w:tc>
        <w:tc>
          <w:tcPr>
            <w:tcW w:w="16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99,897</w:t>
            </w:r>
          </w:p>
        </w:tc>
        <w:tc>
          <w:tcPr>
            <w:tcW w:w="1140" w:type="dxa"/>
            <w:vAlign w:val="bottom"/>
          </w:tcPr>
          <w:p>
            <w:pPr>
              <w:ind w:left="180"/>
              <w:spacing w:after="0"/>
              <w:rPr>
                <w:sz w:val="20"/>
                <w:szCs w:val="20"/>
                <w:color w:val="auto"/>
              </w:rPr>
            </w:pPr>
            <w:r>
              <w:rPr>
                <w:rFonts w:ascii="Courier New" w:cs="Courier New" w:eastAsia="Courier New" w:hAnsi="Courier New"/>
                <w:sz w:val="12"/>
                <w:szCs w:val="12"/>
                <w:color w:val="auto"/>
              </w:rPr>
              <w:t>6.90%</w:t>
            </w:r>
          </w:p>
        </w:tc>
      </w:tr>
      <w:tr>
        <w:trPr>
          <w:trHeight w:val="135"/>
        </w:trPr>
        <w:tc>
          <w:tcPr>
            <w:tcW w:w="1240" w:type="dxa"/>
            <w:vAlign w:val="bottom"/>
          </w:tcPr>
          <w:p>
            <w:pPr>
              <w:spacing w:after="0"/>
              <w:rPr>
                <w:sz w:val="20"/>
                <w:szCs w:val="20"/>
                <w:color w:val="auto"/>
              </w:rPr>
            </w:pPr>
            <w:r>
              <w:rPr>
                <w:rFonts w:ascii="Courier New" w:cs="Courier New" w:eastAsia="Courier New" w:hAnsi="Courier New"/>
                <w:sz w:val="12"/>
                <w:szCs w:val="12"/>
                <w:color w:val="auto"/>
              </w:rPr>
              <w:t>6.000%</w:t>
            </w:r>
          </w:p>
        </w:tc>
        <w:tc>
          <w:tcPr>
            <w:tcW w:w="2020" w:type="dxa"/>
            <w:vAlign w:val="bottom"/>
          </w:tcPr>
          <w:p>
            <w:pPr>
              <w:ind w:left="160"/>
              <w:spacing w:after="0"/>
              <w:rPr>
                <w:sz w:val="20"/>
                <w:szCs w:val="20"/>
                <w:color w:val="auto"/>
              </w:rPr>
            </w:pPr>
            <w:r>
              <w:rPr>
                <w:rFonts w:ascii="Courier New" w:cs="Courier New" w:eastAsia="Courier New" w:hAnsi="Courier New"/>
                <w:sz w:val="12"/>
                <w:szCs w:val="12"/>
                <w:color w:val="auto"/>
              </w:rPr>
              <w:t>January 2013............</w:t>
            </w:r>
          </w:p>
        </w:tc>
        <w:tc>
          <w:tcPr>
            <w:tcW w:w="620" w:type="dxa"/>
            <w:vAlign w:val="bottom"/>
          </w:tcPr>
          <w:p>
            <w:pPr>
              <w:spacing w:after="0"/>
              <w:rPr>
                <w:sz w:val="11"/>
                <w:szCs w:val="11"/>
                <w:color w:val="auto"/>
              </w:rPr>
            </w:pPr>
          </w:p>
        </w:tc>
        <w:tc>
          <w:tcPr>
            <w:tcW w:w="76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w w:val="95"/>
              </w:rPr>
              <w:t>148,493</w:t>
            </w:r>
          </w:p>
        </w:tc>
        <w:tc>
          <w:tcPr>
            <w:tcW w:w="16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148,393</w:t>
            </w:r>
          </w:p>
        </w:tc>
        <w:tc>
          <w:tcPr>
            <w:tcW w:w="1140" w:type="dxa"/>
            <w:vAlign w:val="bottom"/>
          </w:tcPr>
          <w:p>
            <w:pPr>
              <w:ind w:left="180"/>
              <w:spacing w:after="0"/>
              <w:rPr>
                <w:sz w:val="20"/>
                <w:szCs w:val="20"/>
                <w:color w:val="auto"/>
              </w:rPr>
            </w:pPr>
            <w:r>
              <w:rPr>
                <w:rFonts w:ascii="Courier New" w:cs="Courier New" w:eastAsia="Courier New" w:hAnsi="Courier New"/>
                <w:sz w:val="12"/>
                <w:szCs w:val="12"/>
                <w:color w:val="auto"/>
              </w:rPr>
              <w:t>6.18%</w:t>
            </w:r>
          </w:p>
        </w:tc>
      </w:tr>
      <w:tr>
        <w:trPr>
          <w:trHeight w:val="135"/>
        </w:trPr>
        <w:tc>
          <w:tcPr>
            <w:tcW w:w="12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38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6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spacing w:after="0"/>
              <w:rPr>
                <w:sz w:val="11"/>
                <w:szCs w:val="11"/>
                <w:color w:val="auto"/>
              </w:rPr>
            </w:pPr>
          </w:p>
        </w:tc>
      </w:tr>
      <w:tr>
        <w:trPr>
          <w:trHeight w:val="135"/>
        </w:trPr>
        <w:tc>
          <w:tcPr>
            <w:tcW w:w="12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620" w:type="dxa"/>
            <w:vAlign w:val="bottom"/>
          </w:tcPr>
          <w:p>
            <w:pPr>
              <w:ind w:left="540"/>
              <w:spacing w:after="0"/>
              <w:rPr>
                <w:sz w:val="20"/>
                <w:szCs w:val="20"/>
                <w:color w:val="auto"/>
              </w:rPr>
            </w:pPr>
            <w:r>
              <w:rPr>
                <w:rFonts w:ascii="Courier New" w:cs="Courier New" w:eastAsia="Courier New" w:hAnsi="Courier New"/>
                <w:sz w:val="12"/>
                <w:szCs w:val="12"/>
                <w:b w:val="1"/>
                <w:bCs w:val="1"/>
                <w:color w:val="auto"/>
                <w:w w:val="82"/>
              </w:rPr>
              <w:t>$</w:t>
            </w:r>
          </w:p>
        </w:tc>
        <w:tc>
          <w:tcPr>
            <w:tcW w:w="76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w w:val="95"/>
              </w:rPr>
              <w:t>722,115</w:t>
            </w:r>
          </w:p>
        </w:tc>
        <w:tc>
          <w:tcPr>
            <w:tcW w:w="16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$721,849</w:t>
            </w:r>
          </w:p>
        </w:tc>
        <w:tc>
          <w:tcPr>
            <w:tcW w:w="1140" w:type="dxa"/>
            <w:vAlign w:val="bottom"/>
          </w:tcPr>
          <w:p>
            <w:pPr>
              <w:spacing w:after="0"/>
              <w:rPr>
                <w:sz w:val="11"/>
                <w:szCs w:val="11"/>
                <w:color w:val="auto"/>
              </w:rPr>
            </w:pPr>
          </w:p>
        </w:tc>
      </w:tr>
      <w:tr>
        <w:trPr>
          <w:trHeight w:val="137"/>
        </w:trPr>
        <w:tc>
          <w:tcPr>
            <w:tcW w:w="12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38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6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spacing w:after="0"/>
              <w:rPr>
                <w:sz w:val="11"/>
                <w:szCs w:val="1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(1) Including discounts on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59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19"/>
        <w:spacing w:after="0"/>
        <w:rPr>
          <w:sz w:val="20"/>
          <w:szCs w:val="20"/>
          <w:color w:val="auto"/>
        </w:rPr>
      </w:pPr>
      <w:r>
        <w:rPr>
          <w:rFonts w:ascii="Arial" w:cs="Arial" w:eastAsia="Arial" w:hAnsi="Arial"/>
          <w:sz w:val="22"/>
          <w:szCs w:val="22"/>
          <w:b w:val="1"/>
          <w:bCs w:val="1"/>
          <w:i w:val="1"/>
          <w:iCs w:val="1"/>
          <w:color w:val="auto"/>
        </w:rPr>
        <w:t>(Unaudited)</w:t>
      </w:r>
    </w:p>
    <w:p>
      <w:pPr>
        <w:spacing w:after="0" w:line="182" w:lineRule="exact"/>
        <w:rPr>
          <w:sz w:val="20"/>
          <w:szCs w:val="20"/>
          <w:color w:val="auto"/>
        </w:rPr>
      </w:pPr>
    </w:p>
    <w:p>
      <w:pPr>
        <w:ind w:right="9620" w:firstLine="8"/>
        <w:spacing w:after="0" w:line="507" w:lineRule="auto"/>
        <w:tabs>
          <w:tab w:leader="none" w:pos="216"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Debt (continued) Mortgage Debt</w:t>
      </w:r>
    </w:p>
    <w:p>
      <w:pPr>
        <w:spacing w:after="0" w:line="1" w:lineRule="exact"/>
        <w:rPr>
          <w:sz w:val="20"/>
          <w:szCs w:val="20"/>
          <w:color w:val="auto"/>
        </w:rPr>
      </w:pPr>
    </w:p>
    <w:p>
      <w:pPr>
        <w:ind w:right="340"/>
        <w:spacing w:after="0" w:line="274" w:lineRule="auto"/>
        <w:rPr>
          <w:sz w:val="20"/>
          <w:szCs w:val="20"/>
          <w:color w:val="auto"/>
        </w:rPr>
      </w:pPr>
      <w:r>
        <w:rPr>
          <w:rFonts w:ascii="Arial" w:cs="Arial" w:eastAsia="Arial" w:hAnsi="Arial"/>
          <w:sz w:val="21"/>
          <w:szCs w:val="21"/>
          <w:color w:val="auto"/>
        </w:rPr>
        <w:t>A summary of the terms of the mortgage debt outstanding at June 30, 2005 and December 31, 2004, and the related interest rate and Net Book Value ("NBV") of the associated collateral as of June 30, 2005, is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6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June 30,</w:t>
            </w:r>
          </w:p>
        </w:tc>
        <w:tc>
          <w:tcPr>
            <w:tcW w:w="164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December  31,</w:t>
            </w:r>
          </w:p>
        </w:tc>
        <w:tc>
          <w:tcPr>
            <w:tcW w:w="1420" w:type="dxa"/>
            <w:vAlign w:val="bottom"/>
          </w:tcPr>
          <w:p>
            <w:pPr>
              <w:ind w:left="280"/>
              <w:spacing w:after="0"/>
              <w:rPr>
                <w:sz w:val="20"/>
                <w:szCs w:val="20"/>
                <w:color w:val="auto"/>
              </w:rPr>
            </w:pPr>
            <w:r>
              <w:rPr>
                <w:rFonts w:ascii="Courier New" w:cs="Courier New" w:eastAsia="Courier New" w:hAnsi="Courier New"/>
                <w:sz w:val="12"/>
                <w:szCs w:val="12"/>
                <w:b w:val="1"/>
                <w:bCs w:val="1"/>
                <w:color w:val="auto"/>
              </w:rPr>
              <w:t>Effective</w:t>
            </w:r>
          </w:p>
        </w:tc>
        <w:tc>
          <w:tcPr>
            <w:tcW w:w="1060" w:type="dxa"/>
            <w:vAlign w:val="bottom"/>
          </w:tcPr>
          <w:p>
            <w:pPr>
              <w:spacing w:after="0"/>
              <w:rPr>
                <w:sz w:val="11"/>
                <w:szCs w:val="11"/>
                <w:color w:val="auto"/>
              </w:rPr>
            </w:pPr>
          </w:p>
        </w:tc>
      </w:tr>
      <w:tr>
        <w:trPr>
          <w:trHeight w:val="135"/>
        </w:trPr>
        <w:tc>
          <w:tcPr>
            <w:tcW w:w="700" w:type="dxa"/>
            <w:vAlign w:val="bottom"/>
            <w:gridSpan w:val="2"/>
          </w:tcPr>
          <w:p>
            <w:pPr>
              <w:spacing w:after="0"/>
              <w:rPr>
                <w:sz w:val="20"/>
                <w:szCs w:val="20"/>
                <w:color w:val="auto"/>
              </w:rPr>
            </w:pPr>
            <w:r>
              <w:rPr>
                <w:rFonts w:ascii="Courier New" w:cs="Courier New" w:eastAsia="Courier New" w:hAnsi="Courier New"/>
                <w:sz w:val="12"/>
                <w:szCs w:val="12"/>
                <w:b w:val="1"/>
                <w:bCs w:val="1"/>
                <w:color w:val="auto"/>
              </w:rPr>
              <w:t>Maturity</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6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2005</w:t>
            </w:r>
          </w:p>
        </w:tc>
        <w:tc>
          <w:tcPr>
            <w:tcW w:w="164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2004</w:t>
            </w:r>
          </w:p>
        </w:tc>
        <w:tc>
          <w:tcPr>
            <w:tcW w:w="1420" w:type="dxa"/>
            <w:vAlign w:val="bottom"/>
          </w:tcPr>
          <w:p>
            <w:pPr>
              <w:ind w:left="800"/>
              <w:spacing w:after="0"/>
              <w:rPr>
                <w:sz w:val="20"/>
                <w:szCs w:val="20"/>
                <w:color w:val="auto"/>
              </w:rPr>
            </w:pPr>
            <w:r>
              <w:rPr>
                <w:rFonts w:ascii="Courier New" w:cs="Courier New" w:eastAsia="Courier New" w:hAnsi="Courier New"/>
                <w:sz w:val="12"/>
                <w:szCs w:val="12"/>
                <w:b w:val="1"/>
                <w:bCs w:val="1"/>
                <w:color w:val="auto"/>
              </w:rPr>
              <w:t>Rate</w:t>
            </w:r>
          </w:p>
        </w:tc>
        <w:tc>
          <w:tcPr>
            <w:tcW w:w="106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NBV</w:t>
            </w:r>
          </w:p>
        </w:tc>
      </w:tr>
      <w:tr>
        <w:trPr>
          <w:trHeight w:val="135"/>
        </w:trPr>
        <w:tc>
          <w:tcPr>
            <w:tcW w:w="700" w:type="dxa"/>
            <w:vAlign w:val="bottom"/>
            <w:gridSpan w:val="2"/>
          </w:tcPr>
          <w:p>
            <w:pPr>
              <w:spacing w:after="0"/>
              <w:rPr>
                <w:sz w:val="20"/>
                <w:szCs w:val="20"/>
                <w:color w:val="auto"/>
              </w:rPr>
            </w:pPr>
            <w:r>
              <w:rPr>
                <w:rFonts w:ascii="Courier New" w:cs="Courier New" w:eastAsia="Courier New" w:hAnsi="Courier New"/>
                <w:sz w:val="12"/>
                <w:szCs w:val="12"/>
                <w:color w:val="auto"/>
                <w:w w:val="94"/>
              </w:rPr>
              <w:t>- --------</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110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July 2008 (1)</w:t>
            </w:r>
          </w:p>
        </w:tc>
        <w:tc>
          <w:tcPr>
            <w:tcW w:w="1720" w:type="dxa"/>
            <w:vAlign w:val="bottom"/>
          </w:tcPr>
          <w:p>
            <w:pPr>
              <w:jc w:val="right"/>
              <w:ind w:right="419"/>
              <w:spacing w:after="0"/>
              <w:rPr>
                <w:sz w:val="20"/>
                <w:szCs w:val="20"/>
                <w:color w:val="auto"/>
              </w:rPr>
            </w:pPr>
            <w:r>
              <w:rPr>
                <w:rFonts w:ascii="Courier New" w:cs="Courier New" w:eastAsia="Courier New" w:hAnsi="Courier New"/>
                <w:sz w:val="12"/>
                <w:szCs w:val="12"/>
                <w:color w:val="auto"/>
                <w:w w:val="99"/>
              </w:rPr>
              <w:t>.................</w:t>
            </w:r>
          </w:p>
        </w:tc>
        <w:tc>
          <w:tcPr>
            <w:tcW w:w="146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$159,838</w:t>
            </w:r>
          </w:p>
        </w:tc>
        <w:tc>
          <w:tcPr>
            <w:tcW w:w="16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$161,546</w:t>
            </w:r>
          </w:p>
        </w:tc>
        <w:tc>
          <w:tcPr>
            <w:tcW w:w="1420" w:type="dxa"/>
            <w:vAlign w:val="bottom"/>
          </w:tcPr>
          <w:p>
            <w:pPr>
              <w:jc w:val="center"/>
              <w:spacing w:after="0"/>
              <w:rPr>
                <w:sz w:val="20"/>
                <w:szCs w:val="20"/>
                <w:color w:val="auto"/>
              </w:rPr>
            </w:pPr>
            <w:r>
              <w:rPr>
                <w:rFonts w:ascii="Courier New" w:cs="Courier New" w:eastAsia="Courier New" w:hAnsi="Courier New"/>
                <w:sz w:val="12"/>
                <w:szCs w:val="12"/>
                <w:color w:val="auto"/>
              </w:rPr>
              <w:t>7.26%</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$246,693</w:t>
            </w:r>
          </w:p>
        </w:tc>
      </w:tr>
      <w:tr>
        <w:trPr>
          <w:trHeight w:val="135"/>
        </w:trPr>
        <w:tc>
          <w:tcPr>
            <w:tcW w:w="7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December</w:t>
            </w:r>
          </w:p>
        </w:tc>
        <w:tc>
          <w:tcPr>
            <w:tcW w:w="4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2012</w:t>
            </w:r>
          </w:p>
        </w:tc>
        <w:tc>
          <w:tcPr>
            <w:tcW w:w="1720" w:type="dxa"/>
            <w:vAlign w:val="bottom"/>
          </w:tcPr>
          <w:p>
            <w:pPr>
              <w:jc w:val="right"/>
              <w:ind w:right="419"/>
              <w:spacing w:after="0"/>
              <w:rPr>
                <w:sz w:val="20"/>
                <w:szCs w:val="20"/>
                <w:color w:val="auto"/>
              </w:rPr>
            </w:pPr>
            <w:r>
              <w:rPr>
                <w:rFonts w:ascii="Courier New" w:cs="Courier New" w:eastAsia="Courier New" w:hAnsi="Courier New"/>
                <w:sz w:val="12"/>
                <w:szCs w:val="12"/>
                <w:color w:val="auto"/>
                <w:w w:val="99"/>
              </w:rPr>
              <w:t>(2) .............</w:t>
            </w:r>
          </w:p>
        </w:tc>
        <w:tc>
          <w:tcPr>
            <w:tcW w:w="146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22,202</w:t>
            </w:r>
          </w:p>
        </w:tc>
        <w:tc>
          <w:tcPr>
            <w:tcW w:w="16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23,331</w:t>
            </w:r>
          </w:p>
        </w:tc>
        <w:tc>
          <w:tcPr>
            <w:tcW w:w="1420" w:type="dxa"/>
            <w:vAlign w:val="bottom"/>
          </w:tcPr>
          <w:p>
            <w:pPr>
              <w:jc w:val="center"/>
              <w:spacing w:after="0"/>
              <w:rPr>
                <w:sz w:val="20"/>
                <w:szCs w:val="20"/>
                <w:color w:val="auto"/>
              </w:rPr>
            </w:pPr>
            <w:r>
              <w:rPr>
                <w:rFonts w:ascii="Courier New" w:cs="Courier New" w:eastAsia="Courier New" w:hAnsi="Courier New"/>
                <w:sz w:val="12"/>
                <w:szCs w:val="12"/>
                <w:color w:val="auto"/>
              </w:rPr>
              <w:t>6.29%</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98,636</w:t>
            </w:r>
          </w:p>
        </w:tc>
      </w:tr>
      <w:tr>
        <w:trPr>
          <w:trHeight w:val="135"/>
        </w:trPr>
        <w:tc>
          <w:tcPr>
            <w:tcW w:w="7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December</w:t>
            </w:r>
          </w:p>
        </w:tc>
        <w:tc>
          <w:tcPr>
            <w:tcW w:w="4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2012</w:t>
            </w:r>
          </w:p>
        </w:tc>
        <w:tc>
          <w:tcPr>
            <w:tcW w:w="1720" w:type="dxa"/>
            <w:vAlign w:val="bottom"/>
          </w:tcPr>
          <w:p>
            <w:pPr>
              <w:jc w:val="right"/>
              <w:ind w:right="419"/>
              <w:spacing w:after="0"/>
              <w:rPr>
                <w:sz w:val="20"/>
                <w:szCs w:val="20"/>
                <w:color w:val="auto"/>
              </w:rPr>
            </w:pPr>
            <w:r>
              <w:rPr>
                <w:rFonts w:ascii="Courier New" w:cs="Courier New" w:eastAsia="Courier New" w:hAnsi="Courier New"/>
                <w:sz w:val="12"/>
                <w:szCs w:val="12"/>
                <w:color w:val="auto"/>
                <w:w w:val="99"/>
              </w:rPr>
              <w:t>(3) .............</w:t>
            </w:r>
          </w:p>
        </w:tc>
        <w:tc>
          <w:tcPr>
            <w:tcW w:w="146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68,780</w:t>
            </w:r>
          </w:p>
        </w:tc>
        <w:tc>
          <w:tcPr>
            <w:tcW w:w="16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69,372</w:t>
            </w:r>
          </w:p>
        </w:tc>
        <w:tc>
          <w:tcPr>
            <w:tcW w:w="1420" w:type="dxa"/>
            <w:vAlign w:val="bottom"/>
          </w:tcPr>
          <w:p>
            <w:pPr>
              <w:jc w:val="center"/>
              <w:spacing w:after="0"/>
              <w:rPr>
                <w:sz w:val="20"/>
                <w:szCs w:val="20"/>
                <w:color w:val="auto"/>
              </w:rPr>
            </w:pPr>
            <w:r>
              <w:rPr>
                <w:rFonts w:ascii="Courier New" w:cs="Courier New" w:eastAsia="Courier New" w:hAnsi="Courier New"/>
                <w:sz w:val="12"/>
                <w:szCs w:val="12"/>
                <w:color w:val="auto"/>
              </w:rPr>
              <w:t>7.67%</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72,635</w:t>
            </w:r>
          </w:p>
        </w:tc>
      </w:tr>
      <w:tr>
        <w:trPr>
          <w:trHeight w:val="137"/>
        </w:trPr>
        <w:tc>
          <w:tcPr>
            <w:tcW w:w="520" w:type="dxa"/>
            <w:vAlign w:val="bottom"/>
          </w:tcPr>
          <w:p>
            <w:pPr>
              <w:ind w:left="80"/>
              <w:spacing w:after="0"/>
              <w:rPr>
                <w:sz w:val="20"/>
                <w:szCs w:val="20"/>
                <w:color w:val="auto"/>
              </w:rPr>
            </w:pPr>
            <w:r>
              <w:rPr>
                <w:rFonts w:ascii="Courier New" w:cs="Courier New" w:eastAsia="Courier New" w:hAnsi="Courier New"/>
                <w:sz w:val="12"/>
                <w:szCs w:val="12"/>
                <w:color w:val="auto"/>
              </w:rPr>
              <w:t>March</w:t>
            </w:r>
          </w:p>
        </w:tc>
        <w:tc>
          <w:tcPr>
            <w:tcW w:w="3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2013</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(4)</w:t>
            </w:r>
          </w:p>
        </w:tc>
        <w:tc>
          <w:tcPr>
            <w:tcW w:w="172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w:t>
            </w:r>
          </w:p>
        </w:tc>
        <w:tc>
          <w:tcPr>
            <w:tcW w:w="146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61,375</w:t>
            </w:r>
          </w:p>
        </w:tc>
        <w:tc>
          <w:tcPr>
            <w:tcW w:w="16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62,105</w:t>
            </w:r>
          </w:p>
        </w:tc>
        <w:tc>
          <w:tcPr>
            <w:tcW w:w="1420" w:type="dxa"/>
            <w:vAlign w:val="bottom"/>
          </w:tcPr>
          <w:p>
            <w:pPr>
              <w:jc w:val="center"/>
              <w:spacing w:after="0"/>
              <w:rPr>
                <w:sz w:val="20"/>
                <w:szCs w:val="20"/>
                <w:color w:val="auto"/>
              </w:rPr>
            </w:pPr>
            <w:r>
              <w:rPr>
                <w:rFonts w:ascii="Courier New" w:cs="Courier New" w:eastAsia="Courier New" w:hAnsi="Courier New"/>
                <w:sz w:val="12"/>
                <w:szCs w:val="12"/>
                <w:color w:val="auto"/>
              </w:rPr>
              <w:t>5.10%</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120,578</w:t>
            </w:r>
          </w:p>
        </w:tc>
      </w:tr>
    </w:tbl>
    <w:p>
      <w:pPr>
        <w:sectPr>
          <w:pgSz w:w="11900" w:h="16838" w:orient="portrait"/>
          <w:cols w:equalWidth="0" w:num="1">
            <w:col w:w="11400"/>
          </w:cols>
          <w:pgMar w:left="240" w:top="118" w:right="259" w:bottom="0" w:gutter="0" w:footer="0" w:header="0"/>
        </w:sectPr>
      </w:pPr>
    </w:p>
    <w:bookmarkStart w:id="6" w:name="page7"/>
    <w:bookmarkEnd w:id="6"/>
    <w:p>
      <w:pPr>
        <w:ind w:left="3220"/>
        <w:spacing w:after="0"/>
        <w:rPr>
          <w:sz w:val="20"/>
          <w:szCs w:val="20"/>
          <w:color w:val="auto"/>
        </w:rPr>
      </w:pPr>
      <w:r>
        <w:rPr>
          <w:rFonts w:ascii="Courier New" w:cs="Courier New" w:eastAsia="Courier New" w:hAnsi="Courier New"/>
          <w:sz w:val="12"/>
          <w:szCs w:val="12"/>
          <w:color w:val="auto"/>
        </w:rPr>
        <w:t>------------</w:t>
      </w:r>
    </w:p>
    <w:p>
      <w:pPr>
        <w:ind w:left="3360"/>
        <w:spacing w:after="0"/>
        <w:rPr>
          <w:sz w:val="20"/>
          <w:szCs w:val="20"/>
          <w:color w:val="auto"/>
        </w:rPr>
      </w:pPr>
      <w:r>
        <w:rPr>
          <w:rFonts w:ascii="Courier New" w:cs="Courier New" w:eastAsia="Courier New" w:hAnsi="Courier New"/>
          <w:sz w:val="12"/>
          <w:szCs w:val="12"/>
          <w:b w:val="1"/>
          <w:bCs w:val="1"/>
          <w:color w:val="auto"/>
        </w:rPr>
        <w:t>$ 312,195</w:t>
      </w:r>
    </w:p>
    <w:p>
      <w:pPr>
        <w:ind w:left="322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ind w:left="80"/>
        <w:spacing w:after="0"/>
        <w:rPr>
          <w:sz w:val="20"/>
          <w:szCs w:val="20"/>
          <w:color w:val="auto"/>
        </w:rPr>
      </w:pPr>
      <w:r>
        <w:rPr>
          <w:rFonts w:ascii="Courier New" w:cs="Courier New" w:eastAsia="Courier New" w:hAnsi="Courier New"/>
          <w:sz w:val="12"/>
          <w:szCs w:val="12"/>
          <w:color w:val="auto"/>
        </w:rPr>
        <w:t>$316,354</w:t>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ind w:left="80"/>
        <w:spacing w:after="0"/>
        <w:rPr>
          <w:sz w:val="20"/>
          <w:szCs w:val="20"/>
          <w:color w:val="auto"/>
        </w:rPr>
      </w:pPr>
      <w:r>
        <w:rPr>
          <w:rFonts w:ascii="Courier New" w:cs="Courier New" w:eastAsia="Courier New" w:hAnsi="Courier New"/>
          <w:sz w:val="12"/>
          <w:szCs w:val="12"/>
          <w:color w:val="auto"/>
        </w:rPr>
        <w:t>$538,542</w:t>
      </w:r>
    </w:p>
    <w:p>
      <w:pPr>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ectPr>
          <w:pgSz w:w="11900" w:h="16838" w:orient="portrait"/>
          <w:cols w:equalWidth="0" w:num="3">
            <w:col w:w="4100" w:space="720"/>
            <w:col w:w="1980" w:space="720"/>
            <w:col w:w="3860"/>
          </w:cols>
          <w:pgMar w:left="240" w:top="132" w:right="279" w:bottom="0" w:gutter="0" w:footer="0" w:header="0"/>
        </w:sectPr>
      </w:pPr>
    </w:p>
    <w:p>
      <w:pPr>
        <w:spacing w:after="0" w:line="163" w:lineRule="exact"/>
        <w:rPr>
          <w:sz w:val="20"/>
          <w:szCs w:val="20"/>
          <w:color w:val="auto"/>
        </w:rPr>
      </w:pPr>
    </w:p>
    <w:p>
      <w:pPr>
        <w:ind w:left="580" w:right="20" w:hanging="572"/>
        <w:spacing w:after="0" w:line="276" w:lineRule="auto"/>
        <w:tabs>
          <w:tab w:leader="none" w:pos="58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mortgage loan was consolidated as part of the buyout of a partnership interest. The mortgage bears interest at 6.99% per annum through July 11, 2008, (the "Optional Prepayment Date") and thereafter at a rate equal to the greater of 8.4% plus</w:t>
      </w:r>
    </w:p>
    <w:p>
      <w:pPr>
        <w:spacing w:after="0" w:line="1" w:lineRule="exact"/>
        <w:rPr>
          <w:rFonts w:ascii="Arial" w:cs="Arial" w:eastAsia="Arial" w:hAnsi="Arial"/>
          <w:sz w:val="19"/>
          <w:szCs w:val="19"/>
          <w:color w:val="auto"/>
        </w:rPr>
      </w:pPr>
    </w:p>
    <w:p>
      <w:pPr>
        <w:ind w:left="580" w:right="60"/>
        <w:spacing w:after="0" w:line="273" w:lineRule="auto"/>
        <w:rPr>
          <w:rFonts w:ascii="Arial" w:cs="Arial" w:eastAsia="Arial" w:hAnsi="Arial"/>
          <w:sz w:val="19"/>
          <w:szCs w:val="19"/>
          <w:color w:val="auto"/>
        </w:rPr>
      </w:pPr>
      <w:r>
        <w:rPr>
          <w:rFonts w:ascii="Arial" w:cs="Arial" w:eastAsia="Arial" w:hAnsi="Arial"/>
          <w:sz w:val="19"/>
          <w:szCs w:val="19"/>
          <w:color w:val="auto"/>
        </w:rPr>
        <w:t>5.0% or the Treasury Rate, as defined, plus 6.5% until the earlier of the date the mortgage is paid in full or its maturity date of July 11, 2028. The stated rate was less than that available to the OP in the public debt markets. Accordingly, the OP recorded a $1.2 million debt discount that is amortized over the period of the loan, which increases the effective interest rate to 7.26%. The mortgage may be prepaid in whole or in part at any time after the Optional Prepayment Date without a prepayment penalty. The mortgage calls for a $1.2 million fixed monthly interest plus principal payment based on a 26-year amortization schedule. During the six months ended June 30, 2005 and 2004, the OP recognized $78,000 and $72,000, respectively, in debt discount amortization that is included in interest expense in the accompanying financial statements.</w:t>
      </w:r>
    </w:p>
    <w:p>
      <w:pPr>
        <w:spacing w:after="0" w:line="187" w:lineRule="exact"/>
        <w:rPr>
          <w:rFonts w:ascii="Arial" w:cs="Arial" w:eastAsia="Arial" w:hAnsi="Arial"/>
          <w:sz w:val="19"/>
          <w:szCs w:val="19"/>
          <w:color w:val="auto"/>
        </w:rPr>
      </w:pPr>
    </w:p>
    <w:p>
      <w:pPr>
        <w:ind w:left="580" w:right="40" w:hanging="572"/>
        <w:spacing w:after="0" w:line="235" w:lineRule="auto"/>
        <w:tabs>
          <w:tab w:leader="none" w:pos="58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mortgage loan was assumed as part of an acquisition. The stated interest rate of 8.12% was greater than that available to the OP for comparable debt. Consequently, the OP recognized a $1.9 million debt premium that is amortized over the period of the loan, which reduces the effective interest rate to 6.29%. The mortgage loan calls for a $0.3 million fixed monthly debt service payment on a 17-year amortization schedule. During the six months ended June 30, 2005 and 2004, the OP recognized approximately $0.1 million in debt premium amortization that is included in interest expense in the accompanying financial statements.</w:t>
      </w:r>
    </w:p>
    <w:p>
      <w:pPr>
        <w:spacing w:after="0" w:line="215" w:lineRule="exact"/>
        <w:rPr>
          <w:rFonts w:ascii="Arial" w:cs="Arial" w:eastAsia="Arial" w:hAnsi="Arial"/>
          <w:sz w:val="22"/>
          <w:szCs w:val="22"/>
          <w:color w:val="auto"/>
        </w:rPr>
      </w:pPr>
    </w:p>
    <w:p>
      <w:pPr>
        <w:ind w:left="580" w:hanging="572"/>
        <w:spacing w:after="0" w:line="247" w:lineRule="auto"/>
        <w:tabs>
          <w:tab w:leader="none" w:pos="580"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mortgage loan was assumed as part of an acquisition. The stated interest rate of 9.1% was greater than that available to the OP in the public debt markets. Accordingly, the OP recorded a $6.9 million debt premium that will be amortized over the period of the loan, which reduces the effective interest rate to 7.67%. The loan calls for fixed monthly debt service payments of $0.5 million for interest plus principal based on a 26-year amortization schedule. The mortgage loan matures in March 2028 but can be prepaid beginning December 2012. During the six months ended June 30, 2005 and 2004, the OP recognized $0.3 million and $0.2 million, respectively, in debt premium amortization that is included in interest expense in the accompanying financial statements.</w:t>
      </w:r>
    </w:p>
    <w:p>
      <w:pPr>
        <w:spacing w:after="0" w:line="205" w:lineRule="exact"/>
        <w:rPr>
          <w:rFonts w:ascii="Arial" w:cs="Arial" w:eastAsia="Arial" w:hAnsi="Arial"/>
          <w:sz w:val="21"/>
          <w:szCs w:val="21"/>
          <w:color w:val="auto"/>
        </w:rPr>
      </w:pPr>
    </w:p>
    <w:p>
      <w:pPr>
        <w:ind w:left="580" w:right="40" w:hanging="572"/>
        <w:spacing w:after="0" w:line="235" w:lineRule="auto"/>
        <w:tabs>
          <w:tab w:leader="none" w:pos="58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mortgage loan was assumed as part of an acquisition. The stated interest rate of 5.85% was greater than that available to the OP for comparable debt. Accordingly, the OP recorded a $3.4 million debt premium that will be amortized over the period of the loan, which reduces the effective interest rate to 5.10%. The loan calls for a $0.4 million fixed monthly debt service payment on a 25-year amortization schedule. During the six months ended June 30, 2005 and 2004, the OP recognized approximately $0.1 million in debt premium amortization that is included in interest expense in the accompanying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59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39"/>
        <w:spacing w:after="0"/>
        <w:rPr>
          <w:sz w:val="20"/>
          <w:szCs w:val="20"/>
          <w:color w:val="auto"/>
        </w:rPr>
      </w:pPr>
      <w:r>
        <w:rPr>
          <w:rFonts w:ascii="Arial" w:cs="Arial" w:eastAsia="Arial" w:hAnsi="Arial"/>
          <w:sz w:val="22"/>
          <w:szCs w:val="22"/>
          <w:b w:val="1"/>
          <w:bCs w:val="1"/>
          <w:i w:val="1"/>
          <w:iCs w:val="1"/>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Financial Instruments: Derivatives and Hedging</w:t>
      </w:r>
    </w:p>
    <w:p>
      <w:pPr>
        <w:spacing w:after="0" w:line="212"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The OP employs interest rate and foreign currency forwards or purchased options to hedge qualifying anticipated transactions. Gains and losses are deferred and recognized in net income in the same period that the underlying hedged transaction affects net income, expires or is otherwise terminated or assigned.</w:t>
      </w:r>
    </w:p>
    <w:p>
      <w:pPr>
        <w:spacing w:after="0" w:line="186"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At June 30, 2005, the OP’s interest rate swap was reported at its fair value and classified as an other liability. At June 30, 2005, there were $0.6 million in deferred losses recorded in accumulated other comprehensive loss.</w:t>
      </w:r>
    </w:p>
    <w:p>
      <w:pPr>
        <w:spacing w:after="0" w:line="144" w:lineRule="exact"/>
        <w:rPr>
          <w:sz w:val="20"/>
          <w:szCs w:val="20"/>
          <w:color w:val="auto"/>
        </w:rPr>
      </w:pPr>
    </w:p>
    <w:tbl>
      <w:tblPr>
        <w:tblLayout w:type="fixed"/>
        <w:tblInd w:w="580" w:type="dxa"/>
        <w:tblCellMar>
          <w:top w:w="0" w:type="dxa"/>
          <w:left w:w="0" w:type="dxa"/>
          <w:bottom w:w="0" w:type="dxa"/>
          <w:right w:w="0" w:type="dxa"/>
        </w:tblCellMar>
      </w:tblPr>
      <w:tr>
        <w:trPr>
          <w:trHeight w:val="253"/>
        </w:trPr>
        <w:tc>
          <w:tcPr>
            <w:tcW w:w="1420" w:type="dxa"/>
            <w:vAlign w:val="bottom"/>
            <w:tcBorders>
              <w:bottom w:val="single" w:sz="8" w:color="auto"/>
            </w:tcBorders>
          </w:tcPr>
          <w:p>
            <w:pPr>
              <w:ind w:left="180"/>
              <w:spacing w:after="0"/>
              <w:rPr>
                <w:sz w:val="20"/>
                <w:szCs w:val="20"/>
                <w:color w:val="auto"/>
              </w:rPr>
            </w:pPr>
            <w:r>
              <w:rPr>
                <w:rFonts w:ascii="Arial" w:cs="Arial" w:eastAsia="Arial" w:hAnsi="Arial"/>
                <w:sz w:val="22"/>
                <w:szCs w:val="22"/>
                <w:b w:val="1"/>
                <w:bCs w:val="1"/>
                <w:color w:val="auto"/>
                <w:w w:val="97"/>
              </w:rPr>
              <w:t>Hedge Type</w:t>
            </w:r>
          </w:p>
        </w:tc>
        <w:tc>
          <w:tcPr>
            <w:tcW w:w="88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Notional Value</w:t>
            </w:r>
          </w:p>
        </w:tc>
        <w:tc>
          <w:tcPr>
            <w:tcW w:w="600" w:type="dxa"/>
            <w:vAlign w:val="bottom"/>
          </w:tcPr>
          <w:p>
            <w:pPr>
              <w:spacing w:after="0"/>
              <w:rPr>
                <w:sz w:val="21"/>
                <w:szCs w:val="2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Rate</w:t>
            </w:r>
          </w:p>
        </w:tc>
        <w:tc>
          <w:tcPr>
            <w:tcW w:w="960" w:type="dxa"/>
            <w:vAlign w:val="bottom"/>
          </w:tcPr>
          <w:p>
            <w:pPr>
              <w:spacing w:after="0"/>
              <w:rPr>
                <w:sz w:val="21"/>
                <w:szCs w:val="21"/>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5"/>
              </w:rPr>
              <w:t>Maturity</w:t>
            </w:r>
          </w:p>
        </w:tc>
        <w:tc>
          <w:tcPr>
            <w:tcW w:w="1440" w:type="dxa"/>
            <w:vAlign w:val="bottom"/>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3"/>
              </w:rPr>
              <w:t>Fair Value</w:t>
            </w:r>
          </w:p>
        </w:tc>
        <w:tc>
          <w:tcPr>
            <w:tcW w:w="20" w:type="dxa"/>
            <w:vAlign w:val="bottom"/>
          </w:tcPr>
          <w:p>
            <w:pPr>
              <w:spacing w:after="0"/>
              <w:rPr>
                <w:sz w:val="21"/>
                <w:szCs w:val="21"/>
                <w:color w:val="auto"/>
              </w:rPr>
            </w:pPr>
          </w:p>
        </w:tc>
      </w:tr>
      <w:tr>
        <w:trPr>
          <w:trHeight w:val="274"/>
        </w:trPr>
        <w:tc>
          <w:tcPr>
            <w:tcW w:w="2300" w:type="dxa"/>
            <w:vAlign w:val="bottom"/>
            <w:gridSpan w:val="2"/>
          </w:tcPr>
          <w:p>
            <w:pPr>
              <w:spacing w:after="0"/>
              <w:rPr>
                <w:sz w:val="20"/>
                <w:szCs w:val="20"/>
                <w:color w:val="auto"/>
              </w:rPr>
            </w:pPr>
            <w:r>
              <w:rPr>
                <w:rFonts w:ascii="Arial" w:cs="Arial" w:eastAsia="Arial" w:hAnsi="Arial"/>
                <w:sz w:val="22"/>
                <w:szCs w:val="22"/>
                <w:color w:val="auto"/>
              </w:rPr>
              <w:t>Swap, Cash Flow</w:t>
            </w:r>
          </w:p>
        </w:tc>
        <w:tc>
          <w:tcPr>
            <w:tcW w:w="1680" w:type="dxa"/>
            <w:vAlign w:val="bottom"/>
          </w:tcPr>
          <w:p>
            <w:pPr>
              <w:jc w:val="center"/>
              <w:spacing w:after="0"/>
              <w:rPr>
                <w:sz w:val="20"/>
                <w:szCs w:val="20"/>
                <w:color w:val="auto"/>
              </w:rPr>
            </w:pPr>
            <w:r>
              <w:rPr>
                <w:rFonts w:ascii="Arial" w:cs="Arial" w:eastAsia="Arial" w:hAnsi="Arial"/>
                <w:sz w:val="22"/>
                <w:szCs w:val="22"/>
                <w:color w:val="auto"/>
                <w:w w:val="93"/>
              </w:rPr>
              <w:t>$65.0 million</w:t>
            </w:r>
          </w:p>
        </w:tc>
        <w:tc>
          <w:tcPr>
            <w:tcW w:w="2300" w:type="dxa"/>
            <w:vAlign w:val="bottom"/>
            <w:gridSpan w:val="3"/>
          </w:tcPr>
          <w:p>
            <w:pPr>
              <w:jc w:val="right"/>
              <w:ind w:right="940"/>
              <w:spacing w:after="0"/>
              <w:rPr>
                <w:sz w:val="20"/>
                <w:szCs w:val="20"/>
                <w:color w:val="auto"/>
              </w:rPr>
            </w:pPr>
            <w:r>
              <w:rPr>
                <w:rFonts w:ascii="Arial" w:cs="Arial" w:eastAsia="Arial" w:hAnsi="Arial"/>
                <w:sz w:val="22"/>
                <w:szCs w:val="22"/>
                <w:color w:val="auto"/>
              </w:rPr>
              <w:t>5.7625%</w:t>
            </w:r>
          </w:p>
        </w:tc>
        <w:tc>
          <w:tcPr>
            <w:tcW w:w="840" w:type="dxa"/>
            <w:vAlign w:val="bottom"/>
          </w:tcPr>
          <w:p>
            <w:pPr>
              <w:spacing w:after="0"/>
              <w:rPr>
                <w:sz w:val="20"/>
                <w:szCs w:val="20"/>
                <w:color w:val="auto"/>
              </w:rPr>
            </w:pPr>
            <w:r>
              <w:rPr>
                <w:rFonts w:ascii="Arial" w:cs="Arial" w:eastAsia="Arial" w:hAnsi="Arial"/>
                <w:sz w:val="22"/>
                <w:szCs w:val="22"/>
                <w:color w:val="auto"/>
                <w:w w:val="95"/>
              </w:rPr>
              <w:t>1/1/2006</w:t>
            </w:r>
          </w:p>
        </w:tc>
        <w:tc>
          <w:tcPr>
            <w:tcW w:w="144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Arial" w:cs="Arial" w:eastAsia="Arial" w:hAnsi="Arial"/>
                <w:sz w:val="22"/>
                <w:szCs w:val="22"/>
                <w:color w:val="auto"/>
                <w:w w:val="95"/>
              </w:rPr>
              <w:t>($0.7 million)</w:t>
            </w:r>
          </w:p>
        </w:tc>
      </w:tr>
    </w:tbl>
    <w:p>
      <w:pPr>
        <w:spacing w:after="0" w:line="200" w:lineRule="exact"/>
        <w:rPr>
          <w:sz w:val="20"/>
          <w:szCs w:val="20"/>
          <w:color w:val="auto"/>
        </w:rPr>
      </w:pPr>
    </w:p>
    <w:p>
      <w:pPr>
        <w:spacing w:after="0" w:line="228" w:lineRule="exact"/>
        <w:rPr>
          <w:sz w:val="20"/>
          <w:szCs w:val="20"/>
          <w:color w:val="auto"/>
        </w:rPr>
      </w:pPr>
    </w:p>
    <w:p>
      <w:pPr>
        <w:ind w:right="320"/>
        <w:spacing w:after="0" w:line="328" w:lineRule="auto"/>
        <w:rPr>
          <w:sz w:val="20"/>
          <w:szCs w:val="20"/>
          <w:color w:val="auto"/>
        </w:rPr>
      </w:pPr>
      <w:r>
        <w:rPr>
          <w:rFonts w:ascii="Arial" w:cs="Arial" w:eastAsia="Arial" w:hAnsi="Arial"/>
          <w:sz w:val="19"/>
          <w:szCs w:val="19"/>
          <w:color w:val="auto"/>
        </w:rPr>
        <w:t>The notional value and fair value of the above hedge provides an indication of the extent of the OP’s involvement in financial derivative instruments at June 30, 2005, but does not represent exposure to credit, interest rate, foreign exchange or market risk.</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Preferred Units</w:t>
      </w:r>
    </w:p>
    <w:p>
      <w:pPr>
        <w:spacing w:after="0" w:line="212" w:lineRule="exact"/>
        <w:rPr>
          <w:sz w:val="20"/>
          <w:szCs w:val="20"/>
          <w:color w:val="auto"/>
        </w:rPr>
      </w:pPr>
    </w:p>
    <w:p>
      <w:pPr>
        <w:ind w:right="80"/>
        <w:spacing w:after="0" w:line="248" w:lineRule="auto"/>
        <w:rPr>
          <w:sz w:val="20"/>
          <w:szCs w:val="20"/>
          <w:color w:val="auto"/>
        </w:rPr>
      </w:pPr>
      <w:r>
        <w:rPr>
          <w:rFonts w:ascii="Arial" w:cs="Arial" w:eastAsia="Arial" w:hAnsi="Arial"/>
          <w:sz w:val="21"/>
          <w:szCs w:val="21"/>
          <w:color w:val="auto"/>
        </w:rPr>
        <w:t>In September 2004, the Company completed a private sale of $65 million of Series C Variable Rate Preferred Stock (the Series C Preferred Stock). Proceeds from the sale were used to redeem the OP’s Series B Cumulative Redeemable Preferred Units for approximately $65 million. The private sale was for 2.6 million restricted shares having a liquidation preference of $25.00 per unit share. The Series C Preferred Stock was redeemable at the Company’s option, and paid a cumulative quarterly dividend at a rate equal to the London Interbank Offered Rate ("LIBOR") plus 1.0%. Pursuant to the Merger Agreement, on October 13, 2004, the Series C Preferred Stock was fully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59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Consolidated Financial Statements</w:t>
      </w:r>
    </w:p>
    <w:p>
      <w:pPr>
        <w:sectPr>
          <w:pgSz w:w="11900" w:h="16838" w:orient="portrait"/>
          <w:cols w:equalWidth="0" w:num="1">
            <w:col w:w="11380"/>
          </w:cols>
          <w:pgMar w:left="240" w:top="132" w:right="279" w:bottom="0" w:gutter="0" w:footer="0" w:header="0"/>
          <w:type w:val="continuous"/>
        </w:sectPr>
      </w:pPr>
    </w:p>
    <w:bookmarkStart w:id="7" w:name="page8"/>
    <w:bookmarkEnd w:id="7"/>
    <w:p>
      <w:pPr>
        <w:jc w:val="center"/>
        <w:ind w:right="-39"/>
        <w:spacing w:after="0"/>
        <w:rPr>
          <w:sz w:val="20"/>
          <w:szCs w:val="20"/>
          <w:color w:val="auto"/>
        </w:rPr>
      </w:pPr>
      <w:r>
        <w:rPr>
          <w:rFonts w:ascii="Arial" w:cs="Arial" w:eastAsia="Arial" w:hAnsi="Arial"/>
          <w:sz w:val="22"/>
          <w:szCs w:val="22"/>
          <w:b w:val="1"/>
          <w:bCs w:val="1"/>
          <w:i w:val="1"/>
          <w:iCs w:val="1"/>
          <w:color w:val="auto"/>
        </w:rPr>
        <w:t>(Unaudited)</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Partners' Capital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Following is a schedule of partners' capital balances at June 30, 2005 (in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920" w:type="dxa"/>
            <w:vAlign w:val="bottom"/>
          </w:tcPr>
          <w:p>
            <w:pPr>
              <w:spacing w:after="0"/>
              <w:rPr>
                <w:sz w:val="11"/>
                <w:szCs w:val="11"/>
                <w:color w:val="auto"/>
              </w:rPr>
            </w:pP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Chelsea</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Simon</w:t>
            </w: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35"/>
        </w:trPr>
        <w:tc>
          <w:tcPr>
            <w:tcW w:w="2920" w:type="dxa"/>
            <w:vAlign w:val="bottom"/>
          </w:tcPr>
          <w:p>
            <w:pPr>
              <w:spacing w:after="0"/>
              <w:rPr>
                <w:sz w:val="11"/>
                <w:szCs w:val="11"/>
                <w:color w:val="auto"/>
              </w:rPr>
            </w:pP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Property</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Property</w:t>
            </w:r>
          </w:p>
        </w:tc>
        <w:tc>
          <w:tcPr>
            <w:tcW w:w="560" w:type="dxa"/>
            <w:vAlign w:val="bottom"/>
          </w:tcPr>
          <w:p>
            <w:pPr>
              <w:spacing w:after="0"/>
              <w:rPr>
                <w:sz w:val="11"/>
                <w:szCs w:val="11"/>
                <w:color w:val="auto"/>
              </w:rPr>
            </w:pPr>
          </w:p>
        </w:tc>
        <w:tc>
          <w:tcPr>
            <w:tcW w:w="640" w:type="dxa"/>
            <w:vAlign w:val="bottom"/>
          </w:tcPr>
          <w:p>
            <w:pPr>
              <w:jc w:val="right"/>
              <w:ind w:right="179"/>
              <w:spacing w:after="0"/>
              <w:rPr>
                <w:sz w:val="20"/>
                <w:szCs w:val="20"/>
                <w:color w:val="auto"/>
              </w:rPr>
            </w:pPr>
            <w:r>
              <w:rPr>
                <w:rFonts w:ascii="Courier New" w:cs="Courier New" w:eastAsia="Courier New" w:hAnsi="Courier New"/>
                <w:sz w:val="12"/>
                <w:szCs w:val="12"/>
                <w:b w:val="1"/>
                <w:bCs w:val="1"/>
                <w:color w:val="auto"/>
              </w:rPr>
              <w:t>CPG</w:t>
            </w:r>
          </w:p>
        </w:tc>
        <w:tc>
          <w:tcPr>
            <w:tcW w:w="144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Accum</w:t>
            </w:r>
          </w:p>
        </w:tc>
        <w:tc>
          <w:tcPr>
            <w:tcW w:w="1080" w:type="dxa"/>
            <w:vAlign w:val="bottom"/>
          </w:tcPr>
          <w:p>
            <w:pPr>
              <w:spacing w:after="0"/>
              <w:rPr>
                <w:sz w:val="11"/>
                <w:szCs w:val="11"/>
                <w:color w:val="auto"/>
              </w:rPr>
            </w:pPr>
          </w:p>
        </w:tc>
      </w:tr>
      <w:tr>
        <w:trPr>
          <w:trHeight w:val="135"/>
        </w:trPr>
        <w:tc>
          <w:tcPr>
            <w:tcW w:w="2920" w:type="dxa"/>
            <w:vAlign w:val="bottom"/>
          </w:tcPr>
          <w:p>
            <w:pPr>
              <w:spacing w:after="0"/>
              <w:rPr>
                <w:sz w:val="11"/>
                <w:szCs w:val="11"/>
                <w:color w:val="auto"/>
              </w:rPr>
            </w:pP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Group,</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Group,</w:t>
            </w:r>
          </w:p>
        </w:tc>
        <w:tc>
          <w:tcPr>
            <w:tcW w:w="1200" w:type="dxa"/>
            <w:vAlign w:val="bottom"/>
            <w:gridSpan w:val="2"/>
          </w:tcPr>
          <w:p>
            <w:pPr>
              <w:jc w:val="right"/>
              <w:ind w:right="179"/>
              <w:spacing w:after="0"/>
              <w:rPr>
                <w:sz w:val="20"/>
                <w:szCs w:val="20"/>
                <w:color w:val="auto"/>
              </w:rPr>
            </w:pPr>
            <w:r>
              <w:rPr>
                <w:rFonts w:ascii="Courier New" w:cs="Courier New" w:eastAsia="Courier New" w:hAnsi="Courier New"/>
                <w:sz w:val="12"/>
                <w:szCs w:val="12"/>
                <w:b w:val="1"/>
                <w:bCs w:val="1"/>
                <w:color w:val="auto"/>
              </w:rPr>
              <w:t>Holdings,</w:t>
            </w:r>
          </w:p>
        </w:tc>
        <w:tc>
          <w:tcPr>
            <w:tcW w:w="144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Other Comp.</w:t>
            </w:r>
          </w:p>
        </w:tc>
        <w:tc>
          <w:tcPr>
            <w:tcW w:w="1080" w:type="dxa"/>
            <w:vAlign w:val="bottom"/>
          </w:tcPr>
          <w:p>
            <w:pPr>
              <w:spacing w:after="0"/>
              <w:rPr>
                <w:sz w:val="11"/>
                <w:szCs w:val="11"/>
                <w:color w:val="auto"/>
              </w:rPr>
            </w:pPr>
          </w:p>
        </w:tc>
      </w:tr>
      <w:tr>
        <w:trPr>
          <w:trHeight w:val="135"/>
        </w:trPr>
        <w:tc>
          <w:tcPr>
            <w:tcW w:w="2920" w:type="dxa"/>
            <w:vAlign w:val="bottom"/>
          </w:tcPr>
          <w:p>
            <w:pPr>
              <w:spacing w:after="0"/>
              <w:rPr>
                <w:sz w:val="11"/>
                <w:szCs w:val="11"/>
                <w:color w:val="auto"/>
              </w:rPr>
            </w:pP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Inc.</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LP</w:t>
            </w:r>
          </w:p>
        </w:tc>
        <w:tc>
          <w:tcPr>
            <w:tcW w:w="560" w:type="dxa"/>
            <w:vAlign w:val="bottom"/>
          </w:tcPr>
          <w:p>
            <w:pPr>
              <w:spacing w:after="0"/>
              <w:rPr>
                <w:sz w:val="11"/>
                <w:szCs w:val="11"/>
                <w:color w:val="auto"/>
              </w:rPr>
            </w:pPr>
          </w:p>
        </w:tc>
        <w:tc>
          <w:tcPr>
            <w:tcW w:w="640" w:type="dxa"/>
            <w:vAlign w:val="bottom"/>
          </w:tcPr>
          <w:p>
            <w:pPr>
              <w:jc w:val="right"/>
              <w:ind w:right="179"/>
              <w:spacing w:after="0"/>
              <w:rPr>
                <w:sz w:val="20"/>
                <w:szCs w:val="20"/>
                <w:color w:val="auto"/>
              </w:rPr>
            </w:pPr>
            <w:r>
              <w:rPr>
                <w:rFonts w:ascii="Courier New" w:cs="Courier New" w:eastAsia="Courier New" w:hAnsi="Courier New"/>
                <w:sz w:val="12"/>
                <w:szCs w:val="12"/>
                <w:b w:val="1"/>
                <w:bCs w:val="1"/>
                <w:color w:val="auto"/>
              </w:rPr>
              <w:t>LLC</w:t>
            </w:r>
          </w:p>
        </w:tc>
        <w:tc>
          <w:tcPr>
            <w:tcW w:w="144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(Loss) Income</w:t>
            </w:r>
          </w:p>
        </w:tc>
        <w:tc>
          <w:tcPr>
            <w:tcW w:w="108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Total</w:t>
            </w:r>
          </w:p>
        </w:tc>
      </w:tr>
      <w:tr>
        <w:trPr>
          <w:trHeight w:val="135"/>
        </w:trPr>
        <w:tc>
          <w:tcPr>
            <w:tcW w:w="2920" w:type="dxa"/>
            <w:vAlign w:val="bottom"/>
          </w:tcPr>
          <w:p>
            <w:pPr>
              <w:spacing w:after="0"/>
              <w:rPr>
                <w:sz w:val="11"/>
                <w:szCs w:val="11"/>
                <w:color w:val="auto"/>
              </w:rPr>
            </w:pP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1200" w:type="dxa"/>
            <w:vAlign w:val="bottom"/>
            <w:gridSpan w:val="2"/>
          </w:tcPr>
          <w:p>
            <w:pPr>
              <w:jc w:val="right"/>
              <w:ind w:right="119"/>
              <w:spacing w:after="0"/>
              <w:rPr>
                <w:sz w:val="20"/>
                <w:szCs w:val="20"/>
                <w:color w:val="auto"/>
              </w:rPr>
            </w:pPr>
            <w:r>
              <w:rPr>
                <w:rFonts w:ascii="Courier New" w:cs="Courier New" w:eastAsia="Courier New" w:hAnsi="Courier New"/>
                <w:sz w:val="12"/>
                <w:szCs w:val="12"/>
                <w:b w:val="1"/>
                <w:bCs w:val="1"/>
                <w:color w:val="auto"/>
              </w:rPr>
              <w:t>------------</w:t>
            </w:r>
          </w:p>
        </w:tc>
        <w:tc>
          <w:tcPr>
            <w:tcW w:w="1440" w:type="dxa"/>
            <w:vAlign w:val="bottom"/>
          </w:tcPr>
          <w:p>
            <w:pPr>
              <w:ind w:left="200"/>
              <w:spacing w:after="0"/>
              <w:rPr>
                <w:sz w:val="20"/>
                <w:szCs w:val="20"/>
                <w:color w:val="auto"/>
              </w:rPr>
            </w:pPr>
            <w:r>
              <w:rPr>
                <w:rFonts w:ascii="Courier New" w:cs="Courier New" w:eastAsia="Courier New" w:hAnsi="Courier New"/>
                <w:sz w:val="12"/>
                <w:szCs w:val="12"/>
                <w:b w:val="1"/>
                <w:bCs w:val="1"/>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r>
      <w:tr>
        <w:trPr>
          <w:trHeight w:val="137"/>
        </w:trPr>
        <w:tc>
          <w:tcPr>
            <w:tcW w:w="29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Balance December 31, 2004..............</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$528,613</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$144,343</w:t>
            </w:r>
          </w:p>
        </w:tc>
        <w:tc>
          <w:tcPr>
            <w:tcW w:w="5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640" w:type="dxa"/>
            <w:vAlign w:val="bottom"/>
          </w:tcPr>
          <w:p>
            <w:pPr>
              <w:jc w:val="right"/>
              <w:ind w:right="179"/>
              <w:spacing w:after="0"/>
              <w:rPr>
                <w:sz w:val="20"/>
                <w:szCs w:val="20"/>
                <w:color w:val="auto"/>
              </w:rPr>
            </w:pPr>
            <w:r>
              <w:rPr>
                <w:rFonts w:ascii="Courier New" w:cs="Courier New" w:eastAsia="Courier New" w:hAnsi="Courier New"/>
                <w:sz w:val="12"/>
                <w:szCs w:val="12"/>
                <w:b w:val="1"/>
                <w:bCs w:val="1"/>
                <w:color w:val="auto"/>
              </w:rPr>
              <w:t>-</w:t>
            </w:r>
          </w:p>
        </w:tc>
        <w:tc>
          <w:tcPr>
            <w:tcW w:w="1440" w:type="dxa"/>
            <w:vAlign w:val="bottom"/>
          </w:tcPr>
          <w:p>
            <w:pPr>
              <w:jc w:val="right"/>
              <w:ind w:right="319"/>
              <w:spacing w:after="0"/>
              <w:rPr>
                <w:sz w:val="20"/>
                <w:szCs w:val="20"/>
                <w:color w:val="auto"/>
              </w:rPr>
            </w:pPr>
            <w:r>
              <w:rPr>
                <w:rFonts w:ascii="Courier New" w:cs="Courier New" w:eastAsia="Courier New" w:hAnsi="Courier New"/>
                <w:sz w:val="12"/>
                <w:szCs w:val="12"/>
                <w:b w:val="1"/>
                <w:bCs w:val="1"/>
                <w:color w:val="auto"/>
              </w:rPr>
              <w:t>$ (749)</w:t>
            </w:r>
          </w:p>
        </w:tc>
        <w:tc>
          <w:tcPr>
            <w:tcW w:w="108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$672,207</w:t>
            </w:r>
          </w:p>
        </w:tc>
      </w:tr>
      <w:tr>
        <w:trPr>
          <w:trHeight w:val="270"/>
        </w:trPr>
        <w:tc>
          <w:tcPr>
            <w:tcW w:w="2920" w:type="dxa"/>
            <w:vAlign w:val="bottom"/>
          </w:tcPr>
          <w:p>
            <w:pPr>
              <w:jc w:val="right"/>
              <w:spacing w:after="0"/>
              <w:rPr>
                <w:sz w:val="20"/>
                <w:szCs w:val="20"/>
                <w:color w:val="auto"/>
              </w:rPr>
            </w:pPr>
            <w:r>
              <w:rPr>
                <w:rFonts w:ascii="Courier New" w:cs="Courier New" w:eastAsia="Courier New" w:hAnsi="Courier New"/>
                <w:sz w:val="12"/>
                <w:szCs w:val="12"/>
                <w:color w:val="auto"/>
              </w:rPr>
              <w:t>Net income...........................</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61,359</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12,748</w:t>
            </w:r>
          </w:p>
        </w:tc>
        <w:tc>
          <w:tcPr>
            <w:tcW w:w="560" w:type="dxa"/>
            <w:vAlign w:val="bottom"/>
          </w:tcPr>
          <w:p>
            <w:pPr>
              <w:spacing w:after="0"/>
              <w:rPr>
                <w:sz w:val="23"/>
                <w:szCs w:val="23"/>
                <w:color w:val="auto"/>
              </w:rPr>
            </w:pPr>
          </w:p>
        </w:tc>
        <w:tc>
          <w:tcPr>
            <w:tcW w:w="64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7,666</w:t>
            </w:r>
          </w:p>
        </w:tc>
        <w:tc>
          <w:tcPr>
            <w:tcW w:w="14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81,773</w:t>
            </w:r>
          </w:p>
        </w:tc>
      </w:tr>
      <w:tr>
        <w:trPr>
          <w:trHeight w:val="268"/>
        </w:trPr>
        <w:tc>
          <w:tcPr>
            <w:tcW w:w="2920" w:type="dxa"/>
            <w:vAlign w:val="bottom"/>
          </w:tcPr>
          <w:p>
            <w:pPr>
              <w:jc w:val="right"/>
              <w:ind w:right="879"/>
              <w:spacing w:after="0"/>
              <w:rPr>
                <w:sz w:val="20"/>
                <w:szCs w:val="20"/>
                <w:color w:val="auto"/>
              </w:rPr>
            </w:pPr>
            <w:r>
              <w:rPr>
                <w:rFonts w:ascii="Courier New" w:cs="Courier New" w:eastAsia="Courier New" w:hAnsi="Courier New"/>
                <w:sz w:val="12"/>
                <w:szCs w:val="12"/>
                <w:color w:val="auto"/>
              </w:rPr>
              <w:t>Other comprehensive income:</w:t>
            </w:r>
          </w:p>
        </w:tc>
        <w:tc>
          <w:tcPr>
            <w:tcW w:w="1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135"/>
        </w:trPr>
        <w:tc>
          <w:tcPr>
            <w:tcW w:w="2920" w:type="dxa"/>
            <w:vAlign w:val="bottom"/>
          </w:tcPr>
          <w:p>
            <w:pPr>
              <w:jc w:val="right"/>
              <w:spacing w:after="0"/>
              <w:rPr>
                <w:sz w:val="20"/>
                <w:szCs w:val="20"/>
                <w:color w:val="auto"/>
              </w:rPr>
            </w:pPr>
            <w:r>
              <w:rPr>
                <w:rFonts w:ascii="Courier New" w:cs="Courier New" w:eastAsia="Courier New" w:hAnsi="Courier New"/>
                <w:sz w:val="12"/>
                <w:szCs w:val="12"/>
                <w:color w:val="auto"/>
              </w:rPr>
              <w:t>Foreign currency translation.........</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spacing w:after="0"/>
              <w:rPr>
                <w:sz w:val="11"/>
                <w:szCs w:val="11"/>
                <w:color w:val="auto"/>
              </w:rPr>
            </w:pPr>
          </w:p>
        </w:tc>
        <w:tc>
          <w:tcPr>
            <w:tcW w:w="64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14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1,394</w:t>
            </w:r>
          </w:p>
        </w:tc>
        <w:tc>
          <w:tcPr>
            <w:tcW w:w="10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1,394</w:t>
            </w:r>
          </w:p>
        </w:tc>
      </w:tr>
      <w:tr>
        <w:trPr>
          <w:trHeight w:val="135"/>
        </w:trPr>
        <w:tc>
          <w:tcPr>
            <w:tcW w:w="2920" w:type="dxa"/>
            <w:vAlign w:val="bottom"/>
          </w:tcPr>
          <w:p>
            <w:pPr>
              <w:jc w:val="right"/>
              <w:spacing w:after="0"/>
              <w:rPr>
                <w:sz w:val="20"/>
                <w:szCs w:val="20"/>
                <w:color w:val="auto"/>
              </w:rPr>
            </w:pPr>
            <w:r>
              <w:rPr>
                <w:rFonts w:ascii="Courier New" w:cs="Courier New" w:eastAsia="Courier New" w:hAnsi="Courier New"/>
                <w:sz w:val="12"/>
                <w:szCs w:val="12"/>
                <w:color w:val="auto"/>
              </w:rPr>
              <w:t>Interest rate swap...................</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spacing w:after="0"/>
              <w:rPr>
                <w:sz w:val="11"/>
                <w:szCs w:val="11"/>
                <w:color w:val="auto"/>
              </w:rPr>
            </w:pPr>
          </w:p>
        </w:tc>
        <w:tc>
          <w:tcPr>
            <w:tcW w:w="64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14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1,047</w:t>
            </w:r>
          </w:p>
        </w:tc>
        <w:tc>
          <w:tcPr>
            <w:tcW w:w="10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1,047</w:t>
            </w:r>
          </w:p>
        </w:tc>
      </w:tr>
      <w:tr>
        <w:trPr>
          <w:trHeight w:val="135"/>
        </w:trPr>
        <w:tc>
          <w:tcPr>
            <w:tcW w:w="2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920" w:type="dxa"/>
            <w:vAlign w:val="bottom"/>
          </w:tcPr>
          <w:p>
            <w:pPr>
              <w:jc w:val="right"/>
              <w:spacing w:after="0"/>
              <w:rPr>
                <w:sz w:val="20"/>
                <w:szCs w:val="20"/>
                <w:color w:val="auto"/>
              </w:rPr>
            </w:pPr>
            <w:r>
              <w:rPr>
                <w:rFonts w:ascii="Courier New" w:cs="Courier New" w:eastAsia="Courier New" w:hAnsi="Courier New"/>
                <w:sz w:val="12"/>
                <w:szCs w:val="12"/>
                <w:color w:val="auto"/>
              </w:rPr>
              <w:t>Total comprehensive income.............</w:t>
            </w:r>
          </w:p>
        </w:tc>
        <w:tc>
          <w:tcPr>
            <w:tcW w:w="1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84,214</w:t>
            </w:r>
          </w:p>
        </w:tc>
      </w:tr>
      <w:tr>
        <w:trPr>
          <w:trHeight w:val="137"/>
        </w:trPr>
        <w:tc>
          <w:tcPr>
            <w:tcW w:w="2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68"/>
        </w:trPr>
        <w:tc>
          <w:tcPr>
            <w:tcW w:w="2920" w:type="dxa"/>
            <w:vAlign w:val="bottom"/>
          </w:tcPr>
          <w:p>
            <w:pPr>
              <w:jc w:val="right"/>
              <w:spacing w:after="0"/>
              <w:rPr>
                <w:sz w:val="20"/>
                <w:szCs w:val="20"/>
                <w:color w:val="auto"/>
              </w:rPr>
            </w:pPr>
            <w:r>
              <w:rPr>
                <w:rFonts w:ascii="Courier New" w:cs="Courier New" w:eastAsia="Courier New" w:hAnsi="Courier New"/>
                <w:sz w:val="12"/>
                <w:szCs w:val="12"/>
                <w:color w:val="auto"/>
              </w:rPr>
              <w:t>Reallocate book value................</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39,429</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(39,429)</w:t>
            </w:r>
          </w:p>
        </w:tc>
        <w:tc>
          <w:tcPr>
            <w:tcW w:w="560" w:type="dxa"/>
            <w:vAlign w:val="bottom"/>
          </w:tcPr>
          <w:p>
            <w:pPr>
              <w:spacing w:after="0"/>
              <w:rPr>
                <w:sz w:val="23"/>
                <w:szCs w:val="23"/>
                <w:color w:val="auto"/>
              </w:rPr>
            </w:pPr>
          </w:p>
        </w:tc>
        <w:tc>
          <w:tcPr>
            <w:tcW w:w="64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14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r>
      <w:tr>
        <w:trPr>
          <w:trHeight w:val="135"/>
        </w:trPr>
        <w:tc>
          <w:tcPr>
            <w:tcW w:w="2920" w:type="dxa"/>
            <w:vAlign w:val="bottom"/>
          </w:tcPr>
          <w:p>
            <w:pPr>
              <w:jc w:val="right"/>
              <w:spacing w:after="0"/>
              <w:rPr>
                <w:sz w:val="20"/>
                <w:szCs w:val="20"/>
                <w:color w:val="auto"/>
              </w:rPr>
            </w:pPr>
            <w:r>
              <w:rPr>
                <w:rFonts w:ascii="Courier New" w:cs="Courier New" w:eastAsia="Courier New" w:hAnsi="Courier New"/>
                <w:sz w:val="12"/>
                <w:szCs w:val="12"/>
                <w:color w:val="auto"/>
              </w:rPr>
              <w:t>Partial Company liquidation..........</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(449,655)</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179"/>
              <w:spacing w:after="0"/>
              <w:rPr>
                <w:sz w:val="20"/>
                <w:szCs w:val="20"/>
                <w:color w:val="auto"/>
              </w:rPr>
            </w:pPr>
            <w:r>
              <w:rPr>
                <w:rFonts w:ascii="Courier New" w:cs="Courier New" w:eastAsia="Courier New" w:hAnsi="Courier New"/>
                <w:sz w:val="12"/>
                <w:szCs w:val="12"/>
                <w:color w:val="auto"/>
              </w:rPr>
              <w:t>449,655</w:t>
            </w:r>
          </w:p>
        </w:tc>
        <w:tc>
          <w:tcPr>
            <w:tcW w:w="14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r>
      <w:tr>
        <w:trPr>
          <w:trHeight w:val="135"/>
        </w:trPr>
        <w:tc>
          <w:tcPr>
            <w:tcW w:w="2920" w:type="dxa"/>
            <w:vAlign w:val="bottom"/>
          </w:tcPr>
          <w:p>
            <w:pPr>
              <w:jc w:val="right"/>
              <w:spacing w:after="0"/>
              <w:rPr>
                <w:sz w:val="20"/>
                <w:szCs w:val="20"/>
                <w:color w:val="auto"/>
              </w:rPr>
            </w:pPr>
            <w:r>
              <w:rPr>
                <w:rFonts w:ascii="Courier New" w:cs="Courier New" w:eastAsia="Courier New" w:hAnsi="Courier New"/>
                <w:sz w:val="12"/>
                <w:szCs w:val="12"/>
                <w:color w:val="auto"/>
              </w:rPr>
              <w:t>Distributions........................</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(60,086)</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(13,241)</w:t>
            </w:r>
          </w:p>
        </w:tc>
        <w:tc>
          <w:tcPr>
            <w:tcW w:w="120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(13,173)</w:t>
            </w:r>
          </w:p>
        </w:tc>
        <w:tc>
          <w:tcPr>
            <w:tcW w:w="14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(86,500)</w:t>
            </w:r>
          </w:p>
        </w:tc>
      </w:tr>
      <w:tr>
        <w:trPr>
          <w:trHeight w:val="135"/>
        </w:trPr>
        <w:tc>
          <w:tcPr>
            <w:tcW w:w="2920" w:type="dxa"/>
            <w:vAlign w:val="bottom"/>
          </w:tcPr>
          <w:p>
            <w:pPr>
              <w:spacing w:after="0"/>
              <w:rPr>
                <w:sz w:val="11"/>
                <w:szCs w:val="11"/>
                <w:color w:val="auto"/>
              </w:rPr>
            </w:pP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440" w:type="dxa"/>
            <w:vAlign w:val="bottom"/>
          </w:tcPr>
          <w:p>
            <w:pPr>
              <w:ind w:left="200"/>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137"/>
        </w:trPr>
        <w:tc>
          <w:tcPr>
            <w:tcW w:w="29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Balance June 30, 2005..................</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$119,660</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$104,421</w:t>
            </w:r>
          </w:p>
        </w:tc>
        <w:tc>
          <w:tcPr>
            <w:tcW w:w="1200" w:type="dxa"/>
            <w:vAlign w:val="bottom"/>
            <w:gridSpan w:val="2"/>
          </w:tcPr>
          <w:p>
            <w:pPr>
              <w:jc w:val="right"/>
              <w:ind w:right="179"/>
              <w:spacing w:after="0"/>
              <w:rPr>
                <w:sz w:val="20"/>
                <w:szCs w:val="20"/>
                <w:color w:val="auto"/>
              </w:rPr>
            </w:pPr>
            <w:r>
              <w:rPr>
                <w:rFonts w:ascii="Courier New" w:cs="Courier New" w:eastAsia="Courier New" w:hAnsi="Courier New"/>
                <w:sz w:val="12"/>
                <w:szCs w:val="12"/>
                <w:b w:val="1"/>
                <w:bCs w:val="1"/>
                <w:color w:val="auto"/>
              </w:rPr>
              <w:t>$444,148</w:t>
            </w:r>
          </w:p>
        </w:tc>
        <w:tc>
          <w:tcPr>
            <w:tcW w:w="144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$1,692</w:t>
            </w:r>
          </w:p>
        </w:tc>
        <w:tc>
          <w:tcPr>
            <w:tcW w:w="108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$669,921</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Income Taxes</w:t>
      </w:r>
    </w:p>
    <w:p>
      <w:pPr>
        <w:spacing w:after="0" w:line="212"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No provision has been made for income taxes in the accompanying consolidated financial statements since such taxes, if any, are the responsibility of the individual partners.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Net Income Per Partnership Unit</w:t>
      </w:r>
    </w:p>
    <w:p>
      <w:pPr>
        <w:spacing w:after="0" w:line="212" w:lineRule="exact"/>
        <w:rPr>
          <w:sz w:val="20"/>
          <w:szCs w:val="20"/>
          <w:color w:val="auto"/>
        </w:rPr>
      </w:pPr>
    </w:p>
    <w:p>
      <w:pPr>
        <w:ind w:right="580"/>
        <w:spacing w:after="0"/>
        <w:rPr>
          <w:sz w:val="20"/>
          <w:szCs w:val="20"/>
          <w:color w:val="auto"/>
        </w:rPr>
      </w:pPr>
      <w:r>
        <w:rPr>
          <w:rFonts w:ascii="Arial" w:cs="Arial" w:eastAsia="Arial" w:hAnsi="Arial"/>
          <w:sz w:val="22"/>
          <w:szCs w:val="22"/>
          <w:color w:val="auto"/>
        </w:rPr>
        <w:t>Net income per partnership unit is determined by allocating net income to the general partner (including the general partner’s preferred unit allocation) and the limited partners based on their weighted average partnership units outstanding during the respective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Commitments and Contingencies</w:t>
      </w:r>
    </w:p>
    <w:p>
      <w:pPr>
        <w:spacing w:after="0" w:line="212"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Borrowings related to Chelsea Japan for which the OP has provided guarantees for repayment of debt as of June 30, 2005, are as follows (in thousands):</w:t>
      </w:r>
    </w:p>
    <w:p>
      <w:pPr>
        <w:spacing w:after="0" w:line="322" w:lineRule="exact"/>
        <w:rPr>
          <w:sz w:val="20"/>
          <w:szCs w:val="20"/>
          <w:color w:val="auto"/>
        </w:rPr>
      </w:pPr>
    </w:p>
    <w:tbl>
      <w:tblPr>
        <w:tblLayout w:type="fixed"/>
        <w:tblInd w:w="520" w:type="dxa"/>
        <w:tblCellMar>
          <w:top w:w="0" w:type="dxa"/>
          <w:left w:w="0" w:type="dxa"/>
          <w:bottom w:w="0" w:type="dxa"/>
          <w:right w:w="0" w:type="dxa"/>
        </w:tblCellMar>
      </w:tblPr>
      <w:tr>
        <w:trPr>
          <w:trHeight w:val="136"/>
        </w:trPr>
        <w:tc>
          <w:tcPr>
            <w:tcW w:w="300" w:type="dxa"/>
            <w:vAlign w:val="bottom"/>
          </w:tcPr>
          <w:p>
            <w:pPr>
              <w:spacing w:after="0"/>
              <w:rPr>
                <w:sz w:val="11"/>
                <w:szCs w:val="11"/>
                <w:color w:val="auto"/>
              </w:rPr>
            </w:pPr>
          </w:p>
        </w:tc>
        <w:tc>
          <w:tcPr>
            <w:tcW w:w="1560" w:type="dxa"/>
            <w:vAlign w:val="bottom"/>
            <w:gridSpan w:val="2"/>
          </w:tcPr>
          <w:p>
            <w:pPr>
              <w:ind w:left="420"/>
              <w:spacing w:after="0"/>
              <w:rPr>
                <w:sz w:val="20"/>
                <w:szCs w:val="20"/>
                <w:color w:val="auto"/>
              </w:rPr>
            </w:pPr>
            <w:r>
              <w:rPr>
                <w:rFonts w:ascii="Courier New" w:cs="Courier New" w:eastAsia="Courier New" w:hAnsi="Courier New"/>
                <w:sz w:val="12"/>
                <w:szCs w:val="12"/>
                <w:b w:val="1"/>
                <w:bCs w:val="1"/>
                <w:color w:val="auto"/>
              </w:rPr>
              <w:t>Total Facility</w:t>
            </w:r>
          </w:p>
        </w:tc>
        <w:tc>
          <w:tcPr>
            <w:tcW w:w="760" w:type="dxa"/>
            <w:vAlign w:val="bottom"/>
          </w:tcPr>
          <w:p>
            <w:pPr>
              <w:spacing w:after="0"/>
              <w:rPr>
                <w:sz w:val="11"/>
                <w:szCs w:val="11"/>
                <w:color w:val="auto"/>
              </w:rPr>
            </w:pPr>
          </w:p>
        </w:tc>
        <w:tc>
          <w:tcPr>
            <w:tcW w:w="18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w:t>
            </w:r>
          </w:p>
        </w:tc>
        <w:tc>
          <w:tcPr>
            <w:tcW w:w="1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2"/>
                <w:szCs w:val="12"/>
                <w:b w:val="1"/>
                <w:bCs w:val="1"/>
                <w:color w:val="auto"/>
              </w:rPr>
              <w:t>Outstanding</w:t>
            </w: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1280" w:type="dxa"/>
            <w:vAlign w:val="bottom"/>
            <w:gridSpan w:val="2"/>
          </w:tcPr>
          <w:p>
            <w:pPr>
              <w:spacing w:after="0"/>
              <w:rPr>
                <w:sz w:val="20"/>
                <w:szCs w:val="20"/>
                <w:color w:val="auto"/>
              </w:rPr>
            </w:pPr>
            <w:r>
              <w:rPr>
                <w:rFonts w:ascii="Courier New" w:cs="Courier New" w:eastAsia="Courier New" w:hAnsi="Courier New"/>
                <w:sz w:val="8"/>
                <w:szCs w:val="8"/>
                <w:color w:val="auto"/>
                <w:w w:val="70"/>
              </w:rPr>
              <w:t>-------------------------------------</w:t>
            </w: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1680" w:type="dxa"/>
            <w:vAlign w:val="bottom"/>
            <w:gridSpan w:val="2"/>
          </w:tcPr>
          <w:p>
            <w:pPr>
              <w:ind w:left="40"/>
              <w:spacing w:after="0"/>
              <w:rPr>
                <w:sz w:val="20"/>
                <w:szCs w:val="20"/>
                <w:color w:val="auto"/>
              </w:rPr>
            </w:pPr>
            <w:r>
              <w:rPr>
                <w:rFonts w:ascii="Courier New" w:cs="Courier New" w:eastAsia="Courier New" w:hAnsi="Courier New"/>
                <w:sz w:val="5"/>
                <w:szCs w:val="5"/>
                <w:color w:val="auto"/>
                <w:w w:val="73"/>
              </w:rPr>
              <w:t>-------------------------------------------------------------------------</w:t>
            </w: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w:t>
            </w:r>
          </w:p>
        </w:tc>
        <w:tc>
          <w:tcPr>
            <w:tcW w:w="1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Due</w:t>
            </w:r>
          </w:p>
        </w:tc>
        <w:tc>
          <w:tcPr>
            <w:tcW w:w="720" w:type="dxa"/>
            <w:vAlign w:val="bottom"/>
          </w:tcPr>
          <w:p>
            <w:pPr>
              <w:ind w:left="140"/>
              <w:spacing w:after="0"/>
              <w:rPr>
                <w:sz w:val="20"/>
                <w:szCs w:val="20"/>
                <w:color w:val="auto"/>
              </w:rPr>
            </w:pPr>
            <w:r>
              <w:rPr>
                <w:rFonts w:ascii="Courier New" w:cs="Courier New" w:eastAsia="Courier New" w:hAnsi="Courier New"/>
                <w:sz w:val="12"/>
                <w:szCs w:val="12"/>
                <w:b w:val="1"/>
                <w:bCs w:val="1"/>
                <w:color w:val="auto"/>
                <w:w w:val="97"/>
              </w:rPr>
              <w:t>Interest</w:t>
            </w: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b w:val="1"/>
                <w:bCs w:val="1"/>
                <w:color w:val="auto"/>
              </w:rPr>
              <w:t>Yen</w:t>
            </w:r>
          </w:p>
        </w:tc>
        <w:tc>
          <w:tcPr>
            <w:tcW w:w="980" w:type="dxa"/>
            <w:vAlign w:val="bottom"/>
          </w:tcPr>
          <w:p>
            <w:pPr>
              <w:spacing w:after="0"/>
              <w:rPr>
                <w:sz w:val="11"/>
                <w:szCs w:val="11"/>
                <w:color w:val="auto"/>
              </w:rPr>
            </w:pPr>
          </w:p>
        </w:tc>
        <w:tc>
          <w:tcPr>
            <w:tcW w:w="1340" w:type="dxa"/>
            <w:vAlign w:val="bottom"/>
            <w:gridSpan w:val="2"/>
          </w:tcPr>
          <w:p>
            <w:pPr>
              <w:ind w:left="180"/>
              <w:spacing w:after="0"/>
              <w:rPr>
                <w:sz w:val="20"/>
                <w:szCs w:val="20"/>
                <w:color w:val="auto"/>
              </w:rPr>
            </w:pPr>
            <w:r>
              <w:rPr>
                <w:rFonts w:ascii="Courier New" w:cs="Courier New" w:eastAsia="Courier New" w:hAnsi="Courier New"/>
                <w:sz w:val="12"/>
                <w:szCs w:val="12"/>
                <w:b w:val="1"/>
                <w:bCs w:val="1"/>
                <w:color w:val="auto"/>
              </w:rPr>
              <w:t>US $ Equivalent</w:t>
            </w:r>
          </w:p>
        </w:tc>
        <w:tc>
          <w:tcPr>
            <w:tcW w:w="18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w:t>
            </w:r>
          </w:p>
        </w:tc>
        <w:tc>
          <w:tcPr>
            <w:tcW w:w="1280" w:type="dxa"/>
            <w:vAlign w:val="bottom"/>
          </w:tcPr>
          <w:p>
            <w:pPr>
              <w:ind w:left="260"/>
              <w:spacing w:after="0"/>
              <w:rPr>
                <w:sz w:val="20"/>
                <w:szCs w:val="20"/>
                <w:color w:val="auto"/>
              </w:rPr>
            </w:pPr>
            <w:r>
              <w:rPr>
                <w:rFonts w:ascii="Courier New" w:cs="Courier New" w:eastAsia="Courier New" w:hAnsi="Courier New"/>
                <w:sz w:val="12"/>
                <w:szCs w:val="12"/>
                <w:b w:val="1"/>
                <w:bCs w:val="1"/>
                <w:color w:val="auto"/>
              </w:rPr>
              <w:t>Yen</w:t>
            </w:r>
          </w:p>
        </w:tc>
        <w:tc>
          <w:tcPr>
            <w:tcW w:w="1460" w:type="dxa"/>
            <w:vAlign w:val="bottom"/>
            <w:gridSpan w:val="2"/>
          </w:tcPr>
          <w:p>
            <w:pPr>
              <w:spacing w:after="0"/>
              <w:rPr>
                <w:sz w:val="20"/>
                <w:szCs w:val="20"/>
                <w:color w:val="auto"/>
              </w:rPr>
            </w:pPr>
            <w:r>
              <w:rPr>
                <w:rFonts w:ascii="Courier New" w:cs="Courier New" w:eastAsia="Courier New" w:hAnsi="Courier New"/>
                <w:sz w:val="12"/>
                <w:szCs w:val="12"/>
                <w:b w:val="1"/>
                <w:bCs w:val="1"/>
                <w:color w:val="auto"/>
              </w:rPr>
              <w:t>US $ Equivalent</w:t>
            </w:r>
          </w:p>
        </w:tc>
        <w:tc>
          <w:tcPr>
            <w:tcW w:w="48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US $</w:t>
            </w:r>
          </w:p>
        </w:tc>
        <w:tc>
          <w:tcPr>
            <w:tcW w:w="840" w:type="dxa"/>
            <w:vAlign w:val="bottom"/>
          </w:tcPr>
          <w:p>
            <w:pPr>
              <w:ind w:left="40"/>
              <w:spacing w:after="0"/>
              <w:rPr>
                <w:sz w:val="20"/>
                <w:szCs w:val="20"/>
                <w:color w:val="auto"/>
              </w:rPr>
            </w:pPr>
            <w:r>
              <w:rPr>
                <w:rFonts w:ascii="Courier New" w:cs="Courier New" w:eastAsia="Courier New" w:hAnsi="Courier New"/>
                <w:sz w:val="12"/>
                <w:szCs w:val="12"/>
                <w:b w:val="1"/>
                <w:bCs w:val="1"/>
                <w:color w:val="auto"/>
              </w:rPr>
              <w:t>Guarantee</w:t>
            </w:r>
          </w:p>
        </w:tc>
        <w:tc>
          <w:tcPr>
            <w:tcW w:w="58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Date</w:t>
            </w:r>
          </w:p>
        </w:tc>
        <w:tc>
          <w:tcPr>
            <w:tcW w:w="720" w:type="dxa"/>
            <w:vAlign w:val="bottom"/>
          </w:tcPr>
          <w:p>
            <w:pPr>
              <w:ind w:left="280"/>
              <w:spacing w:after="0"/>
              <w:rPr>
                <w:sz w:val="20"/>
                <w:szCs w:val="20"/>
                <w:color w:val="auto"/>
              </w:rPr>
            </w:pPr>
            <w:r>
              <w:rPr>
                <w:rFonts w:ascii="Courier New" w:cs="Courier New" w:eastAsia="Courier New" w:hAnsi="Courier New"/>
                <w:sz w:val="12"/>
                <w:szCs w:val="12"/>
                <w:b w:val="1"/>
                <w:bCs w:val="1"/>
                <w:color w:val="auto"/>
              </w:rPr>
              <w:t>Rate</w:t>
            </w:r>
          </w:p>
        </w:tc>
      </w:tr>
      <w:tr>
        <w:trPr>
          <w:trHeight w:val="135"/>
        </w:trPr>
        <w:tc>
          <w:tcPr>
            <w:tcW w:w="1280" w:type="dxa"/>
            <w:vAlign w:val="bottom"/>
            <w:gridSpan w:val="2"/>
          </w:tcPr>
          <w:p>
            <w:pPr>
              <w:spacing w:after="0"/>
              <w:rPr>
                <w:sz w:val="20"/>
                <w:szCs w:val="20"/>
                <w:color w:val="auto"/>
              </w:rPr>
            </w:pPr>
            <w:r>
              <w:rPr>
                <w:rFonts w:ascii="Courier New" w:cs="Courier New" w:eastAsia="Courier New" w:hAnsi="Courier New"/>
                <w:sz w:val="12"/>
                <w:szCs w:val="12"/>
                <w:color w:val="auto"/>
              </w:rPr>
              <w:t>--------------</w:t>
            </w:r>
          </w:p>
        </w:tc>
        <w:tc>
          <w:tcPr>
            <w:tcW w:w="134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ind w:left="40"/>
              <w:spacing w:after="0"/>
              <w:rPr>
                <w:sz w:val="20"/>
                <w:szCs w:val="20"/>
                <w:color w:val="auto"/>
              </w:rPr>
            </w:pPr>
            <w:r>
              <w:rPr>
                <w:rFonts w:ascii="Courier New" w:cs="Courier New" w:eastAsia="Courier New" w:hAnsi="Courier New"/>
                <w:sz w:val="12"/>
                <w:szCs w:val="12"/>
                <w:color w:val="auto"/>
              </w:rPr>
              <w:t>----------</w:t>
            </w:r>
          </w:p>
        </w:tc>
        <w:tc>
          <w:tcPr>
            <w:tcW w:w="1460" w:type="dxa"/>
            <w:vAlign w:val="bottom"/>
            <w:gridSpan w:val="2"/>
          </w:tcPr>
          <w:p>
            <w:pPr>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color w:val="auto"/>
              </w:rPr>
              <w:t>3.8</w:t>
            </w:r>
          </w:p>
        </w:tc>
        <w:tc>
          <w:tcPr>
            <w:tcW w:w="980" w:type="dxa"/>
            <w:vAlign w:val="bottom"/>
          </w:tcPr>
          <w:p>
            <w:pPr>
              <w:spacing w:after="0"/>
              <w:rPr>
                <w:sz w:val="20"/>
                <w:szCs w:val="20"/>
                <w:color w:val="auto"/>
              </w:rPr>
            </w:pPr>
            <w:r>
              <w:rPr>
                <w:rFonts w:ascii="Courier New" w:cs="Courier New" w:eastAsia="Courier New" w:hAnsi="Courier New"/>
                <w:sz w:val="12"/>
                <w:szCs w:val="12"/>
                <w:color w:val="auto"/>
              </w:rPr>
              <w:t>billion (1)</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$34.3</w:t>
            </w:r>
          </w:p>
        </w:tc>
        <w:tc>
          <w:tcPr>
            <w:tcW w:w="76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14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 2.8 billion</w:t>
            </w: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w w:val="94"/>
              </w:rPr>
              <w:t>$25.1</w:t>
            </w:r>
          </w:p>
        </w:tc>
        <w:tc>
          <w:tcPr>
            <w:tcW w:w="106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$10.0</w:t>
            </w:r>
          </w:p>
        </w:tc>
        <w:tc>
          <w:tcPr>
            <w:tcW w:w="84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580" w:type="dxa"/>
            <w:vAlign w:val="bottom"/>
          </w:tcPr>
          <w:p>
            <w:pPr>
              <w:ind w:left="140"/>
              <w:spacing w:after="0"/>
              <w:rPr>
                <w:sz w:val="20"/>
                <w:szCs w:val="20"/>
                <w:color w:val="auto"/>
              </w:rPr>
            </w:pPr>
            <w:r>
              <w:rPr>
                <w:rFonts w:ascii="Courier New" w:cs="Courier New" w:eastAsia="Courier New" w:hAnsi="Courier New"/>
                <w:sz w:val="12"/>
                <w:szCs w:val="12"/>
                <w:color w:val="auto"/>
              </w:rPr>
              <w:t>2015</w:t>
            </w:r>
          </w:p>
        </w:tc>
        <w:tc>
          <w:tcPr>
            <w:tcW w:w="720" w:type="dxa"/>
            <w:vAlign w:val="bottom"/>
          </w:tcPr>
          <w:p>
            <w:pPr>
              <w:ind w:left="280"/>
              <w:spacing w:after="0"/>
              <w:rPr>
                <w:sz w:val="20"/>
                <w:szCs w:val="20"/>
                <w:color w:val="auto"/>
              </w:rPr>
            </w:pPr>
            <w:r>
              <w:rPr>
                <w:rFonts w:ascii="Courier New" w:cs="Courier New" w:eastAsia="Courier New" w:hAnsi="Courier New"/>
                <w:sz w:val="12"/>
                <w:szCs w:val="12"/>
                <w:color w:val="auto"/>
              </w:rPr>
              <w:t>2.06%</w:t>
            </w:r>
          </w:p>
        </w:tc>
      </w:tr>
      <w:tr>
        <w:trPr>
          <w:trHeight w:val="137"/>
        </w:trPr>
        <w:tc>
          <w:tcPr>
            <w:tcW w:w="300" w:type="dxa"/>
            <w:vAlign w:val="bottom"/>
          </w:tcPr>
          <w:p>
            <w:pPr>
              <w:spacing w:after="0"/>
              <w:rPr>
                <w:sz w:val="20"/>
                <w:szCs w:val="20"/>
                <w:color w:val="auto"/>
              </w:rPr>
            </w:pPr>
            <w:r>
              <w:rPr>
                <w:rFonts w:ascii="Courier New" w:cs="Courier New" w:eastAsia="Courier New" w:hAnsi="Courier New"/>
                <w:sz w:val="12"/>
                <w:szCs w:val="12"/>
                <w:color w:val="auto"/>
              </w:rPr>
              <w:t>0.6</w:t>
            </w:r>
          </w:p>
        </w:tc>
        <w:tc>
          <w:tcPr>
            <w:tcW w:w="980" w:type="dxa"/>
            <w:vAlign w:val="bottom"/>
          </w:tcPr>
          <w:p>
            <w:pPr>
              <w:spacing w:after="0"/>
              <w:rPr>
                <w:sz w:val="20"/>
                <w:szCs w:val="20"/>
                <w:color w:val="auto"/>
              </w:rPr>
            </w:pPr>
            <w:r>
              <w:rPr>
                <w:rFonts w:ascii="Courier New" w:cs="Courier New" w:eastAsia="Courier New" w:hAnsi="Courier New"/>
                <w:sz w:val="12"/>
                <w:szCs w:val="12"/>
                <w:color w:val="auto"/>
              </w:rPr>
              <w:t>billion (1)</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5.4</w:t>
            </w:r>
          </w:p>
        </w:tc>
        <w:tc>
          <w:tcPr>
            <w:tcW w:w="76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14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 0.4 billion</w:t>
            </w: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rPr>
              <w:t>3.7</w:t>
            </w:r>
          </w:p>
        </w:tc>
        <w:tc>
          <w:tcPr>
            <w:tcW w:w="106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1.5</w:t>
            </w:r>
          </w:p>
        </w:tc>
        <w:tc>
          <w:tcPr>
            <w:tcW w:w="84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580" w:type="dxa"/>
            <w:vAlign w:val="bottom"/>
          </w:tcPr>
          <w:p>
            <w:pPr>
              <w:ind w:left="140"/>
              <w:spacing w:after="0"/>
              <w:rPr>
                <w:sz w:val="20"/>
                <w:szCs w:val="20"/>
                <w:color w:val="auto"/>
              </w:rPr>
            </w:pPr>
            <w:r>
              <w:rPr>
                <w:rFonts w:ascii="Courier New" w:cs="Courier New" w:eastAsia="Courier New" w:hAnsi="Courier New"/>
                <w:sz w:val="12"/>
                <w:szCs w:val="12"/>
                <w:color w:val="auto"/>
              </w:rPr>
              <w:t>2012</w:t>
            </w:r>
          </w:p>
        </w:tc>
        <w:tc>
          <w:tcPr>
            <w:tcW w:w="720" w:type="dxa"/>
            <w:vAlign w:val="bottom"/>
          </w:tcPr>
          <w:p>
            <w:pPr>
              <w:ind w:left="280"/>
              <w:spacing w:after="0"/>
              <w:rPr>
                <w:sz w:val="20"/>
                <w:szCs w:val="20"/>
                <w:color w:val="auto"/>
              </w:rPr>
            </w:pPr>
            <w:r>
              <w:rPr>
                <w:rFonts w:ascii="Courier New" w:cs="Courier New" w:eastAsia="Courier New" w:hAnsi="Courier New"/>
                <w:sz w:val="12"/>
                <w:szCs w:val="12"/>
                <w:color w:val="auto"/>
              </w:rPr>
              <w:t>1.50%</w:t>
            </w:r>
          </w:p>
        </w:tc>
      </w:tr>
    </w:tbl>
    <w:p>
      <w:pPr>
        <w:spacing w:after="0" w:line="385" w:lineRule="exact"/>
        <w:rPr>
          <w:sz w:val="20"/>
          <w:szCs w:val="20"/>
          <w:color w:val="auto"/>
        </w:rPr>
      </w:pPr>
    </w:p>
    <w:p>
      <w:pPr>
        <w:ind w:left="260" w:hanging="252"/>
        <w:spacing w:after="0"/>
        <w:tabs>
          <w:tab w:leader="none" w:pos="260" w:val="left"/>
        </w:tabs>
        <w:numPr>
          <w:ilvl w:val="0"/>
          <w:numId w:val="6"/>
        </w:numPr>
        <w:rPr>
          <w:rFonts w:ascii="Arial" w:cs="Arial" w:eastAsia="Arial" w:hAnsi="Arial"/>
          <w:sz w:val="30"/>
          <w:szCs w:val="30"/>
          <w:color w:val="auto"/>
          <w:vertAlign w:val="superscript"/>
        </w:rPr>
      </w:pPr>
      <w:r>
        <w:rPr>
          <w:rFonts w:ascii="Arial" w:cs="Arial" w:eastAsia="Arial" w:hAnsi="Arial"/>
          <w:sz w:val="19"/>
          <w:szCs w:val="19"/>
          <w:color w:val="auto"/>
        </w:rPr>
        <w:t>Facilities entered into by Chelsea Japan, secured by Gotemba and Rinku and 40% severally guaranteed by the 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59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39"/>
        <w:spacing w:after="0"/>
        <w:rPr>
          <w:sz w:val="20"/>
          <w:szCs w:val="20"/>
          <w:color w:val="auto"/>
        </w:rPr>
      </w:pPr>
      <w:r>
        <w:rPr>
          <w:rFonts w:ascii="Arial" w:cs="Arial" w:eastAsia="Arial" w:hAnsi="Arial"/>
          <w:sz w:val="22"/>
          <w:szCs w:val="22"/>
          <w:b w:val="1"/>
          <w:bCs w:val="1"/>
          <w:i w:val="1"/>
          <w:iCs w:val="1"/>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Commitments and Contingencies (continued)</w:t>
      </w:r>
    </w:p>
    <w:p>
      <w:pPr>
        <w:spacing w:after="0" w:line="212"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In May 2002, the OP entered into a 50/50 joint venture agreement with Sordo Madaleno y Asociados and affiliates to jointly develop Premium Outlet centers in Mexico. In January 2004, a wholly-owned subsidiary of the OP entered into a 180 million peso denominated credit facility, which is guaranteed by the OP, to fund its share of construction costs. The outstanding balance on the peso facility was fully repaid in February 2005.</w:t>
      </w:r>
    </w:p>
    <w:p>
      <w:pPr>
        <w:spacing w:after="0" w:line="185"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As of June 30, 2005, the OP had provided limited debt service guarantees of approximately $12.7 million to Value Retail and affiliates, under a standby facility for loans provided to Value Retail and affiliates to construct outlet centers in Europe. The standby facility, which had a maximum limit of $22.0 million, expired in November 2001, and outstanding guarantees, shall not survive more than five years after project completion. The outstanding guarantees expire on or before September 30, 2005. Value Retail has borrowed and escrowed the funds necessary to payoff the loans guaranteed by the OP. The escrow is subject to certain covenants which must be met prior to disbursement of the escrowed funds.</w:t>
      </w:r>
    </w:p>
    <w:p>
      <w:pPr>
        <w:spacing w:after="0" w:line="177" w:lineRule="exact"/>
        <w:rPr>
          <w:sz w:val="20"/>
          <w:szCs w:val="20"/>
          <w:color w:val="auto"/>
        </w:rPr>
      </w:pPr>
    </w:p>
    <w:p>
      <w:pPr>
        <w:ind w:right="160"/>
        <w:spacing w:after="0" w:line="328" w:lineRule="auto"/>
        <w:rPr>
          <w:sz w:val="20"/>
          <w:szCs w:val="20"/>
          <w:color w:val="auto"/>
        </w:rPr>
      </w:pPr>
      <w:r>
        <w:rPr>
          <w:rFonts w:ascii="Arial" w:cs="Arial" w:eastAsia="Arial" w:hAnsi="Arial"/>
          <w:sz w:val="19"/>
          <w:szCs w:val="19"/>
          <w:color w:val="auto"/>
        </w:rPr>
        <w:t>At June 30, 2005, other assets include $10.5 million and accrued expenses and other liabilities include $28.9 million related to the 2002 and 2005 deferred unit incentive programs, which may be paid to certain key officers in 2007 and 2010, respectively.</w:t>
      </w:r>
    </w:p>
    <w:p>
      <w:pPr>
        <w:spacing w:after="0" w:line="105"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The OP is not presently involved in any material litigation nor, to its knowledge, is any material litigation threatened against the OP or its properties, other than routine litigation arising in the ordinary course of business. Management believes the costs incurred by</w:t>
      </w:r>
    </w:p>
    <w:p>
      <w:pPr>
        <w:sectPr>
          <w:pgSz w:w="11900" w:h="16838" w:orient="portrait"/>
          <w:cols w:equalWidth="0" w:num="1">
            <w:col w:w="11400"/>
          </w:cols>
          <w:pgMar w:left="240" w:top="118" w:right="259" w:bottom="0" w:gutter="0" w:footer="0" w:header="0"/>
        </w:sectPr>
      </w:pPr>
    </w:p>
    <w:bookmarkStart w:id="8" w:name="page9"/>
    <w:bookmarkEnd w:id="8"/>
    <w:p>
      <w:pPr>
        <w:ind w:right="600"/>
        <w:spacing w:after="0" w:line="251" w:lineRule="auto"/>
        <w:rPr>
          <w:sz w:val="20"/>
          <w:szCs w:val="20"/>
          <w:color w:val="auto"/>
        </w:rPr>
      </w:pPr>
      <w:r>
        <w:rPr>
          <w:rFonts w:ascii="Arial" w:cs="Arial" w:eastAsia="Arial" w:hAnsi="Arial"/>
          <w:sz w:val="22"/>
          <w:szCs w:val="22"/>
          <w:color w:val="auto"/>
        </w:rPr>
        <w:t>the OP related to any of its litigation will not be material and have been adequately provided for in the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Related Party Information</w:t>
      </w:r>
    </w:p>
    <w:p>
      <w:pPr>
        <w:spacing w:after="0" w:line="212" w:lineRule="exact"/>
        <w:rPr>
          <w:sz w:val="20"/>
          <w:szCs w:val="20"/>
          <w:color w:val="auto"/>
        </w:rPr>
      </w:pPr>
    </w:p>
    <w:p>
      <w:pPr>
        <w:ind w:right="80"/>
        <w:spacing w:after="0"/>
        <w:rPr>
          <w:sz w:val="20"/>
          <w:szCs w:val="20"/>
          <w:color w:val="auto"/>
        </w:rPr>
      </w:pPr>
      <w:r>
        <w:rPr>
          <w:rFonts w:ascii="Arial" w:cs="Arial" w:eastAsia="Arial" w:hAnsi="Arial"/>
          <w:sz w:val="22"/>
          <w:szCs w:val="22"/>
          <w:color w:val="auto"/>
        </w:rPr>
        <w:t>Pursuant to the merger with Simon in 2004, the Company purchased two annuity contracts in consideration of the non-competition covenants of its CEO and a President totaling $21.5 million. These contracts are included in restricted cash-escrows in the accompanying financial statements.</w:t>
      </w:r>
    </w:p>
    <w:p>
      <w:pPr>
        <w:spacing w:after="0" w:line="186" w:lineRule="exact"/>
        <w:rPr>
          <w:sz w:val="20"/>
          <w:szCs w:val="20"/>
          <w:color w:val="auto"/>
        </w:rPr>
      </w:pPr>
    </w:p>
    <w:p>
      <w:pPr>
        <w:ind w:right="280"/>
        <w:spacing w:after="0" w:line="238" w:lineRule="auto"/>
        <w:rPr>
          <w:sz w:val="20"/>
          <w:szCs w:val="20"/>
          <w:color w:val="auto"/>
        </w:rPr>
      </w:pPr>
      <w:r>
        <w:rPr>
          <w:rFonts w:ascii="Arial" w:cs="Arial" w:eastAsia="Arial" w:hAnsi="Arial"/>
          <w:sz w:val="22"/>
          <w:szCs w:val="22"/>
          <w:color w:val="auto"/>
        </w:rPr>
        <w:t>In October 2004, the OP borrowed $235.3 million from Simon and issued an unsecured promissory note due August 1, 2005. Interest is payable at maturity at LIBOR plus 1% per annum. The borrowed funds were used primarily to repay the OP’s senior unsecured line of credit, the $5 million term loan, and the $100 million term loan. In August 2005, accrued interest was paid and the note was extended for one year through August 1, 2006.</w:t>
      </w:r>
    </w:p>
    <w:p>
      <w:pPr>
        <w:spacing w:after="0" w:line="185" w:lineRule="exact"/>
        <w:rPr>
          <w:sz w:val="20"/>
          <w:szCs w:val="20"/>
          <w:color w:val="auto"/>
        </w:rPr>
      </w:pPr>
    </w:p>
    <w:p>
      <w:pPr>
        <w:ind w:right="220"/>
        <w:spacing w:after="0" w:line="249" w:lineRule="auto"/>
        <w:rPr>
          <w:sz w:val="20"/>
          <w:szCs w:val="20"/>
          <w:color w:val="auto"/>
        </w:rPr>
      </w:pPr>
      <w:r>
        <w:rPr>
          <w:rFonts w:ascii="Arial" w:cs="Arial" w:eastAsia="Arial" w:hAnsi="Arial"/>
          <w:sz w:val="21"/>
          <w:szCs w:val="21"/>
          <w:color w:val="auto"/>
        </w:rPr>
        <w:t>Also in October 2004, the OP borrowed $65.0 million from Simon and issued an unsecured promissory note due December 31, 2004. In January 2005, accrued and unpaid interest of $0.6 million was added to the principal balance and the note was extended until August 1, 2005. Interest is payable at maturity at LIBOR plus 1% per annum. The borrowed funds were used to redeem the Series C Preferred Stock prior to the merger closing on October 14, 2004. In August 2005, accrued interest was paid and the note was extended for one year through August 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59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39"/>
        <w:spacing w:after="0"/>
        <w:rPr>
          <w:sz w:val="20"/>
          <w:szCs w:val="20"/>
          <w:color w:val="auto"/>
        </w:rPr>
      </w:pPr>
      <w:r>
        <w:rPr>
          <w:rFonts w:ascii="Arial" w:cs="Arial" w:eastAsia="Arial" w:hAnsi="Arial"/>
          <w:sz w:val="22"/>
          <w:szCs w:val="22"/>
          <w:b w:val="1"/>
          <w:bCs w:val="1"/>
          <w:i w:val="1"/>
          <w:iCs w:val="1"/>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Related Party Information (continued)</w:t>
      </w:r>
    </w:p>
    <w:p>
      <w:pPr>
        <w:spacing w:after="0" w:line="212"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In March 2005, a wholly owned equity investor in Japan, Chelsea International Operating Corp., entered into a 4.0 billion yen line of credit agreement with Simon pursuant to which it borrowed 1.9 billion yen (approximately $16.7 million) from Simon and issued an unsecured promissory note due January 2008. Interest is currently payable monthly at yen LIBOR plus 0.55% per annum, but the interest rate may adjust depending on Simon’s credit rating. The borrowed funds were used to repay and extinguish the 4 billion yen line of credit, which provided funding for projects being developed in Japan. The three loans made by Simon are included in notes payable-related parties in the accompanying financial statements.</w:t>
      </w:r>
    </w:p>
    <w:p>
      <w:pPr>
        <w:spacing w:after="0" w:line="177" w:lineRule="exact"/>
        <w:rPr>
          <w:sz w:val="20"/>
          <w:szCs w:val="20"/>
          <w:color w:val="auto"/>
        </w:rPr>
      </w:pPr>
    </w:p>
    <w:p>
      <w:pPr>
        <w:jc w:val="both"/>
        <w:ind w:right="460"/>
        <w:spacing w:after="0" w:line="276" w:lineRule="auto"/>
        <w:rPr>
          <w:sz w:val="20"/>
          <w:szCs w:val="20"/>
          <w:color w:val="auto"/>
        </w:rPr>
      </w:pPr>
      <w:r>
        <w:rPr>
          <w:rFonts w:ascii="Arial" w:cs="Arial" w:eastAsia="Arial" w:hAnsi="Arial"/>
          <w:sz w:val="19"/>
          <w:szCs w:val="19"/>
          <w:color w:val="auto"/>
        </w:rPr>
        <w:t>Chelsea International Operating Corp. has advanced partner loans to Chelsea Japan totaling 2.0 billion yen (approximately US $18.2 million) at June 30, 2005. The loans, which were used to fund construction costs, bear interest at yen LIBOR plus 3.0%</w:t>
      </w:r>
    </w:p>
    <w:p>
      <w:pPr>
        <w:spacing w:after="0" w:line="2" w:lineRule="exact"/>
        <w:rPr>
          <w:sz w:val="20"/>
          <w:szCs w:val="20"/>
          <w:color w:val="auto"/>
        </w:rPr>
      </w:pPr>
    </w:p>
    <w:p>
      <w:pPr>
        <w:ind w:right="100"/>
        <w:spacing w:after="0" w:line="237" w:lineRule="auto"/>
        <w:rPr>
          <w:sz w:val="20"/>
          <w:szCs w:val="20"/>
          <w:color w:val="auto"/>
        </w:rPr>
      </w:pPr>
      <w:r>
        <w:rPr>
          <w:rFonts w:ascii="Arial" w:cs="Arial" w:eastAsia="Arial" w:hAnsi="Arial"/>
          <w:sz w:val="22"/>
          <w:szCs w:val="22"/>
          <w:color w:val="auto"/>
        </w:rPr>
        <w:t>(3.06% at June 30, 2005) and mature through 2015. The loans are included in notes receivable-related parties in the accompanying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Fair Value of Financial Instruments</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The following disclosures of estimated fair value were determined by management, using available market information and appropriate valuation methodologies. Considerable judgment is necessary to interpret market data and develop estimated fair value. Accordingly, the estimates presented herein are not necessarily indicative of the amounts the OP could realize on disposition of the financial instruments. The use of different market assumptions and/or estimation methodologies may have a material effect on the estimated fair value amounts.</w:t>
      </w:r>
    </w:p>
    <w:p>
      <w:pPr>
        <w:spacing w:after="0" w:line="188"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Disclosure about fair value of financial instruments is based on pertinent information available to management as of June 30, 2005. Although management is not aware of any factors that would significantly affect the reasonable fair value amounts, such amounts have not been comprehensively revalued for purposes of these financial statements since such date and current estimates of fair value may differ significantly from the amounts presented herein.</w:t>
      </w:r>
    </w:p>
    <w:p>
      <w:pPr>
        <w:spacing w:after="0" w:line="185"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Cash equivalents, accounts receivable, accounts payable, and revolving credit facilities balances reasonably approximate their fair values due to the short maturities of these items. Mortgage debt and the unsecured notes payable have an estimated fair value based on discounted cash flow models of approximately $1.1 billion, which exceeds the book value by approximately $0.1 billion. Unsecured bank debt is carried at an amount which reasonably approximates its fair value since it is a variable rate instrument whose interest rate reprices frequently.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59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212"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The following discussion should be read in connection with the accompanying unaudited condensed consolidated financial statements and notes thereto. These financial statements include all adjustments, which in the opinion of management are necessary to reflect a fair statement of results for all interim periods presented, and all such adjustments are of a normal recurring nature. You should read the following discussion in conjunction with the financial statements and notes thereto that are included in the December 31, 2004 Form 10K. Certain statements made in this section or elsewhere in this report may be deemed "forward-looking statements" within the meaning of the Private Securities Litigation Reform Act of 1995. Although we believe the expectations reflected in any forward-looking statements are based on reasonable assumptions, we can give no assurance that our expectations will be attained, and it is possible that our actual results may differ materially from those indicated by these forward-</w:t>
      </w:r>
    </w:p>
    <w:p>
      <w:pPr>
        <w:sectPr>
          <w:pgSz w:w="11900" w:h="16838" w:orient="portrait"/>
          <w:cols w:equalWidth="0" w:num="1">
            <w:col w:w="11400"/>
          </w:cols>
          <w:pgMar w:left="240" w:top="118" w:right="259" w:bottom="0" w:gutter="0" w:footer="0" w:header="0"/>
        </w:sectPr>
      </w:pPr>
    </w:p>
    <w:bookmarkStart w:id="9" w:name="page10"/>
    <w:bookmarkEnd w:id="9"/>
    <w:p>
      <w:pPr>
        <w:spacing w:after="0" w:line="277" w:lineRule="auto"/>
        <w:rPr>
          <w:sz w:val="20"/>
          <w:szCs w:val="20"/>
          <w:color w:val="auto"/>
        </w:rPr>
      </w:pPr>
      <w:r>
        <w:rPr>
          <w:rFonts w:ascii="Arial" w:cs="Arial" w:eastAsia="Arial" w:hAnsi="Arial"/>
          <w:sz w:val="19"/>
          <w:szCs w:val="19"/>
          <w:color w:val="auto"/>
        </w:rPr>
        <w:t>looking statements due to a variety of risks and uncertainties. Those risks and uncertainties incidental to the ownership and operation of commercial real estate include, but are not limited to: national, international, regional and local economic climates, competitive market forces, changes in market rental rates, trends in the retail industry, the inability to collect rent due to the bankruptcy or insolvency of tenants or otherwise, risks associated with acquisitions, the impact of terrorist activities, environmental liabilities, maintenance of the Company's REIT status, the availability of financing, and changes in market rates of interest and fluctuations in exchange rates of foreign currencies. We undertake no duty or obligation to update or revise these forward-looking statements, whether as a result of new information, future developments, or otherwise.</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12"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The OP’s discussion and analysis of its financial condition and results of operations are based upon the OP’s consolidated financial statements which have been prepared in accordance with accounting principles generally accepted in the United States. The preparation of these financial statements requires the OP to make estimates and judgments that affect the reported amounts of assets, liabilities, revenues and expenses. The OP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ind w:right="940"/>
        <w:spacing w:after="0" w:line="251" w:lineRule="auto"/>
        <w:rPr>
          <w:sz w:val="20"/>
          <w:szCs w:val="20"/>
          <w:color w:val="auto"/>
        </w:rPr>
      </w:pPr>
      <w:r>
        <w:rPr>
          <w:rFonts w:ascii="Arial" w:cs="Arial" w:eastAsia="Arial" w:hAnsi="Arial"/>
          <w:sz w:val="22"/>
          <w:szCs w:val="22"/>
          <w:color w:val="auto"/>
        </w:rPr>
        <w:t>The OP believes the following critical accounting policies affect its more significant judgments and estimates used in the preparation of its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Purchase Price Allocation</w:t>
      </w:r>
    </w:p>
    <w:p>
      <w:pPr>
        <w:spacing w:after="0" w:line="212"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The OP allocates the purchase price of real estate to land, building, and tenant improvements and if determined to be material, intangibles, such as the value of above, below and at market leases and origination cost associated with in-place leases. The OP depreciates the amount allocated to building and other intangible assets over their estimated useful lives, which generally range from five to forty years. The values of the above and below market leases are amortized and recorded as either an increase (in the case of below market leases) or a decrease (in the case of above market leases) to rental income over the remaining term of the associated lease. The values associated with in-place leases are amortized over the term of the lease. If a tenant vacates its space prior to the contractual termination of the lease and no rental payments are being made on the lease, any unamortized balance of the related intangible will be written off. The tenant improvements and origination costs are amortized as an expense over the remaining life of the lease (or charged against earnings if the lease is terminated prior to contractual expiration date). The OP assesses fair value based on estimated cash flow projections that utilize appropriate discount and capitalization rates and available market information. Estimates of future cash flows are based on a number of factors including the historical operating results, known trends and market/economic conditions that may affect the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59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Bad Debt</w:t>
      </w:r>
    </w:p>
    <w:p>
      <w:pPr>
        <w:spacing w:after="0" w:line="212" w:lineRule="exact"/>
        <w:rPr>
          <w:sz w:val="20"/>
          <w:szCs w:val="20"/>
          <w:color w:val="auto"/>
        </w:rPr>
      </w:pPr>
    </w:p>
    <w:p>
      <w:pPr>
        <w:ind w:right="100"/>
        <w:spacing w:after="0" w:line="252" w:lineRule="auto"/>
        <w:rPr>
          <w:sz w:val="20"/>
          <w:szCs w:val="20"/>
          <w:color w:val="auto"/>
        </w:rPr>
      </w:pPr>
      <w:r>
        <w:rPr>
          <w:rFonts w:ascii="Arial" w:cs="Arial" w:eastAsia="Arial" w:hAnsi="Arial"/>
          <w:sz w:val="21"/>
          <w:szCs w:val="21"/>
          <w:color w:val="auto"/>
        </w:rPr>
        <w:t>The OP maintains an allowance for doubtful accounts for estimated losses resulting from the inability of its tenants to make required rent payments. If the financial condition of the OP’s tenants were to deteriorate, resulting in an impairment of their ability to make payments, additional allowances may be required. The OP’s allowance for doubtful accounts included in tenant accounts receivable totaled $2.2 million at June 30, 2005 and December 31, 2004.</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Valuation of Investments</w:t>
      </w:r>
    </w:p>
    <w:p>
      <w:pPr>
        <w:spacing w:after="0" w:line="212"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On a periodic basis, management assesses whether there are any indicators that the value of real estate properties, including joint venture properties, may be impaired. If the carrying amount of the property is greater than the estimated expected future cash flow (undiscounted and without interest charges) of the asset, impairment has occurred. In first quarter 2004, the OP sold and recognized an impairment loss of $0.9 million on the disposition of two non-core properties; Lake George, New York and Iowa, Louisiana, which is reflected in other expense in the accompanying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Overview</w:t>
      </w:r>
    </w:p>
    <w:p>
      <w:pPr>
        <w:spacing w:after="0" w:line="212"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Rental revenue from wholly owned assets increased $9.2 million or 12.8%, to $81.6 million from $72.4 million for the three months ended June 30, 2005. Second quarter 2005 total revenue was up $11.9 million or 12.3%, to $108.3 million from $96.4 million in 2004, primarily due to higher rents, an acquisition, new development and expansions of existing centers. For the six months ended June 30, 2005, rental revenue grew $15.6 million or 11.0%, to $158.2 million from $142.6 million in the year earlier period. For the same six-month period total revenue rose 11.6% or $21.9 million, to $211.1 million from $189.2 million in 2004.</w:t>
      </w:r>
    </w:p>
    <w:p>
      <w:pPr>
        <w:spacing w:after="0" w:line="148" w:lineRule="exact"/>
        <w:rPr>
          <w:sz w:val="20"/>
          <w:szCs w:val="20"/>
          <w:color w:val="auto"/>
        </w:rPr>
      </w:pPr>
    </w:p>
    <w:p>
      <w:pPr>
        <w:jc w:val="both"/>
        <w:ind w:right="80"/>
        <w:spacing w:after="0" w:line="258" w:lineRule="auto"/>
        <w:rPr>
          <w:sz w:val="20"/>
          <w:szCs w:val="20"/>
          <w:color w:val="auto"/>
        </w:rPr>
      </w:pPr>
      <w:r>
        <w:rPr>
          <w:rFonts w:ascii="Arial" w:cs="Arial" w:eastAsia="Arial" w:hAnsi="Arial"/>
          <w:sz w:val="21"/>
          <w:szCs w:val="21"/>
          <w:color w:val="auto"/>
        </w:rPr>
        <w:t>Second quarter 2005 income from unconsolidated investments increased 37.3%, or $2.0 million, primarily from new development of Chicago Premium Outlets in May 2004 and Toki Premium Outlets during March 2005. For the six months ended June 30, 2005, unconsolidated income grew by $3.0 million or 29.0%, to $13.3 million from $10.3 million in 2004.</w:t>
      </w:r>
    </w:p>
    <w:p>
      <w:pPr>
        <w:spacing w:after="0" w:line="167"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At June 30, 2005, the OP’s portfolio consisted of 61 wholly or partially owned properties containing 17.3 million square feet of gross leasable area ("GLA"). The OP’s portfolio includes 42 Outlet centers containing 14.9 million square feet of GLA and Other Retail includes 19 centers containing 2.4 million square feet of GLA.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59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118" w:right="259" w:bottom="203"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Details of the 700,000 square feet of net GLA added since July 1, 2004 are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440" w:type="dxa"/>
            <w:vAlign w:val="bottom"/>
          </w:tcPr>
          <w:p>
            <w:pPr>
              <w:spacing w:after="0"/>
              <w:rPr>
                <w:sz w:val="11"/>
                <w:szCs w:val="11"/>
                <w:color w:val="auto"/>
              </w:rPr>
            </w:pPr>
          </w:p>
        </w:tc>
        <w:tc>
          <w:tcPr>
            <w:tcW w:w="204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12 months</w:t>
            </w:r>
          </w:p>
        </w:tc>
        <w:tc>
          <w:tcPr>
            <w:tcW w:w="150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6 months</w:t>
            </w:r>
          </w:p>
        </w:tc>
        <w:tc>
          <w:tcPr>
            <w:tcW w:w="142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6 months ended</w:t>
            </w: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20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ended June 30,</w:t>
            </w:r>
          </w:p>
        </w:tc>
        <w:tc>
          <w:tcPr>
            <w:tcW w:w="1500" w:type="dxa"/>
            <w:vAlign w:val="bottom"/>
          </w:tcPr>
          <w:p>
            <w:pPr>
              <w:jc w:val="right"/>
              <w:ind w:right="59"/>
              <w:spacing w:after="0"/>
              <w:rPr>
                <w:sz w:val="20"/>
                <w:szCs w:val="20"/>
                <w:color w:val="auto"/>
              </w:rPr>
            </w:pPr>
            <w:r>
              <w:rPr>
                <w:rFonts w:ascii="Courier New" w:cs="Courier New" w:eastAsia="Courier New" w:hAnsi="Courier New"/>
                <w:sz w:val="12"/>
                <w:szCs w:val="12"/>
                <w:b w:val="1"/>
                <w:bCs w:val="1"/>
                <w:color w:val="auto"/>
              </w:rPr>
              <w:t>ended June 30,</w:t>
            </w:r>
          </w:p>
        </w:tc>
        <w:tc>
          <w:tcPr>
            <w:tcW w:w="14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December 31,</w:t>
            </w: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20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2005</w:t>
            </w:r>
          </w:p>
        </w:tc>
        <w:tc>
          <w:tcPr>
            <w:tcW w:w="150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2005</w:t>
            </w:r>
          </w:p>
        </w:tc>
        <w:tc>
          <w:tcPr>
            <w:tcW w:w="142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2004</w:t>
            </w:r>
          </w:p>
        </w:tc>
        <w:tc>
          <w:tcPr>
            <w:tcW w:w="0" w:type="dxa"/>
            <w:vAlign w:val="bottom"/>
          </w:tcPr>
          <w:p>
            <w:pPr>
              <w:spacing w:after="0"/>
              <w:rPr>
                <w:sz w:val="1"/>
                <w:szCs w:val="1"/>
                <w:color w:val="auto"/>
              </w:rPr>
            </w:pPr>
          </w:p>
        </w:tc>
      </w:tr>
      <w:tr>
        <w:trPr>
          <w:trHeight w:val="137"/>
        </w:trPr>
        <w:tc>
          <w:tcPr>
            <w:tcW w:w="3440" w:type="dxa"/>
            <w:vAlign w:val="bottom"/>
            <w:vMerge w:val="restart"/>
          </w:tcPr>
          <w:p>
            <w:pPr>
              <w:spacing w:after="0"/>
              <w:rPr>
                <w:sz w:val="20"/>
                <w:szCs w:val="20"/>
                <w:color w:val="auto"/>
              </w:rPr>
            </w:pPr>
            <w:r>
              <w:rPr>
                <w:rFonts w:ascii="Courier New" w:cs="Courier New" w:eastAsia="Courier New" w:hAnsi="Courier New"/>
                <w:sz w:val="12"/>
                <w:szCs w:val="12"/>
                <w:b w:val="1"/>
                <w:bCs w:val="1"/>
                <w:color w:val="auto"/>
              </w:rPr>
              <w:t>Changes in GLA (sf in 000's):</w:t>
            </w:r>
          </w:p>
        </w:tc>
        <w:tc>
          <w:tcPr>
            <w:tcW w:w="20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c>
          <w:tcPr>
            <w:tcW w:w="1500" w:type="dxa"/>
            <w:vAlign w:val="bottom"/>
          </w:tcPr>
          <w:p>
            <w:pPr>
              <w:jc w:val="right"/>
              <w:ind w:right="59"/>
              <w:spacing w:after="0"/>
              <w:rPr>
                <w:sz w:val="20"/>
                <w:szCs w:val="20"/>
                <w:color w:val="auto"/>
              </w:rPr>
            </w:pPr>
            <w:r>
              <w:rPr>
                <w:rFonts w:ascii="Courier New" w:cs="Courier New" w:eastAsia="Courier New" w:hAnsi="Courier New"/>
                <w:sz w:val="12"/>
                <w:szCs w:val="12"/>
                <w:b w:val="1"/>
                <w:bCs w:val="1"/>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440" w:type="dxa"/>
            <w:vAlign w:val="bottom"/>
          </w:tcPr>
          <w:p>
            <w:pPr>
              <w:spacing w:after="0"/>
              <w:rPr>
                <w:sz w:val="20"/>
                <w:szCs w:val="20"/>
                <w:color w:val="auto"/>
              </w:rPr>
            </w:pPr>
            <w:r>
              <w:rPr>
                <w:rFonts w:ascii="Courier New" w:cs="Courier New" w:eastAsia="Courier New" w:hAnsi="Courier New"/>
                <w:sz w:val="12"/>
                <w:szCs w:val="12"/>
                <w:b w:val="1"/>
                <w:bCs w:val="1"/>
                <w:color w:val="auto"/>
              </w:rPr>
              <w:t>New centers developed:</w:t>
            </w:r>
          </w:p>
        </w:tc>
        <w:tc>
          <w:tcPr>
            <w:tcW w:w="20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440" w:type="dxa"/>
            <w:vAlign w:val="bottom"/>
          </w:tcPr>
          <w:p>
            <w:pPr>
              <w:ind w:left="220"/>
              <w:spacing w:after="0"/>
              <w:rPr>
                <w:sz w:val="20"/>
                <w:szCs w:val="20"/>
                <w:color w:val="auto"/>
              </w:rPr>
            </w:pPr>
            <w:r>
              <w:rPr>
                <w:rFonts w:ascii="Courier New" w:cs="Courier New" w:eastAsia="Courier New" w:hAnsi="Courier New"/>
                <w:sz w:val="12"/>
                <w:szCs w:val="12"/>
                <w:color w:val="auto"/>
              </w:rPr>
              <w:t>Seattle Premium Outlets</w:t>
            </w:r>
          </w:p>
        </w:tc>
        <w:tc>
          <w:tcPr>
            <w:tcW w:w="2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381</w:t>
            </w:r>
          </w:p>
        </w:tc>
        <w:tc>
          <w:tcPr>
            <w:tcW w:w="15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381</w:t>
            </w:r>
          </w:p>
        </w:tc>
        <w:tc>
          <w:tcPr>
            <w:tcW w:w="14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3440" w:type="dxa"/>
            <w:vAlign w:val="bottom"/>
          </w:tcPr>
          <w:p>
            <w:pPr>
              <w:ind w:left="220"/>
              <w:spacing w:after="0"/>
              <w:rPr>
                <w:sz w:val="20"/>
                <w:szCs w:val="20"/>
                <w:color w:val="auto"/>
              </w:rPr>
            </w:pPr>
            <w:r>
              <w:rPr>
                <w:rFonts w:ascii="Courier New" w:cs="Courier New" w:eastAsia="Courier New" w:hAnsi="Courier New"/>
                <w:sz w:val="12"/>
                <w:szCs w:val="12"/>
                <w:color w:val="auto"/>
              </w:rPr>
              <w:t>Premium Outlets Punta Norte (50% owned)</w:t>
            </w:r>
          </w:p>
        </w:tc>
        <w:tc>
          <w:tcPr>
            <w:tcW w:w="2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232</w:t>
            </w:r>
          </w:p>
        </w:tc>
        <w:tc>
          <w:tcPr>
            <w:tcW w:w="15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232</w:t>
            </w:r>
          </w:p>
        </w:tc>
        <w:tc>
          <w:tcPr>
            <w:tcW w:w="0" w:type="dxa"/>
            <w:vAlign w:val="bottom"/>
          </w:tcPr>
          <w:p>
            <w:pPr>
              <w:spacing w:after="0"/>
              <w:rPr>
                <w:sz w:val="1"/>
                <w:szCs w:val="1"/>
                <w:color w:val="auto"/>
              </w:rPr>
            </w:pPr>
          </w:p>
        </w:tc>
      </w:tr>
      <w:tr>
        <w:trPr>
          <w:trHeight w:val="135"/>
        </w:trPr>
        <w:tc>
          <w:tcPr>
            <w:tcW w:w="3440" w:type="dxa"/>
            <w:vAlign w:val="bottom"/>
          </w:tcPr>
          <w:p>
            <w:pPr>
              <w:ind w:left="220"/>
              <w:spacing w:after="0"/>
              <w:rPr>
                <w:sz w:val="20"/>
                <w:szCs w:val="20"/>
                <w:color w:val="auto"/>
              </w:rPr>
            </w:pPr>
            <w:r>
              <w:rPr>
                <w:rFonts w:ascii="Courier New" w:cs="Courier New" w:eastAsia="Courier New" w:hAnsi="Courier New"/>
                <w:sz w:val="12"/>
                <w:szCs w:val="12"/>
                <w:color w:val="auto"/>
              </w:rPr>
              <w:t>Toki Premium Outlets (40% owned)</w:t>
            </w:r>
          </w:p>
        </w:tc>
        <w:tc>
          <w:tcPr>
            <w:tcW w:w="2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178</w:t>
            </w:r>
          </w:p>
        </w:tc>
        <w:tc>
          <w:tcPr>
            <w:tcW w:w="15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178</w:t>
            </w:r>
          </w:p>
        </w:tc>
        <w:tc>
          <w:tcPr>
            <w:tcW w:w="14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7"/>
        </w:trPr>
        <w:tc>
          <w:tcPr>
            <w:tcW w:w="3440" w:type="dxa"/>
            <w:vAlign w:val="bottom"/>
          </w:tcPr>
          <w:p>
            <w:pPr>
              <w:spacing w:after="0"/>
              <w:rPr>
                <w:sz w:val="11"/>
                <w:szCs w:val="11"/>
                <w:color w:val="auto"/>
              </w:rPr>
            </w:pPr>
          </w:p>
        </w:tc>
        <w:tc>
          <w:tcPr>
            <w:tcW w:w="20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5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0"/>
                <w:szCs w:val="20"/>
                <w:color w:val="auto"/>
              </w:rPr>
            </w:pPr>
            <w:r>
              <w:rPr>
                <w:rFonts w:ascii="Courier New" w:cs="Courier New" w:eastAsia="Courier New" w:hAnsi="Courier New"/>
                <w:sz w:val="12"/>
                <w:szCs w:val="12"/>
                <w:b w:val="1"/>
                <w:bCs w:val="1"/>
                <w:color w:val="auto"/>
              </w:rPr>
              <w:t>Total new centers</w:t>
            </w:r>
          </w:p>
        </w:tc>
        <w:tc>
          <w:tcPr>
            <w:tcW w:w="2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791</w:t>
            </w:r>
          </w:p>
        </w:tc>
        <w:tc>
          <w:tcPr>
            <w:tcW w:w="15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559</w:t>
            </w:r>
          </w:p>
        </w:tc>
        <w:tc>
          <w:tcPr>
            <w:tcW w:w="14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232</w:t>
            </w:r>
          </w:p>
        </w:tc>
        <w:tc>
          <w:tcPr>
            <w:tcW w:w="0" w:type="dxa"/>
            <w:vAlign w:val="bottom"/>
          </w:tcPr>
          <w:p>
            <w:pPr>
              <w:spacing w:after="0"/>
              <w:rPr>
                <w:sz w:val="1"/>
                <w:szCs w:val="1"/>
                <w:color w:val="auto"/>
              </w:rPr>
            </w:pPr>
          </w:p>
        </w:tc>
      </w:tr>
      <w:tr>
        <w:trPr>
          <w:trHeight w:val="268"/>
        </w:trPr>
        <w:tc>
          <w:tcPr>
            <w:tcW w:w="3440" w:type="dxa"/>
            <w:vAlign w:val="bottom"/>
          </w:tcPr>
          <w:p>
            <w:pPr>
              <w:spacing w:after="0"/>
              <w:rPr>
                <w:sz w:val="20"/>
                <w:szCs w:val="20"/>
                <w:color w:val="auto"/>
              </w:rPr>
            </w:pPr>
            <w:r>
              <w:rPr>
                <w:rFonts w:ascii="Courier New" w:cs="Courier New" w:eastAsia="Courier New" w:hAnsi="Courier New"/>
                <w:sz w:val="12"/>
                <w:szCs w:val="12"/>
                <w:b w:val="1"/>
                <w:bCs w:val="1"/>
                <w:color w:val="auto"/>
              </w:rPr>
              <w:t>Centers expanded:</w:t>
            </w:r>
          </w:p>
        </w:tc>
        <w:tc>
          <w:tcPr>
            <w:tcW w:w="20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440" w:type="dxa"/>
            <w:vAlign w:val="bottom"/>
          </w:tcPr>
          <w:p>
            <w:pPr>
              <w:ind w:left="220"/>
              <w:spacing w:after="0"/>
              <w:rPr>
                <w:sz w:val="20"/>
                <w:szCs w:val="20"/>
                <w:color w:val="auto"/>
              </w:rPr>
            </w:pPr>
            <w:r>
              <w:rPr>
                <w:rFonts w:ascii="Courier New" w:cs="Courier New" w:eastAsia="Courier New" w:hAnsi="Courier New"/>
                <w:sz w:val="12"/>
                <w:szCs w:val="12"/>
                <w:color w:val="auto"/>
              </w:rPr>
              <w:t>Rinku Premium Outlets (40% owned)</w:t>
            </w:r>
          </w:p>
        </w:tc>
        <w:tc>
          <w:tcPr>
            <w:tcW w:w="2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71</w:t>
            </w:r>
          </w:p>
        </w:tc>
        <w:tc>
          <w:tcPr>
            <w:tcW w:w="15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71</w:t>
            </w:r>
          </w:p>
        </w:tc>
        <w:tc>
          <w:tcPr>
            <w:tcW w:w="0" w:type="dxa"/>
            <w:vAlign w:val="bottom"/>
          </w:tcPr>
          <w:p>
            <w:pPr>
              <w:spacing w:after="0"/>
              <w:rPr>
                <w:sz w:val="1"/>
                <w:szCs w:val="1"/>
                <w:color w:val="auto"/>
              </w:rPr>
            </w:pPr>
          </w:p>
        </w:tc>
      </w:tr>
      <w:tr>
        <w:trPr>
          <w:trHeight w:val="135"/>
        </w:trPr>
        <w:tc>
          <w:tcPr>
            <w:tcW w:w="3440" w:type="dxa"/>
            <w:vAlign w:val="bottom"/>
          </w:tcPr>
          <w:p>
            <w:pPr>
              <w:ind w:left="220"/>
              <w:spacing w:after="0"/>
              <w:rPr>
                <w:sz w:val="20"/>
                <w:szCs w:val="20"/>
                <w:color w:val="auto"/>
              </w:rPr>
            </w:pPr>
            <w:r>
              <w:rPr>
                <w:rFonts w:ascii="Courier New" w:cs="Courier New" w:eastAsia="Courier New" w:hAnsi="Courier New"/>
                <w:sz w:val="12"/>
                <w:szCs w:val="12"/>
                <w:color w:val="auto"/>
              </w:rPr>
              <w:t>Sano Premium Outlets (40% owned)</w:t>
            </w:r>
          </w:p>
        </w:tc>
        <w:tc>
          <w:tcPr>
            <w:tcW w:w="2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51</w:t>
            </w:r>
          </w:p>
        </w:tc>
        <w:tc>
          <w:tcPr>
            <w:tcW w:w="15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51</w:t>
            </w:r>
          </w:p>
        </w:tc>
        <w:tc>
          <w:tcPr>
            <w:tcW w:w="0" w:type="dxa"/>
            <w:vAlign w:val="bottom"/>
          </w:tcPr>
          <w:p>
            <w:pPr>
              <w:spacing w:after="0"/>
              <w:rPr>
                <w:sz w:val="1"/>
                <w:szCs w:val="1"/>
                <w:color w:val="auto"/>
              </w:rPr>
            </w:pPr>
          </w:p>
        </w:tc>
      </w:tr>
      <w:tr>
        <w:trPr>
          <w:trHeight w:val="135"/>
        </w:trPr>
        <w:tc>
          <w:tcPr>
            <w:tcW w:w="3440" w:type="dxa"/>
            <w:vAlign w:val="bottom"/>
          </w:tcPr>
          <w:p>
            <w:pPr>
              <w:ind w:left="220"/>
              <w:spacing w:after="0"/>
              <w:rPr>
                <w:sz w:val="20"/>
                <w:szCs w:val="20"/>
                <w:color w:val="auto"/>
              </w:rPr>
            </w:pPr>
            <w:r>
              <w:rPr>
                <w:rFonts w:ascii="Courier New" w:cs="Courier New" w:eastAsia="Courier New" w:hAnsi="Courier New"/>
                <w:sz w:val="12"/>
                <w:szCs w:val="12"/>
                <w:color w:val="auto"/>
              </w:rPr>
              <w:t>The Crossings Premium Outlets</w:t>
            </w:r>
          </w:p>
        </w:tc>
        <w:tc>
          <w:tcPr>
            <w:tcW w:w="2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22</w:t>
            </w:r>
          </w:p>
        </w:tc>
        <w:tc>
          <w:tcPr>
            <w:tcW w:w="15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22</w:t>
            </w:r>
          </w:p>
        </w:tc>
        <w:tc>
          <w:tcPr>
            <w:tcW w:w="0" w:type="dxa"/>
            <w:vAlign w:val="bottom"/>
          </w:tcPr>
          <w:p>
            <w:pPr>
              <w:spacing w:after="0"/>
              <w:rPr>
                <w:sz w:val="1"/>
                <w:szCs w:val="1"/>
                <w:color w:val="auto"/>
              </w:rPr>
            </w:pPr>
          </w:p>
        </w:tc>
      </w:tr>
      <w:tr>
        <w:trPr>
          <w:trHeight w:val="135"/>
        </w:trPr>
        <w:tc>
          <w:tcPr>
            <w:tcW w:w="3440" w:type="dxa"/>
            <w:vAlign w:val="bottom"/>
          </w:tcPr>
          <w:p>
            <w:pPr>
              <w:ind w:left="220"/>
              <w:spacing w:after="0"/>
              <w:rPr>
                <w:sz w:val="20"/>
                <w:szCs w:val="20"/>
                <w:color w:val="auto"/>
              </w:rPr>
            </w:pPr>
            <w:r>
              <w:rPr>
                <w:rFonts w:ascii="Courier New" w:cs="Courier New" w:eastAsia="Courier New" w:hAnsi="Courier New"/>
                <w:sz w:val="12"/>
                <w:szCs w:val="12"/>
                <w:color w:val="auto"/>
              </w:rPr>
              <w:t>Other (net)</w:t>
            </w:r>
          </w:p>
        </w:tc>
        <w:tc>
          <w:tcPr>
            <w:tcW w:w="20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(37)</w:t>
            </w:r>
          </w:p>
        </w:tc>
        <w:tc>
          <w:tcPr>
            <w:tcW w:w="15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(38)</w:t>
            </w:r>
          </w:p>
        </w:tc>
        <w:tc>
          <w:tcPr>
            <w:tcW w:w="14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w:t>
            </w:r>
          </w:p>
        </w:tc>
        <w:tc>
          <w:tcPr>
            <w:tcW w:w="0" w:type="dxa"/>
            <w:vAlign w:val="bottom"/>
          </w:tcPr>
          <w:p>
            <w:pPr>
              <w:spacing w:after="0"/>
              <w:rPr>
                <w:sz w:val="1"/>
                <w:szCs w:val="1"/>
                <w:color w:val="auto"/>
              </w:rPr>
            </w:pPr>
          </w:p>
        </w:tc>
      </w:tr>
      <w:tr>
        <w:trPr>
          <w:trHeight w:val="137"/>
        </w:trPr>
        <w:tc>
          <w:tcPr>
            <w:tcW w:w="3440" w:type="dxa"/>
            <w:vAlign w:val="bottom"/>
          </w:tcPr>
          <w:p>
            <w:pPr>
              <w:spacing w:after="0"/>
              <w:rPr>
                <w:sz w:val="11"/>
                <w:szCs w:val="11"/>
                <w:color w:val="auto"/>
              </w:rPr>
            </w:pPr>
          </w:p>
        </w:tc>
        <w:tc>
          <w:tcPr>
            <w:tcW w:w="20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5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0"/>
                <w:szCs w:val="20"/>
                <w:color w:val="auto"/>
              </w:rPr>
            </w:pPr>
            <w:r>
              <w:rPr>
                <w:rFonts w:ascii="Courier New" w:cs="Courier New" w:eastAsia="Courier New" w:hAnsi="Courier New"/>
                <w:sz w:val="12"/>
                <w:szCs w:val="12"/>
                <w:b w:val="1"/>
                <w:bCs w:val="1"/>
                <w:color w:val="auto"/>
              </w:rPr>
              <w:t>Total centers expanded</w:t>
            </w:r>
          </w:p>
        </w:tc>
        <w:tc>
          <w:tcPr>
            <w:tcW w:w="2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107</w:t>
            </w:r>
          </w:p>
        </w:tc>
        <w:tc>
          <w:tcPr>
            <w:tcW w:w="15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(38)</w:t>
            </w:r>
          </w:p>
        </w:tc>
        <w:tc>
          <w:tcPr>
            <w:tcW w:w="14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145</w:t>
            </w:r>
          </w:p>
        </w:tc>
        <w:tc>
          <w:tcPr>
            <w:tcW w:w="0" w:type="dxa"/>
            <w:vAlign w:val="bottom"/>
          </w:tcPr>
          <w:p>
            <w:pPr>
              <w:spacing w:after="0"/>
              <w:rPr>
                <w:sz w:val="1"/>
                <w:szCs w:val="1"/>
                <w:color w:val="auto"/>
              </w:rPr>
            </w:pPr>
          </w:p>
        </w:tc>
      </w:tr>
      <w:tr>
        <w:trPr>
          <w:trHeight w:val="268"/>
        </w:trPr>
        <w:tc>
          <w:tcPr>
            <w:tcW w:w="3440" w:type="dxa"/>
            <w:vAlign w:val="bottom"/>
          </w:tcPr>
          <w:p>
            <w:pPr>
              <w:spacing w:after="0"/>
              <w:rPr>
                <w:sz w:val="20"/>
                <w:szCs w:val="20"/>
                <w:color w:val="auto"/>
              </w:rPr>
            </w:pPr>
            <w:r>
              <w:rPr>
                <w:rFonts w:ascii="Courier New" w:cs="Courier New" w:eastAsia="Courier New" w:hAnsi="Courier New"/>
                <w:sz w:val="12"/>
                <w:szCs w:val="12"/>
                <w:b w:val="1"/>
                <w:bCs w:val="1"/>
                <w:color w:val="auto"/>
              </w:rPr>
              <w:t>Centers acquired:</w:t>
            </w:r>
          </w:p>
        </w:tc>
        <w:tc>
          <w:tcPr>
            <w:tcW w:w="20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440" w:type="dxa"/>
            <w:vAlign w:val="bottom"/>
          </w:tcPr>
          <w:p>
            <w:pPr>
              <w:ind w:left="220"/>
              <w:spacing w:after="0"/>
              <w:rPr>
                <w:sz w:val="20"/>
                <w:szCs w:val="20"/>
                <w:color w:val="auto"/>
              </w:rPr>
            </w:pPr>
            <w:r>
              <w:rPr>
                <w:rFonts w:ascii="Courier New" w:cs="Courier New" w:eastAsia="Courier New" w:hAnsi="Courier New"/>
                <w:sz w:val="12"/>
                <w:szCs w:val="12"/>
                <w:color w:val="auto"/>
              </w:rPr>
              <w:t>Carlsbad Premium Outlets</w:t>
            </w:r>
          </w:p>
        </w:tc>
        <w:tc>
          <w:tcPr>
            <w:tcW w:w="2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288</w:t>
            </w:r>
          </w:p>
        </w:tc>
        <w:tc>
          <w:tcPr>
            <w:tcW w:w="15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288</w:t>
            </w:r>
          </w:p>
        </w:tc>
        <w:tc>
          <w:tcPr>
            <w:tcW w:w="0" w:type="dxa"/>
            <w:vAlign w:val="bottom"/>
          </w:tcPr>
          <w:p>
            <w:pPr>
              <w:spacing w:after="0"/>
              <w:rPr>
                <w:sz w:val="1"/>
                <w:szCs w:val="1"/>
                <w:color w:val="auto"/>
              </w:rPr>
            </w:pPr>
          </w:p>
        </w:tc>
      </w:tr>
      <w:tr>
        <w:trPr>
          <w:trHeight w:val="137"/>
        </w:trPr>
        <w:tc>
          <w:tcPr>
            <w:tcW w:w="3440" w:type="dxa"/>
            <w:vAlign w:val="bottom"/>
          </w:tcPr>
          <w:p>
            <w:pPr>
              <w:spacing w:after="0"/>
              <w:rPr>
                <w:sz w:val="11"/>
                <w:szCs w:val="11"/>
                <w:color w:val="auto"/>
              </w:rPr>
            </w:pPr>
          </w:p>
        </w:tc>
        <w:tc>
          <w:tcPr>
            <w:tcW w:w="20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5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0"/>
                <w:szCs w:val="20"/>
                <w:color w:val="auto"/>
              </w:rPr>
            </w:pPr>
            <w:r>
              <w:rPr>
                <w:rFonts w:ascii="Courier New" w:cs="Courier New" w:eastAsia="Courier New" w:hAnsi="Courier New"/>
                <w:sz w:val="12"/>
                <w:szCs w:val="12"/>
                <w:b w:val="1"/>
                <w:bCs w:val="1"/>
                <w:color w:val="auto"/>
              </w:rPr>
              <w:t>Total centers acquired</w:t>
            </w:r>
          </w:p>
        </w:tc>
        <w:tc>
          <w:tcPr>
            <w:tcW w:w="2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288</w:t>
            </w:r>
          </w:p>
        </w:tc>
        <w:tc>
          <w:tcPr>
            <w:tcW w:w="15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288</w:t>
            </w:r>
          </w:p>
        </w:tc>
        <w:tc>
          <w:tcPr>
            <w:tcW w:w="0" w:type="dxa"/>
            <w:vAlign w:val="bottom"/>
          </w:tcPr>
          <w:p>
            <w:pPr>
              <w:spacing w:after="0"/>
              <w:rPr>
                <w:sz w:val="1"/>
                <w:szCs w:val="1"/>
                <w:color w:val="auto"/>
              </w:rPr>
            </w:pPr>
          </w:p>
        </w:tc>
      </w:tr>
      <w:tr>
        <w:trPr>
          <w:trHeight w:val="268"/>
        </w:trPr>
        <w:tc>
          <w:tcPr>
            <w:tcW w:w="3440" w:type="dxa"/>
            <w:vAlign w:val="bottom"/>
          </w:tcPr>
          <w:p>
            <w:pPr>
              <w:spacing w:after="0"/>
              <w:rPr>
                <w:sz w:val="20"/>
                <w:szCs w:val="20"/>
                <w:color w:val="auto"/>
              </w:rPr>
            </w:pPr>
            <w:r>
              <w:rPr>
                <w:rFonts w:ascii="Courier New" w:cs="Courier New" w:eastAsia="Courier New" w:hAnsi="Courier New"/>
                <w:sz w:val="12"/>
                <w:szCs w:val="12"/>
                <w:b w:val="1"/>
                <w:bCs w:val="1"/>
                <w:color w:val="auto"/>
              </w:rPr>
              <w:t>Centers sold:</w:t>
            </w:r>
          </w:p>
        </w:tc>
        <w:tc>
          <w:tcPr>
            <w:tcW w:w="20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440" w:type="dxa"/>
            <w:vAlign w:val="bottom"/>
          </w:tcPr>
          <w:p>
            <w:pPr>
              <w:ind w:left="220"/>
              <w:spacing w:after="0"/>
              <w:rPr>
                <w:sz w:val="20"/>
                <w:szCs w:val="20"/>
                <w:color w:val="auto"/>
              </w:rPr>
            </w:pPr>
            <w:r>
              <w:rPr>
                <w:rFonts w:ascii="Courier New" w:cs="Courier New" w:eastAsia="Courier New" w:hAnsi="Courier New"/>
                <w:sz w:val="12"/>
                <w:szCs w:val="12"/>
                <w:color w:val="auto"/>
              </w:rPr>
              <w:t>Santa Fe Premium Outlets</w:t>
            </w:r>
          </w:p>
        </w:tc>
        <w:tc>
          <w:tcPr>
            <w:tcW w:w="20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(125)</w:t>
            </w:r>
          </w:p>
        </w:tc>
        <w:tc>
          <w:tcPr>
            <w:tcW w:w="15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2"/>
                <w:szCs w:val="12"/>
                <w:color w:val="auto"/>
              </w:rPr>
              <w:t>(125)</w:t>
            </w:r>
          </w:p>
        </w:tc>
        <w:tc>
          <w:tcPr>
            <w:tcW w:w="0" w:type="dxa"/>
            <w:vAlign w:val="bottom"/>
          </w:tcPr>
          <w:p>
            <w:pPr>
              <w:spacing w:after="0"/>
              <w:rPr>
                <w:sz w:val="1"/>
                <w:szCs w:val="1"/>
                <w:color w:val="auto"/>
              </w:rPr>
            </w:pPr>
          </w:p>
        </w:tc>
      </w:tr>
      <w:tr>
        <w:trPr>
          <w:trHeight w:val="135"/>
        </w:trPr>
        <w:tc>
          <w:tcPr>
            <w:tcW w:w="3440" w:type="dxa"/>
            <w:vAlign w:val="bottom"/>
          </w:tcPr>
          <w:p>
            <w:pPr>
              <w:ind w:left="220"/>
              <w:spacing w:after="0"/>
              <w:rPr>
                <w:sz w:val="20"/>
                <w:szCs w:val="20"/>
                <w:color w:val="auto"/>
              </w:rPr>
            </w:pPr>
            <w:r>
              <w:rPr>
                <w:rFonts w:ascii="Courier New" w:cs="Courier New" w:eastAsia="Courier New" w:hAnsi="Courier New"/>
                <w:sz w:val="12"/>
                <w:szCs w:val="12"/>
                <w:color w:val="auto"/>
              </w:rPr>
              <w:t>Other Retail (1)</w:t>
            </w:r>
          </w:p>
        </w:tc>
        <w:tc>
          <w:tcPr>
            <w:tcW w:w="20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(383)</w:t>
            </w:r>
          </w:p>
        </w:tc>
        <w:tc>
          <w:tcPr>
            <w:tcW w:w="15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(319)</w:t>
            </w:r>
          </w:p>
        </w:tc>
        <w:tc>
          <w:tcPr>
            <w:tcW w:w="1420" w:type="dxa"/>
            <w:vAlign w:val="bottom"/>
          </w:tcPr>
          <w:p>
            <w:pPr>
              <w:jc w:val="right"/>
              <w:spacing w:after="0"/>
              <w:rPr>
                <w:sz w:val="20"/>
                <w:szCs w:val="20"/>
                <w:color w:val="auto"/>
              </w:rPr>
            </w:pPr>
            <w:r>
              <w:rPr>
                <w:rFonts w:ascii="Courier New" w:cs="Courier New" w:eastAsia="Courier New" w:hAnsi="Courier New"/>
                <w:sz w:val="12"/>
                <w:szCs w:val="12"/>
                <w:color w:val="auto"/>
              </w:rPr>
              <w:t>(64)</w:t>
            </w:r>
          </w:p>
        </w:tc>
        <w:tc>
          <w:tcPr>
            <w:tcW w:w="0" w:type="dxa"/>
            <w:vAlign w:val="bottom"/>
          </w:tcPr>
          <w:p>
            <w:pPr>
              <w:spacing w:after="0"/>
              <w:rPr>
                <w:sz w:val="1"/>
                <w:szCs w:val="1"/>
                <w:color w:val="auto"/>
              </w:rPr>
            </w:pPr>
          </w:p>
        </w:tc>
      </w:tr>
      <w:tr>
        <w:trPr>
          <w:trHeight w:val="137"/>
        </w:trPr>
        <w:tc>
          <w:tcPr>
            <w:tcW w:w="3440" w:type="dxa"/>
            <w:vAlign w:val="bottom"/>
          </w:tcPr>
          <w:p>
            <w:pPr>
              <w:spacing w:after="0"/>
              <w:rPr>
                <w:sz w:val="11"/>
                <w:szCs w:val="11"/>
                <w:color w:val="auto"/>
              </w:rPr>
            </w:pPr>
          </w:p>
        </w:tc>
        <w:tc>
          <w:tcPr>
            <w:tcW w:w="20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5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0"/>
                <w:szCs w:val="20"/>
                <w:color w:val="auto"/>
              </w:rPr>
            </w:pPr>
            <w:r>
              <w:rPr>
                <w:rFonts w:ascii="Courier New" w:cs="Courier New" w:eastAsia="Courier New" w:hAnsi="Courier New"/>
                <w:sz w:val="12"/>
                <w:szCs w:val="12"/>
                <w:b w:val="1"/>
                <w:bCs w:val="1"/>
                <w:color w:val="auto"/>
              </w:rPr>
              <w:t>Total centers sold</w:t>
            </w:r>
          </w:p>
        </w:tc>
        <w:tc>
          <w:tcPr>
            <w:tcW w:w="20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(508)</w:t>
            </w:r>
          </w:p>
        </w:tc>
        <w:tc>
          <w:tcPr>
            <w:tcW w:w="15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(319)</w:t>
            </w:r>
          </w:p>
        </w:tc>
        <w:tc>
          <w:tcPr>
            <w:tcW w:w="1420" w:type="dxa"/>
            <w:vAlign w:val="bottom"/>
          </w:tcPr>
          <w:p>
            <w:pPr>
              <w:jc w:val="right"/>
              <w:spacing w:after="0"/>
              <w:rPr>
                <w:sz w:val="20"/>
                <w:szCs w:val="20"/>
                <w:color w:val="auto"/>
              </w:rPr>
            </w:pPr>
            <w:r>
              <w:rPr>
                <w:rFonts w:ascii="Courier New" w:cs="Courier New" w:eastAsia="Courier New" w:hAnsi="Courier New"/>
                <w:sz w:val="12"/>
                <w:szCs w:val="12"/>
                <w:color w:val="auto"/>
              </w:rPr>
              <w:t>(189)</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0"/>
                <w:szCs w:val="20"/>
                <w:color w:val="auto"/>
              </w:rPr>
            </w:pPr>
            <w:r>
              <w:rPr>
                <w:rFonts w:ascii="Courier New" w:cs="Courier New" w:eastAsia="Courier New" w:hAnsi="Courier New"/>
                <w:sz w:val="12"/>
                <w:szCs w:val="12"/>
                <w:b w:val="1"/>
                <w:bCs w:val="1"/>
                <w:color w:val="auto"/>
              </w:rPr>
              <w:t>Net GLA added during the period</w:t>
            </w:r>
          </w:p>
        </w:tc>
        <w:tc>
          <w:tcPr>
            <w:tcW w:w="2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678</w:t>
            </w:r>
          </w:p>
        </w:tc>
        <w:tc>
          <w:tcPr>
            <w:tcW w:w="15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202</w:t>
            </w:r>
          </w:p>
        </w:tc>
        <w:tc>
          <w:tcPr>
            <w:tcW w:w="14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476</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0"/>
                <w:szCs w:val="20"/>
                <w:color w:val="auto"/>
              </w:rPr>
            </w:pPr>
            <w:r>
              <w:rPr>
                <w:rFonts w:ascii="Courier New" w:cs="Courier New" w:eastAsia="Courier New" w:hAnsi="Courier New"/>
                <w:sz w:val="12"/>
                <w:szCs w:val="12"/>
                <w:b w:val="1"/>
                <w:bCs w:val="1"/>
                <w:color w:val="auto"/>
              </w:rPr>
              <w:t>GLA at the end of period</w:t>
            </w:r>
          </w:p>
        </w:tc>
        <w:tc>
          <w:tcPr>
            <w:tcW w:w="2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17,277</w:t>
            </w:r>
          </w:p>
        </w:tc>
        <w:tc>
          <w:tcPr>
            <w:tcW w:w="15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17,277</w:t>
            </w:r>
          </w:p>
        </w:tc>
        <w:tc>
          <w:tcPr>
            <w:tcW w:w="14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17,075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(1) Includes Lakeland Factory Outlet Mall and Factory Stores of America; Hempstead.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Comparison of the three months ended June 30, 2005 with the three months ended June 30, 2004.</w:t>
      </w:r>
    </w:p>
    <w:p>
      <w:pPr>
        <w:spacing w:after="0" w:line="206" w:lineRule="exact"/>
        <w:rPr>
          <w:sz w:val="20"/>
          <w:szCs w:val="20"/>
          <w:color w:val="auto"/>
        </w:rPr>
      </w:pPr>
    </w:p>
    <w:p>
      <w:pPr>
        <w:jc w:val="both"/>
        <w:ind w:right="380"/>
        <w:spacing w:after="0" w:line="287" w:lineRule="auto"/>
        <w:rPr>
          <w:sz w:val="20"/>
          <w:szCs w:val="20"/>
          <w:color w:val="auto"/>
        </w:rPr>
      </w:pPr>
      <w:r>
        <w:rPr>
          <w:rFonts w:ascii="Arial" w:cs="Arial" w:eastAsia="Arial" w:hAnsi="Arial"/>
          <w:sz w:val="19"/>
          <w:szCs w:val="19"/>
          <w:color w:val="auto"/>
        </w:rPr>
        <w:t>Net income available to common unitholders for the three months ended June 30, 2005 was $43.2 million, an increase of $11.2 million, or 34.9%, from $32.0 million in 2004. This increase resulted from the acquisition, development and expansion of three wholly owned centers as well as higher rents from releasing and renewals. Higher operating and maintenance, depreciation and amortization as well as interest expense due to the growth of the portfolio offset these increases.</w:t>
      </w:r>
    </w:p>
    <w:p>
      <w:pPr>
        <w:spacing w:after="0" w:line="143" w:lineRule="exact"/>
        <w:rPr>
          <w:sz w:val="20"/>
          <w:szCs w:val="20"/>
          <w:color w:val="auto"/>
        </w:rPr>
      </w:pPr>
    </w:p>
    <w:p>
      <w:pPr>
        <w:ind w:right="180"/>
        <w:spacing w:after="0" w:line="328" w:lineRule="auto"/>
        <w:rPr>
          <w:sz w:val="20"/>
          <w:szCs w:val="20"/>
          <w:color w:val="auto"/>
        </w:rPr>
      </w:pPr>
      <w:r>
        <w:rPr>
          <w:rFonts w:ascii="Arial" w:cs="Arial" w:eastAsia="Arial" w:hAnsi="Arial"/>
          <w:sz w:val="19"/>
          <w:szCs w:val="19"/>
          <w:color w:val="auto"/>
        </w:rPr>
        <w:t>Base rentals improved by $7.3 million or 11.0% to $74.0 million in 2005 from $66.7 million in 2004, primarily due to acquisition and development, higher average rents on releasing and renewals as well as the expansion of a center in late 2004.</w:t>
      </w:r>
    </w:p>
    <w:p>
      <w:pPr>
        <w:spacing w:after="0" w:line="105"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Percentage rents rose $1.9 million, or 34.4%, to $7.6 million in 2005 from $5.7 million in 2004, primarily from improved tenant sales.</w:t>
      </w:r>
    </w:p>
    <w:p>
      <w:pPr>
        <w:spacing w:after="0" w:line="173" w:lineRule="exact"/>
        <w:rPr>
          <w:sz w:val="20"/>
          <w:szCs w:val="20"/>
          <w:color w:val="auto"/>
        </w:rPr>
      </w:pPr>
    </w:p>
    <w:p>
      <w:pPr>
        <w:ind w:right="80"/>
        <w:spacing w:after="0" w:line="252" w:lineRule="auto"/>
        <w:rPr>
          <w:sz w:val="20"/>
          <w:szCs w:val="20"/>
          <w:color w:val="auto"/>
        </w:rPr>
      </w:pPr>
      <w:r>
        <w:rPr>
          <w:rFonts w:ascii="Arial" w:cs="Arial" w:eastAsia="Arial" w:hAnsi="Arial"/>
          <w:sz w:val="21"/>
          <w:szCs w:val="21"/>
          <w:color w:val="auto"/>
        </w:rPr>
        <w:t>Expense reimbursements, representing contractual recoveries from tenants of certain common area maintenance, operating, real estate tax and promotional and management expenses, increased $1.7 million, or 7.9% to $23.4 million in 2005 from $21.7 million in 2004, due to the recovery of operating and maintenance costs from increased GLA. The average recovery of reimbursable expenses for the Domestic Outlets improved to 91% in 2005 from 89% in 2004.</w:t>
      </w:r>
    </w:p>
    <w:p>
      <w:pPr>
        <w:spacing w:after="0" w:line="174"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Other income increased $0.9 million or 37.5% to $3.3 million in 2005, from $2.4 million in 2004. Improved ancillary operating and interest income primarily drove the increase.</w:t>
      </w:r>
    </w:p>
    <w:p>
      <w:pPr>
        <w:spacing w:after="0" w:line="173" w:lineRule="exact"/>
        <w:rPr>
          <w:sz w:val="20"/>
          <w:szCs w:val="20"/>
          <w:color w:val="auto"/>
        </w:rPr>
      </w:pPr>
    </w:p>
    <w:p>
      <w:pPr>
        <w:ind w:right="800"/>
        <w:spacing w:after="0" w:line="251" w:lineRule="auto"/>
        <w:rPr>
          <w:sz w:val="20"/>
          <w:szCs w:val="20"/>
          <w:color w:val="auto"/>
        </w:rPr>
      </w:pPr>
      <w:r>
        <w:rPr>
          <w:rFonts w:ascii="Arial" w:cs="Arial" w:eastAsia="Arial" w:hAnsi="Arial"/>
          <w:sz w:val="22"/>
          <w:szCs w:val="22"/>
          <w:color w:val="auto"/>
        </w:rPr>
        <w:t>Operating and maintenance expenses increased $1.3 million, or 5.3%, to $26.9 million in 2005 from $25.6 million in 2004 primarily due to higher property taxes, promotional expenses and growth of the portfolio.</w:t>
      </w:r>
    </w:p>
    <w:p>
      <w:pPr>
        <w:spacing w:after="0" w:line="173"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Depreciation and amortization expense was up $1.5 million, or 8.2%, to $19.3 million in 2005 from $17.8 million in 2004 due to increased depreciation primarily from the acquisition and expansion of two centers in 2004.</w:t>
      </w:r>
    </w:p>
    <w:p>
      <w:pPr>
        <w:spacing w:after="0" w:line="173"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General and administrative expense decreased $0.9 million, or 22.6%, to $3.2 million in 2005 from $4.1 million in 2004, primarily due to lower deferred compensation expense, public company and professional costs.</w:t>
      </w:r>
    </w:p>
    <w:p>
      <w:pPr>
        <w:spacing w:after="0" w:line="173"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Other expenses increased $1.2 million, or 185.6%, to $1.8 million in 2005 from $0.6 million in 2004, substantially from Chelsea Interactive’s contribution to earnings of $1.0 million in 2004.</w:t>
      </w:r>
    </w:p>
    <w:p>
      <w:pPr>
        <w:spacing w:after="0" w:line="173"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Income from unconsolidated investments was up $2.0 million, or 37.3%, to $7.3 million in 2005 from $5.3 million in 2004 due to the openings of Chicago Premium Outlets in May 2004 and Toki Premium Outlets in March 2005 and the expansions of Sano Premium Outlets and Rinku Premium Outlets in July and December 2004, respectively.</w:t>
      </w:r>
    </w:p>
    <w:p>
      <w:pPr>
        <w:spacing w:after="0" w:line="18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Interest expense increased $1.8 million, or 9.5%, to $21.1 million in 2005, from $19.3 million in 2004 due to higher debt that financed acquisitions and development.</w:t>
      </w:r>
    </w:p>
    <w:p>
      <w:pPr>
        <w:sectPr>
          <w:pgSz w:w="11900" w:h="16838" w:orient="portrait"/>
          <w:cols w:equalWidth="0" w:num="1">
            <w:col w:w="11400"/>
          </w:cols>
          <w:pgMar w:left="240" w:top="118" w:right="259" w:bottom="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5932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9320" cy="20955"/>
                    </a:xfrm>
                    <a:prstGeom prst="rect">
                      <a:avLst/>
                    </a:prstGeom>
                    <a:noFill/>
                  </pic:spPr>
                </pic:pic>
              </a:graphicData>
            </a:graphic>
          </wp:anchor>
        </w:drawing>
        <w:t>Results of Operations (continued)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Comparison of the six months ended June 30, 2005 with the six months ended June 30, 2004.</w:t>
      </w:r>
    </w:p>
    <w:p>
      <w:pPr>
        <w:spacing w:after="0" w:line="206"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Net income available to common unitholders for the six months ended June 30, 2005 was $81.8 million, an increase of $21.5 million, or 35.6%, from $60.3 million in 2004. This increase resulted from the development of one wholly owned center in 2005 as well as the acquisition and expansion of two wholly owned centers in 2004, higher rents from releasing and renewals, offset by higher operating and maintenance, depreciation and amortization as well as interest expense due to the growth of the portfolio.</w:t>
      </w:r>
    </w:p>
    <w:p>
      <w:pPr>
        <w:spacing w:after="0" w:line="143" w:lineRule="exact"/>
        <w:rPr>
          <w:sz w:val="20"/>
          <w:szCs w:val="20"/>
          <w:color w:val="auto"/>
        </w:rPr>
      </w:pPr>
    </w:p>
    <w:p>
      <w:pPr>
        <w:ind w:right="460"/>
        <w:spacing w:after="0" w:line="274" w:lineRule="auto"/>
        <w:rPr>
          <w:sz w:val="20"/>
          <w:szCs w:val="20"/>
          <w:color w:val="auto"/>
        </w:rPr>
      </w:pPr>
      <w:r>
        <w:rPr>
          <w:rFonts w:ascii="Arial" w:cs="Arial" w:eastAsia="Arial" w:hAnsi="Arial"/>
          <w:sz w:val="21"/>
          <w:szCs w:val="21"/>
          <w:color w:val="auto"/>
        </w:rPr>
        <w:t>Base rentals improved by $13.2 million, or 10.0% to $145.3 million, in 2005 from $132.1 million in 2004, primarily due to the acquisition, development and expansion of centers and higher average rents on releasing and renewals.</w:t>
      </w:r>
    </w:p>
    <w:p>
      <w:pPr>
        <w:spacing w:after="0" w:line="151"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Percentage rents rose $2.5 million, or 23.4%, to $12.9 million in 2005 from $10.4 million in 2004, primarily from improved tenant sales.</w:t>
      </w:r>
    </w:p>
    <w:p>
      <w:pPr>
        <w:spacing w:after="0" w:line="173" w:lineRule="exact"/>
        <w:rPr>
          <w:sz w:val="20"/>
          <w:szCs w:val="20"/>
          <w:color w:val="auto"/>
        </w:rPr>
      </w:pPr>
    </w:p>
    <w:p>
      <w:pPr>
        <w:ind w:right="100"/>
        <w:spacing w:after="0" w:line="252" w:lineRule="auto"/>
        <w:rPr>
          <w:sz w:val="20"/>
          <w:szCs w:val="20"/>
          <w:color w:val="auto"/>
        </w:rPr>
      </w:pPr>
      <w:r>
        <w:rPr>
          <w:rFonts w:ascii="Arial" w:cs="Arial" w:eastAsia="Arial" w:hAnsi="Arial"/>
          <w:sz w:val="21"/>
          <w:szCs w:val="21"/>
          <w:color w:val="auto"/>
        </w:rPr>
        <w:t>Expense reimbursements, representing contractual recoveries from tenants of certain common area maintenance, operating, real estate tax and promotional and management expenses, increased $3.4 million, or 7.9% to $45.7 million in 2005 from $42.3 million in 2004, due to the recovery of operating and maintenance costs from increased GLA. The average recovery of reimbursable expenses for the Domestic Outlets improved to 91% in 2005 from 88% in 2004.</w:t>
      </w:r>
    </w:p>
    <w:p>
      <w:pPr>
        <w:spacing w:after="0" w:line="174" w:lineRule="exact"/>
        <w:rPr>
          <w:sz w:val="20"/>
          <w:szCs w:val="20"/>
          <w:color w:val="auto"/>
        </w:rPr>
      </w:pPr>
    </w:p>
    <w:p>
      <w:pPr>
        <w:ind w:right="560"/>
        <w:spacing w:after="0" w:line="274" w:lineRule="auto"/>
        <w:rPr>
          <w:sz w:val="20"/>
          <w:szCs w:val="20"/>
          <w:color w:val="auto"/>
        </w:rPr>
      </w:pPr>
      <w:r>
        <w:rPr>
          <w:rFonts w:ascii="Arial" w:cs="Arial" w:eastAsia="Arial" w:hAnsi="Arial"/>
          <w:sz w:val="21"/>
          <w:szCs w:val="21"/>
          <w:color w:val="auto"/>
        </w:rPr>
        <w:t>Other income increased $2.9 million or 66.8% to $7.2 million in 2005, from $4.3 million in 2004. The increase was primarily driven by improved ancillary operating income, interest income and a sale of a non-core property in 2005.</w:t>
      </w:r>
    </w:p>
    <w:p>
      <w:pPr>
        <w:spacing w:after="0" w:line="151" w:lineRule="exact"/>
        <w:rPr>
          <w:sz w:val="20"/>
          <w:szCs w:val="20"/>
          <w:color w:val="auto"/>
        </w:rPr>
      </w:pPr>
    </w:p>
    <w:p>
      <w:pPr>
        <w:ind w:right="820"/>
        <w:spacing w:after="0" w:line="251" w:lineRule="auto"/>
        <w:rPr>
          <w:sz w:val="20"/>
          <w:szCs w:val="20"/>
          <w:color w:val="auto"/>
        </w:rPr>
      </w:pPr>
      <w:r>
        <w:rPr>
          <w:rFonts w:ascii="Arial" w:cs="Arial" w:eastAsia="Arial" w:hAnsi="Arial"/>
          <w:sz w:val="22"/>
          <w:szCs w:val="22"/>
          <w:color w:val="auto"/>
        </w:rPr>
        <w:t>Operating and maintenance expenses increased $2.4 million, or 4.8%, to $53.0 million in 2005 from $50.5 million in 2004 primarily due to the growth of the portfolio, higher property taxes and promotional expenses.</w:t>
      </w:r>
    </w:p>
    <w:p>
      <w:pPr>
        <w:spacing w:after="0" w:line="17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Depreciation and amortization expense was up $2.7 million, or 7.7%, to $38.2 million in 2005 from $35.5 million in 2004 primarily due to increased depreciation from the acquisition of one center in 2004.</w:t>
      </w:r>
    </w:p>
    <w:p>
      <w:pPr>
        <w:spacing w:after="0" w:line="173"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General and administrative expense decreased $1.6 million, or 20.5%, to $6.1 million in 2005 from $7.7 million in 2004, primarily due to lower deferred compensation expense, public company and professional costs.</w:t>
      </w:r>
    </w:p>
    <w:p>
      <w:pPr>
        <w:spacing w:after="0" w:line="173" w:lineRule="exact"/>
        <w:rPr>
          <w:sz w:val="20"/>
          <w:szCs w:val="20"/>
          <w:color w:val="auto"/>
        </w:rPr>
      </w:pPr>
    </w:p>
    <w:p>
      <w:pPr>
        <w:ind w:right="320"/>
        <w:spacing w:after="0" w:line="274" w:lineRule="auto"/>
        <w:rPr>
          <w:sz w:val="20"/>
          <w:szCs w:val="20"/>
          <w:color w:val="auto"/>
        </w:rPr>
      </w:pPr>
      <w:r>
        <w:rPr>
          <w:rFonts w:ascii="Arial" w:cs="Arial" w:eastAsia="Arial" w:hAnsi="Arial"/>
          <w:sz w:val="21"/>
          <w:szCs w:val="21"/>
          <w:color w:val="auto"/>
        </w:rPr>
        <w:t>Other expenses increased $0.3 million, or 12.1%, to $3.4 million in 2005 from $3.1 million in 2004, due to Chelsea Interactive’s contribution to earnings of $1.0 million, offset by impairment losses on two non-core centers sold in 2004.</w:t>
      </w:r>
    </w:p>
    <w:p>
      <w:pPr>
        <w:spacing w:after="0" w:line="151" w:lineRule="exact"/>
        <w:rPr>
          <w:sz w:val="20"/>
          <w:szCs w:val="20"/>
          <w:color w:val="auto"/>
        </w:rPr>
      </w:pPr>
    </w:p>
    <w:p>
      <w:pPr>
        <w:ind w:right="200"/>
        <w:spacing w:after="0" w:line="297" w:lineRule="auto"/>
        <w:rPr>
          <w:sz w:val="20"/>
          <w:szCs w:val="20"/>
          <w:color w:val="auto"/>
        </w:rPr>
      </w:pPr>
      <w:r>
        <w:rPr>
          <w:rFonts w:ascii="Arial" w:cs="Arial" w:eastAsia="Arial" w:hAnsi="Arial"/>
          <w:sz w:val="19"/>
          <w:szCs w:val="19"/>
          <w:color w:val="auto"/>
        </w:rPr>
        <w:t>Income from unconsolidated investments was up $3.0 million, or 29.0%, to $13.3 million in 2005 from $10.3 million in 2004 due to the openings of Chicago Premium Outlets in May 2004 and Toki Premium Outlets in March 2005, the expansions of Sano Premium Outlets and Rinku Premium Outlets in 2004, offset by a pad sale in 2004 at Chicago Premium Outlets.</w:t>
      </w:r>
    </w:p>
    <w:p>
      <w:pPr>
        <w:spacing w:after="0" w:line="134"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Interest expense increased $4.0 million, or 10.5%, to $41.9 million in 2005, from $37.9 million in 2004 due to higher debt that financed acquisitions and development.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100"/>
        <w:spacing w:after="0" w:line="275" w:lineRule="auto"/>
        <w:rPr>
          <w:sz w:val="20"/>
          <w:szCs w:val="20"/>
          <w:color w:val="auto"/>
        </w:rPr>
      </w:pPr>
      <w:r>
        <w:rPr>
          <w:rFonts w:ascii="Arial" w:cs="Arial" w:eastAsia="Arial" w:hAnsi="Arial"/>
          <w:sz w:val="19"/>
          <w:szCs w:val="19"/>
          <w:color w:val="auto"/>
        </w:rPr>
        <w:t>The OP believes it has adequate financial resources to fund operating expenses, distributions, and planned development, construction and acquisition activities over the short term, which is less than 12 months and the long term, which is 12 months or more. Operating cash flow for the year ended December 31, 2004 of $182.2 million is expected to increase in 2005 with scheduled new openings of approximately 730,000 square feet of GLA as well as a full year of operations from the development, acquisition and expansion of five joint venture centers and two wholly-owned centers, which added 900,000 square feet of GLA during 2004. As of June 30, 2005, the OP has commitments of $16.9 million for active domestic development projects. The OP has adequate funding sources to complete these projects from available cash, loans from Simon and secured construction financing. In conjunction with the Simon/Chelsea merger, the OP has access to capital funding through Simon’s $2.0 billion credit facility.</w:t>
      </w:r>
    </w:p>
    <w:p>
      <w:pPr>
        <w:spacing w:after="0" w:line="158"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Operating cash flow is expected to provide sufficient funds for distributions in accordance with the Company’s REIT federal income tax requirements. In addition, the OP anticipates retaining sufficient operating cash to fund re-tenanting and lease renewal, tenant improvement costs, as well as capital expenditures to maintain the quality of its centers and partially fund development projects.</w:t>
      </w:r>
    </w:p>
    <w:p>
      <w:pPr>
        <w:spacing w:after="0" w:line="185"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On March 31, 2005, the OP’s wholly-owned equity investee in Chelsea Japan repaid and extinguished its 4 billion yen credit facility, which was scheduled to expire on April 1, 2005, through borrowings from Simon. The OP’s wholly-owned equity investee entered into a 4 billion yen credit facility with Simon expiring January 2008 which will be funded through Simon’s yen denominated facility, also expiring January 2008. Interest is payable monthly and is currently at yen LIBOR plus 0.55% per annum, but the interest rate may adjust depending on Simon’s credit rating.</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 summary of the maturity of the OP’s contractual debt (at par) as of June 30, 2005, is as follows (in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Less than</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2 to 3</w:t>
            </w:r>
          </w:p>
        </w:tc>
        <w:tc>
          <w:tcPr>
            <w:tcW w:w="1180" w:type="dxa"/>
            <w:vAlign w:val="bottom"/>
          </w:tcPr>
          <w:p>
            <w:pPr>
              <w:jc w:val="right"/>
              <w:ind w:right="319"/>
              <w:spacing w:after="0"/>
              <w:rPr>
                <w:sz w:val="20"/>
                <w:szCs w:val="20"/>
                <w:color w:val="auto"/>
              </w:rPr>
            </w:pPr>
            <w:r>
              <w:rPr>
                <w:rFonts w:ascii="Courier New" w:cs="Courier New" w:eastAsia="Courier New" w:hAnsi="Courier New"/>
                <w:sz w:val="12"/>
                <w:szCs w:val="12"/>
                <w:b w:val="1"/>
                <w:bCs w:val="1"/>
                <w:color w:val="auto"/>
              </w:rPr>
              <w:t>4 to 5</w:t>
            </w:r>
          </w:p>
        </w:tc>
        <w:tc>
          <w:tcPr>
            <w:tcW w:w="10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More than</w:t>
            </w:r>
          </w:p>
        </w:tc>
      </w:tr>
      <w:tr>
        <w:trPr>
          <w:trHeight w:val="135"/>
        </w:trPr>
        <w:tc>
          <w:tcPr>
            <w:tcW w:w="2200" w:type="dxa"/>
            <w:vAlign w:val="bottom"/>
          </w:tcPr>
          <w:p>
            <w:pPr>
              <w:spacing w:after="0"/>
              <w:rPr>
                <w:sz w:val="11"/>
                <w:szCs w:val="11"/>
                <w:color w:val="auto"/>
              </w:rPr>
            </w:pPr>
          </w:p>
        </w:tc>
        <w:tc>
          <w:tcPr>
            <w:tcW w:w="1700" w:type="dxa"/>
            <w:vAlign w:val="bottom"/>
          </w:tcPr>
          <w:p>
            <w:pPr>
              <w:jc w:val="right"/>
              <w:ind w:right="179"/>
              <w:spacing w:after="0"/>
              <w:rPr>
                <w:sz w:val="20"/>
                <w:szCs w:val="20"/>
                <w:color w:val="auto"/>
              </w:rPr>
            </w:pPr>
            <w:r>
              <w:rPr>
                <w:rFonts w:ascii="Courier New" w:cs="Courier New" w:eastAsia="Courier New" w:hAnsi="Courier New"/>
                <w:sz w:val="12"/>
                <w:szCs w:val="12"/>
                <w:b w:val="1"/>
                <w:bCs w:val="1"/>
                <w:color w:val="auto"/>
              </w:rPr>
              <w:t>Total</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1 Year</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Years</w:t>
            </w:r>
          </w:p>
        </w:tc>
        <w:tc>
          <w:tcPr>
            <w:tcW w:w="118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Years</w:t>
            </w:r>
          </w:p>
        </w:tc>
        <w:tc>
          <w:tcPr>
            <w:tcW w:w="10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5 Years</w:t>
            </w:r>
          </w:p>
        </w:tc>
      </w:tr>
      <w:tr>
        <w:trPr>
          <w:trHeight w:val="135"/>
        </w:trPr>
        <w:tc>
          <w:tcPr>
            <w:tcW w:w="2200" w:type="dxa"/>
            <w:vAlign w:val="bottom"/>
          </w:tcPr>
          <w:p>
            <w:pPr>
              <w:spacing w:after="0"/>
              <w:rPr>
                <w:sz w:val="11"/>
                <w:szCs w:val="11"/>
                <w:color w:val="auto"/>
              </w:rPr>
            </w:pPr>
          </w:p>
        </w:tc>
        <w:tc>
          <w:tcPr>
            <w:tcW w:w="17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2200" w:type="dxa"/>
            <w:vAlign w:val="bottom"/>
          </w:tcPr>
          <w:p>
            <w:pPr>
              <w:spacing w:after="0"/>
              <w:rPr>
                <w:sz w:val="20"/>
                <w:szCs w:val="20"/>
                <w:color w:val="auto"/>
              </w:rPr>
            </w:pPr>
            <w:r>
              <w:rPr>
                <w:rFonts w:ascii="Courier New" w:cs="Courier New" w:eastAsia="Courier New" w:hAnsi="Courier New"/>
                <w:sz w:val="12"/>
                <w:szCs w:val="12"/>
                <w:color w:val="auto"/>
              </w:rPr>
              <w:t>Unsecured bank debt</w:t>
            </w:r>
          </w:p>
        </w:tc>
        <w:tc>
          <w:tcPr>
            <w:tcW w:w="17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   59,975</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  1,800</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  3,600</w:t>
            </w:r>
          </w:p>
        </w:tc>
        <w:tc>
          <w:tcPr>
            <w:tcW w:w="11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  3,600</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$ 50,975</w:t>
            </w:r>
          </w:p>
        </w:tc>
      </w:tr>
    </w:tbl>
    <w:p>
      <w:pPr>
        <w:sectPr>
          <w:pgSz w:w="11900" w:h="16838" w:orient="portrait"/>
          <w:cols w:equalWidth="0" w:num="1">
            <w:col w:w="11420"/>
          </w:cols>
          <w:pgMar w:left="240" w:top="342" w:right="2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420" w:type="dxa"/>
            <w:vAlign w:val="bottom"/>
          </w:tcPr>
          <w:p>
            <w:pPr>
              <w:spacing w:after="0"/>
              <w:rPr>
                <w:sz w:val="20"/>
                <w:szCs w:val="20"/>
                <w:color w:val="auto"/>
              </w:rPr>
            </w:pPr>
            <w:r>
              <w:rPr>
                <w:rFonts w:ascii="Courier New" w:cs="Courier New" w:eastAsia="Courier New" w:hAnsi="Courier New"/>
                <w:sz w:val="12"/>
                <w:szCs w:val="12"/>
                <w:color w:val="auto"/>
              </w:rPr>
              <w:t>Notes payable-related party</w:t>
            </w:r>
          </w:p>
        </w:tc>
        <w:tc>
          <w:tcPr>
            <w:tcW w:w="14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317,570</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300,830</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16,740</w:t>
            </w:r>
          </w:p>
        </w:tc>
        <w:tc>
          <w:tcPr>
            <w:tcW w:w="11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Unsecured notes</w:t>
            </w:r>
          </w:p>
        </w:tc>
        <w:tc>
          <w:tcPr>
            <w:tcW w:w="14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725,000</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50,000</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125,000</w:t>
            </w:r>
          </w:p>
        </w:tc>
        <w:tc>
          <w:tcPr>
            <w:tcW w:w="11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150,000</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400,000</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Mortgage debt</w:t>
            </w:r>
          </w:p>
        </w:tc>
        <w:tc>
          <w:tcPr>
            <w:tcW w:w="14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303,396</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7,738</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17,240</w:t>
            </w:r>
          </w:p>
        </w:tc>
        <w:tc>
          <w:tcPr>
            <w:tcW w:w="11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158,823</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119,595</w:t>
            </w:r>
          </w:p>
        </w:tc>
      </w:tr>
      <w:tr>
        <w:trPr>
          <w:trHeight w:val="135"/>
        </w:trPr>
        <w:tc>
          <w:tcPr>
            <w:tcW w:w="2420" w:type="dxa"/>
            <w:vAlign w:val="bottom"/>
          </w:tcPr>
          <w:p>
            <w:pPr>
              <w:spacing w:after="0"/>
              <w:rPr>
                <w:sz w:val="11"/>
                <w:szCs w:val="11"/>
                <w:color w:val="auto"/>
              </w:rPr>
            </w:pPr>
          </w:p>
        </w:tc>
        <w:tc>
          <w:tcPr>
            <w:tcW w:w="14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420" w:type="dxa"/>
            <w:vAlign w:val="bottom"/>
          </w:tcPr>
          <w:p>
            <w:pPr>
              <w:ind w:left="220"/>
              <w:spacing w:after="0"/>
              <w:rPr>
                <w:sz w:val="20"/>
                <w:szCs w:val="20"/>
                <w:color w:val="auto"/>
              </w:rPr>
            </w:pPr>
            <w:r>
              <w:rPr>
                <w:rFonts w:ascii="Courier New" w:cs="Courier New" w:eastAsia="Courier New" w:hAnsi="Courier New"/>
                <w:sz w:val="12"/>
                <w:szCs w:val="12"/>
                <w:b w:val="1"/>
                <w:bCs w:val="1"/>
                <w:color w:val="auto"/>
              </w:rPr>
              <w:t>Total debt</w:t>
            </w:r>
          </w:p>
        </w:tc>
        <w:tc>
          <w:tcPr>
            <w:tcW w:w="148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1,405,941</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360,368</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162,580</w:t>
            </w:r>
          </w:p>
        </w:tc>
        <w:tc>
          <w:tcPr>
            <w:tcW w:w="118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312,423</w:t>
            </w:r>
          </w:p>
        </w:tc>
        <w:tc>
          <w:tcPr>
            <w:tcW w:w="10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570,570</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Ground and operating leases</w:t>
            </w:r>
          </w:p>
        </w:tc>
        <w:tc>
          <w:tcPr>
            <w:tcW w:w="14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72,651</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3,050</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6,365</w:t>
            </w:r>
          </w:p>
        </w:tc>
        <w:tc>
          <w:tcPr>
            <w:tcW w:w="11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6,203</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57,033</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Real estate commitments</w:t>
            </w:r>
          </w:p>
        </w:tc>
        <w:tc>
          <w:tcPr>
            <w:tcW w:w="14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16,878</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16,878</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Deferred compensation</w:t>
            </w:r>
          </w:p>
        </w:tc>
        <w:tc>
          <w:tcPr>
            <w:tcW w:w="14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28,904</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21,104</w:t>
            </w:r>
          </w:p>
        </w:tc>
        <w:tc>
          <w:tcPr>
            <w:tcW w:w="11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7,800</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420" w:type="dxa"/>
            <w:vAlign w:val="bottom"/>
          </w:tcPr>
          <w:p>
            <w:pPr>
              <w:spacing w:after="0"/>
              <w:rPr>
                <w:sz w:val="11"/>
                <w:szCs w:val="11"/>
                <w:color w:val="auto"/>
              </w:rPr>
            </w:pPr>
          </w:p>
        </w:tc>
        <w:tc>
          <w:tcPr>
            <w:tcW w:w="14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b w:val="1"/>
                <w:bCs w:val="1"/>
                <w:color w:val="auto"/>
              </w:rPr>
              <w:t>Total Obligations</w:t>
            </w:r>
          </w:p>
        </w:tc>
        <w:tc>
          <w:tcPr>
            <w:tcW w:w="148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$1,524,374</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$380,296</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$190,049</w:t>
            </w:r>
          </w:p>
        </w:tc>
        <w:tc>
          <w:tcPr>
            <w:tcW w:w="118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$326,426</w:t>
            </w:r>
          </w:p>
        </w:tc>
        <w:tc>
          <w:tcPr>
            <w:tcW w:w="10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$627,603</w:t>
            </w:r>
          </w:p>
        </w:tc>
      </w:tr>
      <w:tr>
        <w:trPr>
          <w:trHeight w:val="137"/>
        </w:trPr>
        <w:tc>
          <w:tcPr>
            <w:tcW w:w="2420" w:type="dxa"/>
            <w:vAlign w:val="bottom"/>
          </w:tcPr>
          <w:p>
            <w:pPr>
              <w:spacing w:after="0"/>
              <w:rPr>
                <w:sz w:val="11"/>
                <w:szCs w:val="11"/>
                <w:color w:val="auto"/>
              </w:rPr>
            </w:pPr>
          </w:p>
        </w:tc>
        <w:tc>
          <w:tcPr>
            <w:tcW w:w="14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pacing w:after="0" w:line="202"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At June 30, 2005, expansions were underway at four domestic centers totaling 171,000 square-feet that are scheduled to open by the end of 2005. The 381,000 square-foot first phase of Seattle Premium Outlets located near Seattle, Washington opened in May 2005. Other projects in various stages of development are expected to open in 2006 and beyond. All current development activity is fully financed either through project specific secured construction financing, the peso denominated line of credit, available cash or through the Simon credit facility.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 (continued)</w:t>
      </w:r>
    </w:p>
    <w:p>
      <w:pPr>
        <w:spacing w:after="0" w:line="212"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color w:val="auto"/>
        </w:rPr>
        <w:t>The OP has an agreement with Mitsubishi Estate Co., Ltd. and Sojitz Corporation (formerly known as Nissho Iwai Corporation) to jointly develop, own and operate Premium Outlet centers in Japan under the joint venture Chelsea Japan. Borrowings related to Chelsea Japan for which the OP has provided guarantees for debt repayment of debt as of June 30, 2005, are as follows:</w:t>
      </w:r>
    </w:p>
    <w:p>
      <w:pPr>
        <w:spacing w:after="0" w:line="283" w:lineRule="exact"/>
        <w:rPr>
          <w:sz w:val="20"/>
          <w:szCs w:val="20"/>
          <w:color w:val="auto"/>
        </w:rPr>
      </w:pPr>
    </w:p>
    <w:tbl>
      <w:tblPr>
        <w:tblLayout w:type="fixed"/>
        <w:tblInd w:w="520" w:type="dxa"/>
        <w:tblCellMar>
          <w:top w:w="0" w:type="dxa"/>
          <w:left w:w="0" w:type="dxa"/>
          <w:bottom w:w="0" w:type="dxa"/>
          <w:right w:w="0" w:type="dxa"/>
        </w:tblCellMar>
      </w:tblPr>
      <w:tr>
        <w:trPr>
          <w:trHeight w:val="136"/>
        </w:trPr>
        <w:tc>
          <w:tcPr>
            <w:tcW w:w="300" w:type="dxa"/>
            <w:vAlign w:val="bottom"/>
          </w:tcPr>
          <w:p>
            <w:pPr>
              <w:spacing w:after="0"/>
              <w:rPr>
                <w:sz w:val="11"/>
                <w:szCs w:val="11"/>
                <w:color w:val="auto"/>
              </w:rPr>
            </w:pPr>
          </w:p>
        </w:tc>
        <w:tc>
          <w:tcPr>
            <w:tcW w:w="1560" w:type="dxa"/>
            <w:vAlign w:val="bottom"/>
            <w:gridSpan w:val="2"/>
          </w:tcPr>
          <w:p>
            <w:pPr>
              <w:ind w:left="420"/>
              <w:spacing w:after="0"/>
              <w:rPr>
                <w:sz w:val="20"/>
                <w:szCs w:val="20"/>
                <w:color w:val="auto"/>
              </w:rPr>
            </w:pPr>
            <w:r>
              <w:rPr>
                <w:rFonts w:ascii="Courier New" w:cs="Courier New" w:eastAsia="Courier New" w:hAnsi="Courier New"/>
                <w:sz w:val="12"/>
                <w:szCs w:val="12"/>
                <w:b w:val="1"/>
                <w:bCs w:val="1"/>
                <w:color w:val="auto"/>
              </w:rPr>
              <w:t>Total Facility</w:t>
            </w:r>
          </w:p>
        </w:tc>
        <w:tc>
          <w:tcPr>
            <w:tcW w:w="760" w:type="dxa"/>
            <w:vAlign w:val="bottom"/>
          </w:tcPr>
          <w:p>
            <w:pPr>
              <w:spacing w:after="0"/>
              <w:rPr>
                <w:sz w:val="11"/>
                <w:szCs w:val="11"/>
                <w:color w:val="auto"/>
              </w:rPr>
            </w:pPr>
          </w:p>
        </w:tc>
        <w:tc>
          <w:tcPr>
            <w:tcW w:w="18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w:t>
            </w:r>
          </w:p>
        </w:tc>
        <w:tc>
          <w:tcPr>
            <w:tcW w:w="1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2"/>
                <w:szCs w:val="12"/>
                <w:b w:val="1"/>
                <w:bCs w:val="1"/>
                <w:color w:val="auto"/>
              </w:rPr>
              <w:t>Outstanding</w:t>
            </w: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1280" w:type="dxa"/>
            <w:vAlign w:val="bottom"/>
            <w:gridSpan w:val="2"/>
          </w:tcPr>
          <w:p>
            <w:pPr>
              <w:spacing w:after="0"/>
              <w:rPr>
                <w:sz w:val="20"/>
                <w:szCs w:val="20"/>
                <w:color w:val="auto"/>
              </w:rPr>
            </w:pPr>
            <w:r>
              <w:rPr>
                <w:rFonts w:ascii="Courier New" w:cs="Courier New" w:eastAsia="Courier New" w:hAnsi="Courier New"/>
                <w:sz w:val="8"/>
                <w:szCs w:val="8"/>
                <w:color w:val="auto"/>
                <w:w w:val="70"/>
              </w:rPr>
              <w:t>-------------------------------------</w:t>
            </w: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1680" w:type="dxa"/>
            <w:vAlign w:val="bottom"/>
            <w:gridSpan w:val="2"/>
          </w:tcPr>
          <w:p>
            <w:pPr>
              <w:ind w:left="40"/>
              <w:spacing w:after="0"/>
              <w:rPr>
                <w:sz w:val="20"/>
                <w:szCs w:val="20"/>
                <w:color w:val="auto"/>
              </w:rPr>
            </w:pPr>
            <w:r>
              <w:rPr>
                <w:rFonts w:ascii="Courier New" w:cs="Courier New" w:eastAsia="Courier New" w:hAnsi="Courier New"/>
                <w:sz w:val="5"/>
                <w:szCs w:val="5"/>
                <w:color w:val="auto"/>
                <w:w w:val="73"/>
              </w:rPr>
              <w:t>-------------------------------------------------------------------------</w:t>
            </w: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w:t>
            </w:r>
          </w:p>
        </w:tc>
        <w:tc>
          <w:tcPr>
            <w:tcW w:w="1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Due</w:t>
            </w:r>
          </w:p>
        </w:tc>
        <w:tc>
          <w:tcPr>
            <w:tcW w:w="720" w:type="dxa"/>
            <w:vAlign w:val="bottom"/>
          </w:tcPr>
          <w:p>
            <w:pPr>
              <w:ind w:left="140"/>
              <w:spacing w:after="0"/>
              <w:rPr>
                <w:sz w:val="20"/>
                <w:szCs w:val="20"/>
                <w:color w:val="auto"/>
              </w:rPr>
            </w:pPr>
            <w:r>
              <w:rPr>
                <w:rFonts w:ascii="Courier New" w:cs="Courier New" w:eastAsia="Courier New" w:hAnsi="Courier New"/>
                <w:sz w:val="12"/>
                <w:szCs w:val="12"/>
                <w:b w:val="1"/>
                <w:bCs w:val="1"/>
                <w:color w:val="auto"/>
                <w:w w:val="97"/>
              </w:rPr>
              <w:t>Interest</w:t>
            </w: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b w:val="1"/>
                <w:bCs w:val="1"/>
                <w:color w:val="auto"/>
              </w:rPr>
              <w:t>Yen</w:t>
            </w:r>
          </w:p>
        </w:tc>
        <w:tc>
          <w:tcPr>
            <w:tcW w:w="980" w:type="dxa"/>
            <w:vAlign w:val="bottom"/>
          </w:tcPr>
          <w:p>
            <w:pPr>
              <w:spacing w:after="0"/>
              <w:rPr>
                <w:sz w:val="11"/>
                <w:szCs w:val="11"/>
                <w:color w:val="auto"/>
              </w:rPr>
            </w:pPr>
          </w:p>
        </w:tc>
        <w:tc>
          <w:tcPr>
            <w:tcW w:w="1340" w:type="dxa"/>
            <w:vAlign w:val="bottom"/>
            <w:gridSpan w:val="2"/>
          </w:tcPr>
          <w:p>
            <w:pPr>
              <w:ind w:left="180"/>
              <w:spacing w:after="0"/>
              <w:rPr>
                <w:sz w:val="20"/>
                <w:szCs w:val="20"/>
                <w:color w:val="auto"/>
              </w:rPr>
            </w:pPr>
            <w:r>
              <w:rPr>
                <w:rFonts w:ascii="Courier New" w:cs="Courier New" w:eastAsia="Courier New" w:hAnsi="Courier New"/>
                <w:sz w:val="12"/>
                <w:szCs w:val="12"/>
                <w:b w:val="1"/>
                <w:bCs w:val="1"/>
                <w:color w:val="auto"/>
              </w:rPr>
              <w:t>US $ Equivalent</w:t>
            </w:r>
          </w:p>
        </w:tc>
        <w:tc>
          <w:tcPr>
            <w:tcW w:w="18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w:t>
            </w:r>
          </w:p>
        </w:tc>
        <w:tc>
          <w:tcPr>
            <w:tcW w:w="1280" w:type="dxa"/>
            <w:vAlign w:val="bottom"/>
          </w:tcPr>
          <w:p>
            <w:pPr>
              <w:ind w:left="260"/>
              <w:spacing w:after="0"/>
              <w:rPr>
                <w:sz w:val="20"/>
                <w:szCs w:val="20"/>
                <w:color w:val="auto"/>
              </w:rPr>
            </w:pPr>
            <w:r>
              <w:rPr>
                <w:rFonts w:ascii="Courier New" w:cs="Courier New" w:eastAsia="Courier New" w:hAnsi="Courier New"/>
                <w:sz w:val="12"/>
                <w:szCs w:val="12"/>
                <w:b w:val="1"/>
                <w:bCs w:val="1"/>
                <w:color w:val="auto"/>
              </w:rPr>
              <w:t>Yen</w:t>
            </w:r>
          </w:p>
        </w:tc>
        <w:tc>
          <w:tcPr>
            <w:tcW w:w="1460" w:type="dxa"/>
            <w:vAlign w:val="bottom"/>
            <w:gridSpan w:val="2"/>
          </w:tcPr>
          <w:p>
            <w:pPr>
              <w:spacing w:after="0"/>
              <w:rPr>
                <w:sz w:val="20"/>
                <w:szCs w:val="20"/>
                <w:color w:val="auto"/>
              </w:rPr>
            </w:pPr>
            <w:r>
              <w:rPr>
                <w:rFonts w:ascii="Courier New" w:cs="Courier New" w:eastAsia="Courier New" w:hAnsi="Courier New"/>
                <w:sz w:val="12"/>
                <w:szCs w:val="12"/>
                <w:b w:val="1"/>
                <w:bCs w:val="1"/>
                <w:color w:val="auto"/>
              </w:rPr>
              <w:t>US $ Equivalent</w:t>
            </w:r>
          </w:p>
        </w:tc>
        <w:tc>
          <w:tcPr>
            <w:tcW w:w="48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US $</w:t>
            </w:r>
          </w:p>
        </w:tc>
        <w:tc>
          <w:tcPr>
            <w:tcW w:w="840" w:type="dxa"/>
            <w:vAlign w:val="bottom"/>
          </w:tcPr>
          <w:p>
            <w:pPr>
              <w:ind w:left="40"/>
              <w:spacing w:after="0"/>
              <w:rPr>
                <w:sz w:val="20"/>
                <w:szCs w:val="20"/>
                <w:color w:val="auto"/>
              </w:rPr>
            </w:pPr>
            <w:r>
              <w:rPr>
                <w:rFonts w:ascii="Courier New" w:cs="Courier New" w:eastAsia="Courier New" w:hAnsi="Courier New"/>
                <w:sz w:val="12"/>
                <w:szCs w:val="12"/>
                <w:b w:val="1"/>
                <w:bCs w:val="1"/>
                <w:color w:val="auto"/>
              </w:rPr>
              <w:t>Guarantee</w:t>
            </w:r>
          </w:p>
        </w:tc>
        <w:tc>
          <w:tcPr>
            <w:tcW w:w="58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Date</w:t>
            </w:r>
          </w:p>
        </w:tc>
        <w:tc>
          <w:tcPr>
            <w:tcW w:w="720" w:type="dxa"/>
            <w:vAlign w:val="bottom"/>
          </w:tcPr>
          <w:p>
            <w:pPr>
              <w:ind w:left="280"/>
              <w:spacing w:after="0"/>
              <w:rPr>
                <w:sz w:val="20"/>
                <w:szCs w:val="20"/>
                <w:color w:val="auto"/>
              </w:rPr>
            </w:pPr>
            <w:r>
              <w:rPr>
                <w:rFonts w:ascii="Courier New" w:cs="Courier New" w:eastAsia="Courier New" w:hAnsi="Courier New"/>
                <w:sz w:val="12"/>
                <w:szCs w:val="12"/>
                <w:b w:val="1"/>
                <w:bCs w:val="1"/>
                <w:color w:val="auto"/>
              </w:rPr>
              <w:t>Rate</w:t>
            </w:r>
          </w:p>
        </w:tc>
      </w:tr>
      <w:tr>
        <w:trPr>
          <w:trHeight w:val="135"/>
        </w:trPr>
        <w:tc>
          <w:tcPr>
            <w:tcW w:w="1280" w:type="dxa"/>
            <w:vAlign w:val="bottom"/>
            <w:gridSpan w:val="2"/>
          </w:tcPr>
          <w:p>
            <w:pPr>
              <w:spacing w:after="0"/>
              <w:rPr>
                <w:sz w:val="20"/>
                <w:szCs w:val="20"/>
                <w:color w:val="auto"/>
              </w:rPr>
            </w:pPr>
            <w:r>
              <w:rPr>
                <w:rFonts w:ascii="Courier New" w:cs="Courier New" w:eastAsia="Courier New" w:hAnsi="Courier New"/>
                <w:sz w:val="12"/>
                <w:szCs w:val="12"/>
                <w:color w:val="auto"/>
              </w:rPr>
              <w:t>--------------</w:t>
            </w:r>
          </w:p>
        </w:tc>
        <w:tc>
          <w:tcPr>
            <w:tcW w:w="134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ind w:left="40"/>
              <w:spacing w:after="0"/>
              <w:rPr>
                <w:sz w:val="20"/>
                <w:szCs w:val="20"/>
                <w:color w:val="auto"/>
              </w:rPr>
            </w:pPr>
            <w:r>
              <w:rPr>
                <w:rFonts w:ascii="Courier New" w:cs="Courier New" w:eastAsia="Courier New" w:hAnsi="Courier New"/>
                <w:sz w:val="12"/>
                <w:szCs w:val="12"/>
                <w:color w:val="auto"/>
              </w:rPr>
              <w:t>----------</w:t>
            </w:r>
          </w:p>
        </w:tc>
        <w:tc>
          <w:tcPr>
            <w:tcW w:w="1460" w:type="dxa"/>
            <w:vAlign w:val="bottom"/>
            <w:gridSpan w:val="2"/>
          </w:tcPr>
          <w:p>
            <w:pPr>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color w:val="auto"/>
              </w:rPr>
              <w:t>3.8</w:t>
            </w:r>
          </w:p>
        </w:tc>
        <w:tc>
          <w:tcPr>
            <w:tcW w:w="980" w:type="dxa"/>
            <w:vAlign w:val="bottom"/>
          </w:tcPr>
          <w:p>
            <w:pPr>
              <w:spacing w:after="0"/>
              <w:rPr>
                <w:sz w:val="20"/>
                <w:szCs w:val="20"/>
                <w:color w:val="auto"/>
              </w:rPr>
            </w:pPr>
            <w:r>
              <w:rPr>
                <w:rFonts w:ascii="Courier New" w:cs="Courier New" w:eastAsia="Courier New" w:hAnsi="Courier New"/>
                <w:sz w:val="12"/>
                <w:szCs w:val="12"/>
                <w:color w:val="auto"/>
              </w:rPr>
              <w:t>billion (1)</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$34.3</w:t>
            </w:r>
          </w:p>
        </w:tc>
        <w:tc>
          <w:tcPr>
            <w:tcW w:w="76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14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 2.8 billion</w:t>
            </w: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w w:val="94"/>
              </w:rPr>
              <w:t>$25.1</w:t>
            </w:r>
          </w:p>
        </w:tc>
        <w:tc>
          <w:tcPr>
            <w:tcW w:w="106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$10.0</w:t>
            </w:r>
          </w:p>
        </w:tc>
        <w:tc>
          <w:tcPr>
            <w:tcW w:w="84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580" w:type="dxa"/>
            <w:vAlign w:val="bottom"/>
          </w:tcPr>
          <w:p>
            <w:pPr>
              <w:ind w:left="140"/>
              <w:spacing w:after="0"/>
              <w:rPr>
                <w:sz w:val="20"/>
                <w:szCs w:val="20"/>
                <w:color w:val="auto"/>
              </w:rPr>
            </w:pPr>
            <w:r>
              <w:rPr>
                <w:rFonts w:ascii="Courier New" w:cs="Courier New" w:eastAsia="Courier New" w:hAnsi="Courier New"/>
                <w:sz w:val="12"/>
                <w:szCs w:val="12"/>
                <w:color w:val="auto"/>
              </w:rPr>
              <w:t>2015</w:t>
            </w:r>
          </w:p>
        </w:tc>
        <w:tc>
          <w:tcPr>
            <w:tcW w:w="720" w:type="dxa"/>
            <w:vAlign w:val="bottom"/>
          </w:tcPr>
          <w:p>
            <w:pPr>
              <w:ind w:left="280"/>
              <w:spacing w:after="0"/>
              <w:rPr>
                <w:sz w:val="20"/>
                <w:szCs w:val="20"/>
                <w:color w:val="auto"/>
              </w:rPr>
            </w:pPr>
            <w:r>
              <w:rPr>
                <w:rFonts w:ascii="Courier New" w:cs="Courier New" w:eastAsia="Courier New" w:hAnsi="Courier New"/>
                <w:sz w:val="12"/>
                <w:szCs w:val="12"/>
                <w:color w:val="auto"/>
              </w:rPr>
              <w:t>2.06%</w:t>
            </w:r>
          </w:p>
        </w:tc>
      </w:tr>
      <w:tr>
        <w:trPr>
          <w:trHeight w:val="137"/>
        </w:trPr>
        <w:tc>
          <w:tcPr>
            <w:tcW w:w="300" w:type="dxa"/>
            <w:vAlign w:val="bottom"/>
          </w:tcPr>
          <w:p>
            <w:pPr>
              <w:spacing w:after="0"/>
              <w:rPr>
                <w:sz w:val="20"/>
                <w:szCs w:val="20"/>
                <w:color w:val="auto"/>
              </w:rPr>
            </w:pPr>
            <w:r>
              <w:rPr>
                <w:rFonts w:ascii="Courier New" w:cs="Courier New" w:eastAsia="Courier New" w:hAnsi="Courier New"/>
                <w:sz w:val="12"/>
                <w:szCs w:val="12"/>
                <w:color w:val="auto"/>
              </w:rPr>
              <w:t>0.6</w:t>
            </w:r>
          </w:p>
        </w:tc>
        <w:tc>
          <w:tcPr>
            <w:tcW w:w="980" w:type="dxa"/>
            <w:vAlign w:val="bottom"/>
          </w:tcPr>
          <w:p>
            <w:pPr>
              <w:spacing w:after="0"/>
              <w:rPr>
                <w:sz w:val="20"/>
                <w:szCs w:val="20"/>
                <w:color w:val="auto"/>
              </w:rPr>
            </w:pPr>
            <w:r>
              <w:rPr>
                <w:rFonts w:ascii="Courier New" w:cs="Courier New" w:eastAsia="Courier New" w:hAnsi="Courier New"/>
                <w:sz w:val="12"/>
                <w:szCs w:val="12"/>
                <w:color w:val="auto"/>
              </w:rPr>
              <w:t>billion (1)</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5.4</w:t>
            </w:r>
          </w:p>
        </w:tc>
        <w:tc>
          <w:tcPr>
            <w:tcW w:w="76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14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 0.4 billion</w:t>
            </w: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rPr>
              <w:t>3.7</w:t>
            </w:r>
          </w:p>
        </w:tc>
        <w:tc>
          <w:tcPr>
            <w:tcW w:w="106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1.5</w:t>
            </w:r>
          </w:p>
        </w:tc>
        <w:tc>
          <w:tcPr>
            <w:tcW w:w="84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580" w:type="dxa"/>
            <w:vAlign w:val="bottom"/>
          </w:tcPr>
          <w:p>
            <w:pPr>
              <w:ind w:left="140"/>
              <w:spacing w:after="0"/>
              <w:rPr>
                <w:sz w:val="20"/>
                <w:szCs w:val="20"/>
                <w:color w:val="auto"/>
              </w:rPr>
            </w:pPr>
            <w:r>
              <w:rPr>
                <w:rFonts w:ascii="Courier New" w:cs="Courier New" w:eastAsia="Courier New" w:hAnsi="Courier New"/>
                <w:sz w:val="12"/>
                <w:szCs w:val="12"/>
                <w:color w:val="auto"/>
              </w:rPr>
              <w:t>2012</w:t>
            </w:r>
          </w:p>
        </w:tc>
        <w:tc>
          <w:tcPr>
            <w:tcW w:w="720" w:type="dxa"/>
            <w:vAlign w:val="bottom"/>
          </w:tcPr>
          <w:p>
            <w:pPr>
              <w:ind w:left="280"/>
              <w:spacing w:after="0"/>
              <w:rPr>
                <w:sz w:val="20"/>
                <w:szCs w:val="20"/>
                <w:color w:val="auto"/>
              </w:rPr>
            </w:pPr>
            <w:r>
              <w:rPr>
                <w:rFonts w:ascii="Courier New" w:cs="Courier New" w:eastAsia="Courier New" w:hAnsi="Courier New"/>
                <w:sz w:val="12"/>
                <w:szCs w:val="12"/>
                <w:color w:val="auto"/>
              </w:rPr>
              <w:t>1.50%</w:t>
            </w:r>
          </w:p>
        </w:tc>
      </w:tr>
    </w:tbl>
    <w:p>
      <w:pPr>
        <w:spacing w:after="0" w:line="200" w:lineRule="exact"/>
        <w:rPr>
          <w:sz w:val="20"/>
          <w:szCs w:val="20"/>
          <w:color w:val="auto"/>
        </w:rPr>
      </w:pPr>
    </w:p>
    <w:p>
      <w:pPr>
        <w:spacing w:after="0" w:line="202" w:lineRule="exact"/>
        <w:rPr>
          <w:sz w:val="20"/>
          <w:szCs w:val="20"/>
          <w:color w:val="auto"/>
        </w:rPr>
      </w:pPr>
    </w:p>
    <w:p>
      <w:pPr>
        <w:ind w:right="60"/>
        <w:spacing w:after="0"/>
        <w:rPr>
          <w:sz w:val="20"/>
          <w:szCs w:val="20"/>
          <w:color w:val="auto"/>
        </w:rPr>
      </w:pPr>
      <w:r>
        <w:rPr>
          <w:rFonts w:ascii="Arial" w:cs="Arial" w:eastAsia="Arial" w:hAnsi="Arial"/>
          <w:sz w:val="22"/>
          <w:szCs w:val="22"/>
          <w:color w:val="auto"/>
        </w:rPr>
        <w:t>The OP has a 50/50 joint venture agreement with Sordo Madaleno y Asociados and affiliates to jointly develop, own and operate Premium Outlet centers in Mexico. In December 2004, the first development project opened, the 232,000 square-foot first phase of Premium Outlets Punta Norte, located near Mexico City.</w:t>
      </w:r>
    </w:p>
    <w:p>
      <w:pPr>
        <w:spacing w:after="0" w:line="186"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In January 2004, a wholly-owned subsidiary of the OP entered into a 180.0 million peso revolving facility to provide funding for Mexican development projects. In February 2005, the OP repaid the entire outstanding balance. The peso facility has a three-year term; interest was payable on the drawn funds at The Interbank Interest Equilibrium Rate ("TIIE") plus 0. 825% plus the bank’s cost of funds spread limited to 20% of the TIIE and has an annual facility fee of 0.15% per annum on the unused balance. The TIIE rate spread ranges from 0.725% to 1.37% depending on the OP’s Senior Debt rating.</w:t>
      </w:r>
    </w:p>
    <w:p>
      <w:pPr>
        <w:spacing w:after="0" w:line="148"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The OP has minority interests ranging from 3% to 8% in several outlet centers and outlet development projects in Europe operated by Value Retail. The OP’s total investment in Europe as of June 30, 2005, was $3.6 million. The OP has also provided $12.7 million in limited debt service guarantees under a standby facility for loans arranged by Value Retail to construct outlet centers in Europe. The standby facility for new guarantees expired in November 2001; outstanding guarantees expire no more than five years after project completion. The existing outstanding guarantees expire in September 2005. Value Retail has borrowed and escrowed the funds necessary to payoff the loans guaranteed by the OP. The escrow is subject to certain covenants which must be met prior to disbursement of the escrowed funds.</w:t>
      </w:r>
    </w:p>
    <w:p>
      <w:pPr>
        <w:spacing w:after="0" w:line="178"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To achieve planned growth and favorable returns in both the short and long-term, the OP’s financing strategy is to maintain a strong, flexible financial position by: (i) maintaining a conservative level of leverage; (ii) extending and sequencing debt maturity dates; (iii) managing exposure to floating interest rates; and (iv) maintaining liquidity. As a result of the OP’s merger with Simon, the OP has access to capital under Simon’s $2.0 billion credit facility.</w:t>
      </w:r>
    </w:p>
    <w:p>
      <w:pPr>
        <w:spacing w:after="0" w:line="185" w:lineRule="exact"/>
        <w:rPr>
          <w:sz w:val="20"/>
          <w:szCs w:val="20"/>
          <w:color w:val="auto"/>
        </w:rPr>
      </w:pPr>
    </w:p>
    <w:p>
      <w:pPr>
        <w:ind w:right="40"/>
        <w:spacing w:after="0" w:line="248" w:lineRule="auto"/>
        <w:rPr>
          <w:sz w:val="20"/>
          <w:szCs w:val="20"/>
          <w:color w:val="auto"/>
        </w:rPr>
      </w:pPr>
      <w:r>
        <w:rPr>
          <w:rFonts w:ascii="Arial" w:cs="Arial" w:eastAsia="Arial" w:hAnsi="Arial"/>
          <w:sz w:val="21"/>
          <w:szCs w:val="21"/>
          <w:color w:val="auto"/>
        </w:rPr>
        <w:t>Net cash provided by operating activities was $113.2 million and $103.4 million for the six months ended June 30, 2005, and 2004, respectively. The increase in operating cash flow was primarily generated from the growth of the OP’s GLA. Net cash used in investing activities decreased to $27.7 million in 2005 from $44.6 in 2004, primarily due to net proceeds generated from an increase in rental property additions offset by a decrease in partially-owned investments. Net cash used in financing activities increased to $103.1 million from $59.2 million for the six months ended June 30, 2005, and 2004, respectively. The increase was primarily due to the timing of partner distribution payments.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212"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In January 2003, the FASB issued Interpretation No. 46, "Consolidation of Variable Interest Entities" ("FIN 46"). FIN 46 clarifies the application of existing accounting pronouncements to certain entities in which equity investors do not have the characteristics of a controlling financial interest or do not have sufficient equity at risk for the entity to finance its activities without additional subordinated financial support from other parties. The provisions of FIN 46 will be immediately effective for all variable interests in variable interest entities created after January 31, 2003. The OP has not created any variable interest entities subsequent to January 31, 2003. In December 2003, FASB issued a revision to Interpretation 46 ("FIN 46-R") to clarify the provisions of FIN 46. The application of FIN 46-R is effective for public companies, other than small business issuers, after March 15, 2004. The application of FIN 46-R did not have a significant impact on the OP’s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Economic Conditions</w:t>
      </w:r>
    </w:p>
    <w:p>
      <w:pPr>
        <w:sectPr>
          <w:pgSz w:w="11900" w:h="16838" w:orient="portrait"/>
          <w:cols w:equalWidth="0" w:num="1">
            <w:col w:w="11400"/>
          </w:cols>
          <w:pgMar w:left="240" w:top="132" w:right="259" w:bottom="0" w:gutter="0" w:footer="0" w:header="0"/>
        </w:sectPr>
      </w:pPr>
    </w:p>
    <w:bookmarkStart w:id="13" w:name="page14"/>
    <w:bookmarkEnd w:id="13"/>
    <w:p>
      <w:pPr>
        <w:ind w:right="200"/>
        <w:spacing w:after="0" w:line="282" w:lineRule="auto"/>
        <w:rPr>
          <w:sz w:val="20"/>
          <w:szCs w:val="20"/>
          <w:color w:val="auto"/>
        </w:rPr>
      </w:pPr>
      <w:r>
        <w:rPr>
          <w:rFonts w:ascii="Arial" w:cs="Arial" w:eastAsia="Arial" w:hAnsi="Arial"/>
          <w:sz w:val="19"/>
          <w:szCs w:val="19"/>
          <w:color w:val="auto"/>
        </w:rPr>
        <w:t>Substantially all leases contain provisions, including escalations of base rents and percentage rentals calculated on gross sales, to mitigate the impact of inflation. Inflationary increases in common area maintenance and real estate tax expenses are substantially reimbursed by tenants. Virtually all tenants have met their lease obligations and the OP continues to attract and retain quality tenants. The OP intends to reduce operating and leasing risks by continually improving its tenant mix, rental rates and lease terms and by pursuing contracts with creditworthy upscale and national brand-name tenants.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The OP is exposed to changes in interest rates primarily from its floating rate debt arrangements. In December 2000, the OP implemented a policy to protect against interest rate and foreign exchange risk. The OP’s primary strategy is to protect against these risks by using derivative transactions as appropriate to minimize the variability that floating rate interest and foreign currency fluctuations could have on cash flow. In December 2000, a wholly owned subsidiary of the OP entered into an interest rate swap agreement effective January 2, 2001 with a financial institution for a notional amount of $69.3 million amortizing to $64.1 million to hedge against unfavorable fluctuations in the LIBOR rates of one of its term loans. The hedge effectively produces a fixed rate of 7.2625% on the notional amount until January 1, 2006.</w:t>
      </w:r>
    </w:p>
    <w:p>
      <w:pPr>
        <w:spacing w:after="0" w:line="178" w:lineRule="exact"/>
        <w:rPr>
          <w:sz w:val="20"/>
          <w:szCs w:val="20"/>
          <w:color w:val="auto"/>
        </w:rPr>
      </w:pPr>
    </w:p>
    <w:p>
      <w:pPr>
        <w:ind w:right="380"/>
        <w:spacing w:after="0" w:line="274" w:lineRule="auto"/>
        <w:rPr>
          <w:sz w:val="20"/>
          <w:szCs w:val="20"/>
          <w:color w:val="auto"/>
        </w:rPr>
      </w:pPr>
      <w:r>
        <w:rPr>
          <w:rFonts w:ascii="Arial" w:cs="Arial" w:eastAsia="Arial" w:hAnsi="Arial"/>
          <w:sz w:val="21"/>
          <w:szCs w:val="21"/>
          <w:color w:val="auto"/>
        </w:rPr>
        <w:t>At June 30, 2005, a hypothetical 100 basis point adverse move (increase) in US Treasury and LIBOR rates applied to unhedged debt would adversely affect the OP’s annual interest cost by approximately $3.2 million annually.</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Following is a summary of the OP’s debt obligations at June 30, 2005 (in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920" w:type="dxa"/>
            <w:vAlign w:val="bottom"/>
            <w:gridSpan w:val="3"/>
          </w:tcPr>
          <w:p>
            <w:pPr>
              <w:jc w:val="right"/>
              <w:ind w:right="719"/>
              <w:spacing w:after="0"/>
              <w:rPr>
                <w:sz w:val="20"/>
                <w:szCs w:val="20"/>
                <w:color w:val="auto"/>
              </w:rPr>
            </w:pPr>
            <w:r>
              <w:rPr>
                <w:rFonts w:ascii="Courier New" w:cs="Courier New" w:eastAsia="Courier New" w:hAnsi="Courier New"/>
                <w:sz w:val="12"/>
                <w:szCs w:val="12"/>
                <w:b w:val="1"/>
                <w:bCs w:val="1"/>
                <w:color w:val="auto"/>
              </w:rPr>
              <w:t>Expected Maturity Date</w:t>
            </w: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7"/>
        </w:trPr>
        <w:tc>
          <w:tcPr>
            <w:tcW w:w="1680" w:type="dxa"/>
            <w:vAlign w:val="bottom"/>
          </w:tcPr>
          <w:p>
            <w:pPr>
              <w:spacing w:after="0"/>
              <w:rPr>
                <w:sz w:val="11"/>
                <w:szCs w:val="11"/>
                <w:color w:val="auto"/>
              </w:rPr>
            </w:pPr>
          </w:p>
        </w:tc>
        <w:tc>
          <w:tcPr>
            <w:tcW w:w="7600" w:type="dxa"/>
            <w:vAlign w:val="bottom"/>
            <w:gridSpan w:val="8"/>
          </w:tcPr>
          <w:p>
            <w:pPr>
              <w:jc w:val="right"/>
              <w:spacing w:after="0"/>
              <w:rPr>
                <w:sz w:val="20"/>
                <w:szCs w:val="20"/>
                <w:color w:val="auto"/>
              </w:rPr>
            </w:pPr>
            <w:r>
              <w:rPr>
                <w:rFonts w:ascii="Courier New" w:cs="Courier New" w:eastAsia="Courier New" w:hAnsi="Courier New"/>
                <w:sz w:val="12"/>
                <w:szCs w:val="12"/>
                <w:color w:val="auto"/>
              </w:rPr>
              <w:t>-------------------------------------------------------------------------------------------------------</w:t>
            </w:r>
          </w:p>
        </w:tc>
      </w:tr>
      <w:tr>
        <w:trPr>
          <w:trHeight w:val="268"/>
        </w:trPr>
        <w:tc>
          <w:tcPr>
            <w:tcW w:w="168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2"/>
                <w:szCs w:val="12"/>
                <w:b w:val="1"/>
                <w:bCs w:val="1"/>
                <w:color w:val="auto"/>
              </w:rPr>
              <w:t>2005</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2006</w:t>
            </w:r>
          </w:p>
        </w:tc>
        <w:tc>
          <w:tcPr>
            <w:tcW w:w="880" w:type="dxa"/>
            <w:vAlign w:val="bottom"/>
          </w:tcPr>
          <w:p>
            <w:pPr>
              <w:jc w:val="right"/>
              <w:ind w:right="59"/>
              <w:spacing w:after="0"/>
              <w:rPr>
                <w:sz w:val="20"/>
                <w:szCs w:val="20"/>
                <w:color w:val="auto"/>
              </w:rPr>
            </w:pPr>
            <w:r>
              <w:rPr>
                <w:rFonts w:ascii="Courier New" w:cs="Courier New" w:eastAsia="Courier New" w:hAnsi="Courier New"/>
                <w:sz w:val="12"/>
                <w:szCs w:val="12"/>
                <w:b w:val="1"/>
                <w:bCs w:val="1"/>
                <w:color w:val="auto"/>
              </w:rPr>
              <w:t>2007</w:t>
            </w:r>
          </w:p>
        </w:tc>
        <w:tc>
          <w:tcPr>
            <w:tcW w:w="86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2008</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b w:val="1"/>
                <w:bCs w:val="1"/>
                <w:color w:val="auto"/>
              </w:rPr>
              <w:t>2009</w:t>
            </w:r>
          </w:p>
        </w:tc>
        <w:tc>
          <w:tcPr>
            <w:tcW w:w="1100" w:type="dxa"/>
            <w:vAlign w:val="bottom"/>
          </w:tcPr>
          <w:p>
            <w:pPr>
              <w:jc w:val="right"/>
              <w:ind w:right="59"/>
              <w:spacing w:after="0"/>
              <w:rPr>
                <w:sz w:val="20"/>
                <w:szCs w:val="20"/>
                <w:color w:val="auto"/>
              </w:rPr>
            </w:pPr>
            <w:r>
              <w:rPr>
                <w:rFonts w:ascii="Courier New" w:cs="Courier New" w:eastAsia="Courier New" w:hAnsi="Courier New"/>
                <w:sz w:val="12"/>
                <w:szCs w:val="12"/>
                <w:b w:val="1"/>
                <w:bCs w:val="1"/>
                <w:color w:val="auto"/>
              </w:rPr>
              <w:t>Thereafter</w:t>
            </w:r>
          </w:p>
        </w:tc>
        <w:tc>
          <w:tcPr>
            <w:tcW w:w="1020" w:type="dxa"/>
            <w:vAlign w:val="bottom"/>
          </w:tcPr>
          <w:p>
            <w:pPr>
              <w:jc w:val="right"/>
              <w:ind w:right="59"/>
              <w:spacing w:after="0"/>
              <w:rPr>
                <w:sz w:val="20"/>
                <w:szCs w:val="20"/>
                <w:color w:val="auto"/>
              </w:rPr>
            </w:pPr>
            <w:r>
              <w:rPr>
                <w:rFonts w:ascii="Courier New" w:cs="Courier New" w:eastAsia="Courier New" w:hAnsi="Courier New"/>
                <w:sz w:val="12"/>
                <w:szCs w:val="12"/>
                <w:b w:val="1"/>
                <w:bCs w:val="1"/>
                <w:color w:val="auto"/>
              </w:rPr>
              <w:t>Total</w:t>
            </w:r>
          </w:p>
        </w:tc>
        <w:tc>
          <w:tcPr>
            <w:tcW w:w="106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Fair Value</w:t>
            </w:r>
          </w:p>
        </w:tc>
      </w:tr>
      <w:tr>
        <w:trPr>
          <w:trHeight w:val="135"/>
        </w:trPr>
        <w:tc>
          <w:tcPr>
            <w:tcW w:w="1680" w:type="dxa"/>
            <w:vAlign w:val="bottom"/>
          </w:tcPr>
          <w:p>
            <w:pPr>
              <w:spacing w:after="0"/>
              <w:rPr>
                <w:sz w:val="11"/>
                <w:szCs w:val="11"/>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1680" w:type="dxa"/>
            <w:vAlign w:val="bottom"/>
          </w:tcPr>
          <w:p>
            <w:pPr>
              <w:spacing w:after="0"/>
              <w:rPr>
                <w:sz w:val="20"/>
                <w:szCs w:val="20"/>
                <w:color w:val="auto"/>
              </w:rPr>
            </w:pPr>
            <w:r>
              <w:rPr>
                <w:rFonts w:ascii="Courier New" w:cs="Courier New" w:eastAsia="Courier New" w:hAnsi="Courier New"/>
                <w:sz w:val="12"/>
                <w:szCs w:val="12"/>
                <w:color w:val="auto"/>
              </w:rPr>
              <w:t>Fixed Rate Debt:</w:t>
            </w:r>
          </w:p>
        </w:tc>
        <w:tc>
          <w:tcPr>
            <w:tcW w:w="9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$49,998</w:t>
            </w:r>
          </w:p>
        </w:tc>
        <w:tc>
          <w:tcPr>
            <w:tcW w:w="8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$124,923</w:t>
            </w:r>
          </w:p>
        </w:tc>
        <w:tc>
          <w:tcPr>
            <w:tcW w:w="8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$159,838</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$149,612</w:t>
            </w:r>
          </w:p>
        </w:tc>
        <w:tc>
          <w:tcPr>
            <w:tcW w:w="11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$549,939</w:t>
            </w:r>
          </w:p>
        </w:tc>
        <w:tc>
          <w:tcPr>
            <w:tcW w:w="10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$1,034,310</w:t>
            </w:r>
          </w:p>
        </w:tc>
        <w:tc>
          <w:tcPr>
            <w:tcW w:w="10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$1,100,291</w:t>
            </w:r>
          </w:p>
        </w:tc>
      </w:tr>
      <w:tr>
        <w:trPr>
          <w:trHeight w:val="135"/>
        </w:trPr>
        <w:tc>
          <w:tcPr>
            <w:tcW w:w="1680" w:type="dxa"/>
            <w:vAlign w:val="bottom"/>
          </w:tcPr>
          <w:p>
            <w:pPr>
              <w:spacing w:after="0"/>
              <w:rPr>
                <w:sz w:val="20"/>
                <w:szCs w:val="20"/>
                <w:color w:val="auto"/>
              </w:rPr>
            </w:pPr>
            <w:r>
              <w:rPr>
                <w:rFonts w:ascii="Courier New" w:cs="Courier New" w:eastAsia="Courier New" w:hAnsi="Courier New"/>
                <w:sz w:val="12"/>
                <w:szCs w:val="12"/>
                <w:color w:val="auto"/>
              </w:rPr>
              <w:t>Average Interest Rate:</w:t>
            </w:r>
          </w:p>
        </w:tc>
        <w:tc>
          <w:tcPr>
            <w:tcW w:w="9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8.38%</w:t>
            </w:r>
          </w:p>
        </w:tc>
        <w:tc>
          <w:tcPr>
            <w:tcW w:w="8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7.25%</w:t>
            </w:r>
          </w:p>
        </w:tc>
        <w:tc>
          <w:tcPr>
            <w:tcW w:w="8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6.99%</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5.21%</w:t>
            </w:r>
          </w:p>
        </w:tc>
        <w:tc>
          <w:tcPr>
            <w:tcW w:w="11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7.05%</w:t>
            </w:r>
          </w:p>
        </w:tc>
        <w:tc>
          <w:tcPr>
            <w:tcW w:w="10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6.86%</w:t>
            </w:r>
          </w:p>
        </w:tc>
        <w:tc>
          <w:tcPr>
            <w:tcW w:w="1060" w:type="dxa"/>
            <w:vAlign w:val="bottom"/>
          </w:tcPr>
          <w:p>
            <w:pPr>
              <w:spacing w:after="0"/>
              <w:rPr>
                <w:sz w:val="11"/>
                <w:szCs w:val="11"/>
                <w:color w:val="auto"/>
              </w:rPr>
            </w:pPr>
          </w:p>
        </w:tc>
      </w:tr>
      <w:tr>
        <w:trPr>
          <w:trHeight w:val="135"/>
        </w:trPr>
        <w:tc>
          <w:tcPr>
            <w:tcW w:w="1680" w:type="dxa"/>
            <w:vAlign w:val="bottom"/>
          </w:tcPr>
          <w:p>
            <w:pPr>
              <w:spacing w:after="0"/>
              <w:rPr>
                <w:sz w:val="20"/>
                <w:szCs w:val="20"/>
                <w:color w:val="auto"/>
              </w:rPr>
            </w:pPr>
            <w:r>
              <w:rPr>
                <w:rFonts w:ascii="Courier New" w:cs="Courier New" w:eastAsia="Courier New" w:hAnsi="Courier New"/>
                <w:sz w:val="12"/>
                <w:szCs w:val="12"/>
                <w:color w:val="auto"/>
              </w:rPr>
              <w:t>Variable Rate Debt:</w:t>
            </w:r>
          </w:p>
        </w:tc>
        <w:tc>
          <w:tcPr>
            <w:tcW w:w="9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300,830</w:t>
            </w:r>
          </w:p>
        </w:tc>
        <w:tc>
          <w:tcPr>
            <w:tcW w:w="8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16,740</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59,975(1)</w:t>
            </w:r>
          </w:p>
        </w:tc>
        <w:tc>
          <w:tcPr>
            <w:tcW w:w="10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377,545</w:t>
            </w:r>
          </w:p>
        </w:tc>
        <w:tc>
          <w:tcPr>
            <w:tcW w:w="10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377,545</w:t>
            </w:r>
          </w:p>
        </w:tc>
      </w:tr>
      <w:tr>
        <w:trPr>
          <w:trHeight w:val="137"/>
        </w:trPr>
        <w:tc>
          <w:tcPr>
            <w:tcW w:w="1680" w:type="dxa"/>
            <w:vAlign w:val="bottom"/>
          </w:tcPr>
          <w:p>
            <w:pPr>
              <w:spacing w:after="0"/>
              <w:rPr>
                <w:sz w:val="20"/>
                <w:szCs w:val="20"/>
                <w:color w:val="auto"/>
              </w:rPr>
            </w:pPr>
            <w:r>
              <w:rPr>
                <w:rFonts w:ascii="Courier New" w:cs="Courier New" w:eastAsia="Courier New" w:hAnsi="Courier New"/>
                <w:sz w:val="12"/>
                <w:szCs w:val="12"/>
                <w:color w:val="auto"/>
              </w:rPr>
              <w:t>Average Interest Rate:</w:t>
            </w:r>
          </w:p>
        </w:tc>
        <w:tc>
          <w:tcPr>
            <w:tcW w:w="9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3.79%</w:t>
            </w:r>
          </w:p>
        </w:tc>
        <w:tc>
          <w:tcPr>
            <w:tcW w:w="8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1.31%</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2.90%</w:t>
            </w:r>
          </w:p>
        </w:tc>
        <w:tc>
          <w:tcPr>
            <w:tcW w:w="10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3.54%</w:t>
            </w:r>
          </w:p>
        </w:tc>
        <w:tc>
          <w:tcPr>
            <w:tcW w:w="1060" w:type="dxa"/>
            <w:vAlign w:val="bottom"/>
          </w:tcPr>
          <w:p>
            <w:pPr>
              <w:spacing w:after="0"/>
              <w:rPr>
                <w:sz w:val="11"/>
                <w:szCs w:val="11"/>
                <w:color w:val="auto"/>
              </w:rPr>
            </w:pPr>
          </w:p>
        </w:tc>
      </w:tr>
    </w:tbl>
    <w:p>
      <w:pPr>
        <w:spacing w:after="0" w:line="200" w:lineRule="exact"/>
        <w:rPr>
          <w:sz w:val="20"/>
          <w:szCs w:val="20"/>
          <w:color w:val="auto"/>
        </w:rPr>
      </w:pPr>
    </w:p>
    <w:p>
      <w:pPr>
        <w:spacing w:after="0" w:line="202" w:lineRule="exact"/>
        <w:rPr>
          <w:sz w:val="20"/>
          <w:szCs w:val="20"/>
          <w:color w:val="auto"/>
        </w:rPr>
      </w:pPr>
    </w:p>
    <w:p>
      <w:pPr>
        <w:ind w:right="2040"/>
        <w:spacing w:after="0" w:line="435" w:lineRule="auto"/>
        <w:rPr>
          <w:sz w:val="20"/>
          <w:szCs w:val="20"/>
          <w:color w:val="auto"/>
        </w:rPr>
      </w:pPr>
      <w:r>
        <w:rPr>
          <w:rFonts w:ascii="Arial" w:cs="Arial" w:eastAsia="Arial" w:hAnsi="Arial"/>
          <w:sz w:val="22"/>
          <w:szCs w:val="22"/>
          <w:color w:val="auto"/>
        </w:rPr>
        <w:t xml:space="preserve">(1) Includes an interest rate swap, which effectively produces a fixed rate of 7.2625% until January 1, 2006. </w:t>
      </w:r>
      <w:r>
        <w:rPr>
          <w:rFonts w:ascii="Arial" w:cs="Arial" w:eastAsia="Arial" w:hAnsi="Arial"/>
          <w:sz w:val="22"/>
          <w:szCs w:val="22"/>
          <w:b w:val="1"/>
          <w:bCs w:val="1"/>
          <w:color w:val="auto"/>
        </w:rPr>
        <w:t>Item 4. Controls and Procedures</w:t>
      </w:r>
    </w:p>
    <w:p>
      <w:pPr>
        <w:spacing w:after="0" w:line="1"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Our chief executive officer and chief financial officer evaluated the effectiveness of our disclosure controls and procedures (as defined in rule 13a-14c under the Securities Exchange Act of 1934, as amended) as of June 30, 2005 and, based on that evaluation, concluded that, as of the end of the period covered by this report, we had sufficient controls and procedures for recording, processing, summarizing and reporting information that is required to be disclosed in our reports under the Securities Exchange Act of 1934, as amended, within the time periods specified in the SEC’s rules and forms.</w:t>
      </w:r>
    </w:p>
    <w:p>
      <w:pPr>
        <w:spacing w:after="0" w:line="179" w:lineRule="exact"/>
        <w:rPr>
          <w:sz w:val="20"/>
          <w:szCs w:val="20"/>
          <w:color w:val="auto"/>
        </w:rPr>
      </w:pPr>
    </w:p>
    <w:p>
      <w:pPr>
        <w:ind w:right="140"/>
        <w:spacing w:after="0" w:line="328" w:lineRule="auto"/>
        <w:rPr>
          <w:sz w:val="20"/>
          <w:szCs w:val="20"/>
          <w:color w:val="auto"/>
        </w:rPr>
      </w:pPr>
      <w:r>
        <w:rPr>
          <w:rFonts w:ascii="Arial" w:cs="Arial" w:eastAsia="Arial" w:hAnsi="Arial"/>
          <w:sz w:val="19"/>
          <w:szCs w:val="19"/>
          <w:color w:val="auto"/>
        </w:rPr>
        <w:t>There have been no changes in the internal controls over financial reporting or in other factors that have materially affected, or are reasonably likely to materially affect these internal controls over financial reporting in the second quarter of 2005.</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Other Information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940" w:type="dxa"/>
            <w:vAlign w:val="bottom"/>
            <w:gridSpan w:val="3"/>
          </w:tcPr>
          <w:p>
            <w:pPr>
              <w:spacing w:after="0"/>
              <w:rPr>
                <w:sz w:val="20"/>
                <w:szCs w:val="20"/>
                <w:color w:val="auto"/>
              </w:rPr>
            </w:pPr>
            <w:r>
              <w:rPr>
                <w:rFonts w:ascii="Arial" w:cs="Arial" w:eastAsia="Arial" w:hAnsi="Arial"/>
                <w:sz w:val="22"/>
                <w:szCs w:val="22"/>
                <w:b w:val="1"/>
                <w:bCs w:val="1"/>
                <w:color w:val="auto"/>
              </w:rPr>
              <w:t>Item 6. Exhibits</w:t>
            </w: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09"/>
        </w:trPr>
        <w:tc>
          <w:tcPr>
            <w:tcW w:w="58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22"/>
                <w:szCs w:val="22"/>
                <w:color w:val="auto"/>
                <w:w w:val="93"/>
              </w:rPr>
              <w:t>Exhibit No.</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gridSpan w:val="2"/>
          </w:tcPr>
          <w:p>
            <w:pPr>
              <w:spacing w:after="0"/>
              <w:rPr>
                <w:sz w:val="20"/>
                <w:szCs w:val="20"/>
                <w:color w:val="auto"/>
              </w:rPr>
            </w:pPr>
            <w:r>
              <w:rPr>
                <w:rFonts w:ascii="Arial" w:cs="Arial" w:eastAsia="Arial" w:hAnsi="Arial"/>
                <w:sz w:val="22"/>
                <w:szCs w:val="22"/>
                <w:b w:val="1"/>
                <w:bCs w:val="1"/>
                <w:color w:val="auto"/>
              </w:rPr>
              <w:t>Description</w:t>
            </w:r>
          </w:p>
        </w:tc>
      </w:tr>
      <w:tr>
        <w:trPr>
          <w:trHeight w:val="20"/>
        </w:trPr>
        <w:tc>
          <w:tcPr>
            <w:tcW w:w="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85"/>
        </w:trPr>
        <w:tc>
          <w:tcPr>
            <w:tcW w:w="58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22"/>
                <w:szCs w:val="22"/>
                <w:color w:val="auto"/>
              </w:rPr>
              <w:t>31.1</w:t>
            </w:r>
          </w:p>
        </w:tc>
        <w:tc>
          <w:tcPr>
            <w:tcW w:w="340" w:type="dxa"/>
            <w:vAlign w:val="bottom"/>
          </w:tcPr>
          <w:p>
            <w:pPr>
              <w:spacing w:after="0"/>
              <w:rPr>
                <w:sz w:val="24"/>
                <w:szCs w:val="24"/>
                <w:color w:val="auto"/>
              </w:rPr>
            </w:pPr>
          </w:p>
        </w:tc>
        <w:tc>
          <w:tcPr>
            <w:tcW w:w="2600" w:type="dxa"/>
            <w:vAlign w:val="bottom"/>
            <w:gridSpan w:val="3"/>
          </w:tcPr>
          <w:p>
            <w:pPr>
              <w:ind w:left="360"/>
              <w:spacing w:after="0"/>
              <w:rPr>
                <w:sz w:val="20"/>
                <w:szCs w:val="20"/>
                <w:color w:val="auto"/>
              </w:rPr>
            </w:pPr>
            <w:r>
              <w:rPr>
                <w:rFonts w:ascii="Arial" w:cs="Arial" w:eastAsia="Arial" w:hAnsi="Arial"/>
                <w:sz w:val="22"/>
                <w:szCs w:val="22"/>
                <w:color w:val="auto"/>
                <w:w w:val="88"/>
              </w:rPr>
              <w:t>Section 302 Certifications</w:t>
            </w:r>
          </w:p>
        </w:tc>
      </w:tr>
      <w:tr>
        <w:trPr>
          <w:trHeight w:val="275"/>
        </w:trPr>
        <w:tc>
          <w:tcPr>
            <w:tcW w:w="1600" w:type="dxa"/>
            <w:vAlign w:val="bottom"/>
            <w:gridSpan w:val="2"/>
          </w:tcPr>
          <w:p>
            <w:pPr>
              <w:ind w:left="580"/>
              <w:spacing w:after="0"/>
              <w:rPr>
                <w:sz w:val="20"/>
                <w:szCs w:val="20"/>
                <w:color w:val="auto"/>
              </w:rPr>
            </w:pPr>
            <w:r>
              <w:rPr>
                <w:rFonts w:ascii="Arial" w:cs="Arial" w:eastAsia="Arial" w:hAnsi="Arial"/>
                <w:sz w:val="22"/>
                <w:szCs w:val="22"/>
                <w:color w:val="auto"/>
              </w:rPr>
              <w:t>31.2</w:t>
            </w:r>
          </w:p>
        </w:tc>
        <w:tc>
          <w:tcPr>
            <w:tcW w:w="340" w:type="dxa"/>
            <w:vAlign w:val="bottom"/>
          </w:tcPr>
          <w:p>
            <w:pPr>
              <w:spacing w:after="0"/>
              <w:rPr>
                <w:sz w:val="23"/>
                <w:szCs w:val="23"/>
                <w:color w:val="auto"/>
              </w:rPr>
            </w:pPr>
          </w:p>
        </w:tc>
        <w:tc>
          <w:tcPr>
            <w:tcW w:w="2600" w:type="dxa"/>
            <w:vAlign w:val="bottom"/>
            <w:gridSpan w:val="3"/>
          </w:tcPr>
          <w:p>
            <w:pPr>
              <w:ind w:left="360"/>
              <w:spacing w:after="0"/>
              <w:rPr>
                <w:sz w:val="20"/>
                <w:szCs w:val="20"/>
                <w:color w:val="auto"/>
              </w:rPr>
            </w:pPr>
            <w:r>
              <w:rPr>
                <w:rFonts w:ascii="Arial" w:cs="Arial" w:eastAsia="Arial" w:hAnsi="Arial"/>
                <w:sz w:val="22"/>
                <w:szCs w:val="22"/>
                <w:color w:val="auto"/>
                <w:w w:val="88"/>
              </w:rPr>
              <w:t>Section 302 Certifications</w:t>
            </w:r>
          </w:p>
        </w:tc>
      </w:tr>
      <w:tr>
        <w:trPr>
          <w:trHeight w:val="455"/>
        </w:trPr>
        <w:tc>
          <w:tcPr>
            <w:tcW w:w="1600" w:type="dxa"/>
            <w:vAlign w:val="bottom"/>
            <w:gridSpan w:val="2"/>
          </w:tcPr>
          <w:p>
            <w:pPr>
              <w:ind w:left="580"/>
              <w:spacing w:after="0"/>
              <w:rPr>
                <w:sz w:val="20"/>
                <w:szCs w:val="20"/>
                <w:color w:val="auto"/>
              </w:rPr>
            </w:pPr>
            <w:r>
              <w:rPr>
                <w:rFonts w:ascii="Arial" w:cs="Arial" w:eastAsia="Arial" w:hAnsi="Arial"/>
                <w:sz w:val="22"/>
                <w:szCs w:val="22"/>
                <w:color w:val="auto"/>
              </w:rPr>
              <w:t>32.1</w:t>
            </w:r>
          </w:p>
        </w:tc>
        <w:tc>
          <w:tcPr>
            <w:tcW w:w="340" w:type="dxa"/>
            <w:vAlign w:val="bottom"/>
          </w:tcPr>
          <w:p>
            <w:pPr>
              <w:spacing w:after="0"/>
              <w:rPr>
                <w:sz w:val="24"/>
                <w:szCs w:val="24"/>
                <w:color w:val="auto"/>
              </w:rPr>
            </w:pPr>
          </w:p>
        </w:tc>
        <w:tc>
          <w:tcPr>
            <w:tcW w:w="2600" w:type="dxa"/>
            <w:vAlign w:val="bottom"/>
            <w:gridSpan w:val="3"/>
          </w:tcPr>
          <w:p>
            <w:pPr>
              <w:ind w:left="360"/>
              <w:spacing w:after="0"/>
              <w:rPr>
                <w:sz w:val="20"/>
                <w:szCs w:val="20"/>
                <w:color w:val="auto"/>
              </w:rPr>
            </w:pPr>
            <w:r>
              <w:rPr>
                <w:rFonts w:ascii="Arial" w:cs="Arial" w:eastAsia="Arial" w:hAnsi="Arial"/>
                <w:sz w:val="22"/>
                <w:szCs w:val="22"/>
                <w:color w:val="auto"/>
                <w:w w:val="88"/>
              </w:rPr>
              <w:t>Section 906 Certifications</w:t>
            </w:r>
          </w:p>
        </w:tc>
      </w:tr>
      <w:tr>
        <w:trPr>
          <w:trHeight w:val="275"/>
        </w:trPr>
        <w:tc>
          <w:tcPr>
            <w:tcW w:w="1600" w:type="dxa"/>
            <w:vAlign w:val="bottom"/>
            <w:gridSpan w:val="2"/>
          </w:tcPr>
          <w:p>
            <w:pPr>
              <w:ind w:left="580"/>
              <w:spacing w:after="0"/>
              <w:rPr>
                <w:sz w:val="20"/>
                <w:szCs w:val="20"/>
                <w:color w:val="auto"/>
              </w:rPr>
            </w:pPr>
            <w:r>
              <w:rPr>
                <w:rFonts w:ascii="Arial" w:cs="Arial" w:eastAsia="Arial" w:hAnsi="Arial"/>
                <w:sz w:val="22"/>
                <w:szCs w:val="22"/>
                <w:color w:val="auto"/>
              </w:rPr>
              <w:t>32.2</w:t>
            </w:r>
          </w:p>
        </w:tc>
        <w:tc>
          <w:tcPr>
            <w:tcW w:w="340" w:type="dxa"/>
            <w:vAlign w:val="bottom"/>
          </w:tcPr>
          <w:p>
            <w:pPr>
              <w:spacing w:after="0"/>
              <w:rPr>
                <w:sz w:val="23"/>
                <w:szCs w:val="23"/>
                <w:color w:val="auto"/>
              </w:rPr>
            </w:pPr>
          </w:p>
        </w:tc>
        <w:tc>
          <w:tcPr>
            <w:tcW w:w="2600" w:type="dxa"/>
            <w:vAlign w:val="bottom"/>
            <w:gridSpan w:val="3"/>
          </w:tcPr>
          <w:p>
            <w:pPr>
              <w:ind w:left="360"/>
              <w:spacing w:after="0"/>
              <w:rPr>
                <w:sz w:val="20"/>
                <w:szCs w:val="20"/>
                <w:color w:val="auto"/>
              </w:rPr>
            </w:pPr>
            <w:r>
              <w:rPr>
                <w:rFonts w:ascii="Arial" w:cs="Arial" w:eastAsia="Arial" w:hAnsi="Arial"/>
                <w:sz w:val="22"/>
                <w:szCs w:val="22"/>
                <w:color w:val="auto"/>
                <w:w w:val="88"/>
              </w:rPr>
              <w:t>Section 906 Certifications</w:t>
            </w:r>
          </w:p>
        </w:tc>
      </w:tr>
    </w:tbl>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CPG PARTNERS, L.P.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Signatures</w:t>
      </w:r>
    </w:p>
    <w:p>
      <w:pPr>
        <w:spacing w:after="0" w:line="206"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CPG PARTNERS, L.P.</w:t>
      </w:r>
    </w:p>
    <w:p>
      <w:pPr>
        <w:spacing w:after="0" w:line="23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 /s/ Michael J.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-17780</wp:posOffset>
            </wp:positionV>
            <wp:extent cx="17532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53235" cy="8890"/>
                    </a:xfrm>
                    <a:prstGeom prst="rect">
                      <a:avLst/>
                    </a:prstGeom>
                    <a:noFill/>
                  </pic:spPr>
                </pic:pic>
              </a:graphicData>
            </a:graphic>
          </wp:anchor>
        </w:drawing>
      </w:r>
    </w:p>
    <w:p>
      <w:pPr>
        <w:ind w:left="6000"/>
        <w:spacing w:after="0" w:line="238" w:lineRule="auto"/>
        <w:rPr>
          <w:sz w:val="20"/>
          <w:szCs w:val="20"/>
          <w:color w:val="auto"/>
        </w:rPr>
      </w:pPr>
      <w:r>
        <w:rPr>
          <w:rFonts w:ascii="Arial" w:cs="Arial" w:eastAsia="Arial" w:hAnsi="Arial"/>
          <w:sz w:val="22"/>
          <w:szCs w:val="22"/>
          <w:color w:val="auto"/>
        </w:rPr>
        <w:t>Michael J. Clarke</w:t>
      </w:r>
    </w:p>
    <w:p>
      <w:pPr>
        <w:ind w:left="6000"/>
        <w:spacing w:after="0" w:line="230" w:lineRule="auto"/>
        <w:rPr>
          <w:sz w:val="20"/>
          <w:szCs w:val="20"/>
          <w:color w:val="auto"/>
        </w:rPr>
      </w:pPr>
      <w:r>
        <w:rPr>
          <w:rFonts w:ascii="Arial" w:cs="Arial" w:eastAsia="Arial" w:hAnsi="Arial"/>
          <w:sz w:val="22"/>
          <w:szCs w:val="22"/>
          <w:color w:val="auto"/>
        </w:rPr>
        <w:t>Executive Vice President &amp;</w:t>
      </w:r>
    </w:p>
    <w:p>
      <w:pPr>
        <w:spacing w:after="0" w:line="1"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Chief Financial Officer</w:t>
      </w:r>
    </w:p>
    <w:p>
      <w:pPr>
        <w:sectPr>
          <w:pgSz w:w="11900" w:h="16838" w:orient="portrait"/>
          <w:cols w:equalWidth="0" w:num="1">
            <w:col w:w="11420"/>
          </w:cols>
          <w:pgMar w:left="240" w:top="118" w:right="239" w:bottom="178" w:gutter="0" w:footer="0" w:header="0"/>
        </w:sectPr>
      </w:pPr>
    </w:p>
    <w:bookmarkStart w:id="14" w:name="page15"/>
    <w:bookmarkEnd w:id="14"/>
    <w:p>
      <w:pPr>
        <w:spacing w:after="0"/>
        <w:rPr>
          <w:sz w:val="20"/>
          <w:szCs w:val="20"/>
          <w:color w:val="auto"/>
        </w:rPr>
      </w:pPr>
      <w:r>
        <w:rPr>
          <w:rFonts w:ascii="Arial" w:cs="Arial" w:eastAsia="Arial" w:hAnsi="Arial"/>
          <w:sz w:val="19"/>
          <w:szCs w:val="19"/>
          <w:color w:val="auto"/>
        </w:rPr>
        <w:t>Date: August 4, 2005</w:t>
      </w:r>
    </w:p>
    <w:p>
      <w:pPr>
        <w:sectPr>
          <w:pgSz w:w="11900" w:h="16838" w:orient="portrait"/>
          <w:cols w:equalWidth="0" w:num="1">
            <w:col w:w="10219"/>
          </w:cols>
          <w:pgMar w:left="240" w:top="1063" w:right="1440" w:bottom="1440" w:gutter="0" w:footer="0" w:header="0"/>
        </w:sectPr>
      </w:pPr>
    </w:p>
    <w:bookmarkStart w:id="15" w:name="page16"/>
    <w:bookmarkEnd w:id="15"/>
    <w:p>
      <w:pPr>
        <w:jc w:val="center"/>
        <w:ind w:left="260" w:right="1820"/>
        <w:spacing w:after="0" w:line="243" w:lineRule="auto"/>
        <w:rPr>
          <w:sz w:val="20"/>
          <w:szCs w:val="20"/>
          <w:color w:val="auto"/>
        </w:rPr>
      </w:pPr>
      <w:r>
        <w:rPr>
          <w:rFonts w:ascii="Arial" w:cs="Arial" w:eastAsia="Arial" w:hAnsi="Arial"/>
          <w:sz w:val="22"/>
          <w:szCs w:val="22"/>
          <w:b w:val="1"/>
          <w:bCs w:val="1"/>
          <w:color w:val="auto"/>
        </w:rPr>
        <w:t>Certification by the Chief Executive Officer pursuant to Rule 13a-14(a)/15d-14(a) of the Securities Exchange Act of 1934, as adopted pursuant to Section 302 of the Sarbanes-Oxley Act of 2002</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I, David Bloom, certify that:</w:t>
      </w:r>
    </w:p>
    <w:p>
      <w:pPr>
        <w:spacing w:after="0" w:line="206" w:lineRule="exact"/>
        <w:rPr>
          <w:sz w:val="20"/>
          <w:szCs w:val="20"/>
          <w:color w:val="auto"/>
        </w:rPr>
      </w:pPr>
    </w:p>
    <w:p>
      <w:pPr>
        <w:ind w:left="1160" w:hanging="1152"/>
        <w:spacing w:after="0"/>
        <w:tabs>
          <w:tab w:leader="none" w:pos="1160" w:val="left"/>
        </w:tabs>
        <w:numPr>
          <w:ilvl w:val="0"/>
          <w:numId w:val="7"/>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CPG Partners, L.P.;</w:t>
      </w:r>
    </w:p>
    <w:p>
      <w:pPr>
        <w:spacing w:after="0" w:line="233" w:lineRule="exact"/>
        <w:rPr>
          <w:rFonts w:ascii="Arial" w:cs="Arial" w:eastAsia="Arial" w:hAnsi="Arial"/>
          <w:sz w:val="22"/>
          <w:szCs w:val="22"/>
          <w:color w:val="auto"/>
        </w:rPr>
      </w:pPr>
    </w:p>
    <w:p>
      <w:pPr>
        <w:jc w:val="both"/>
        <w:ind w:left="1160" w:hanging="1152"/>
        <w:spacing w:after="0"/>
        <w:tabs>
          <w:tab w:leader="none" w:pos="1160" w:val="left"/>
        </w:tabs>
        <w:numPr>
          <w:ilvl w:val="0"/>
          <w:numId w:val="7"/>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22"/>
          <w:szCs w:val="22"/>
          <w:color w:val="auto"/>
        </w:rPr>
      </w:pPr>
    </w:p>
    <w:p>
      <w:pPr>
        <w:ind w:left="1160" w:right="100" w:hanging="1152"/>
        <w:spacing w:after="0"/>
        <w:tabs>
          <w:tab w:leader="none" w:pos="1160" w:val="left"/>
        </w:tabs>
        <w:numPr>
          <w:ilvl w:val="0"/>
          <w:numId w:val="7"/>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22"/>
          <w:szCs w:val="22"/>
          <w:color w:val="auto"/>
        </w:rPr>
      </w:pPr>
    </w:p>
    <w:p>
      <w:pPr>
        <w:jc w:val="both"/>
        <w:ind w:left="1160" w:right="160" w:hanging="1152"/>
        <w:spacing w:after="0" w:line="297" w:lineRule="auto"/>
        <w:tabs>
          <w:tab w:leader="none" w:pos="116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61" w:lineRule="exact"/>
        <w:rPr>
          <w:rFonts w:ascii="Arial" w:cs="Arial" w:eastAsia="Arial" w:hAnsi="Arial"/>
          <w:sz w:val="19"/>
          <w:szCs w:val="19"/>
          <w:color w:val="auto"/>
        </w:rPr>
      </w:pPr>
    </w:p>
    <w:p>
      <w:pPr>
        <w:ind w:left="1720" w:right="100" w:hanging="564"/>
        <w:spacing w:after="0" w:line="238" w:lineRule="auto"/>
        <w:tabs>
          <w:tab w:leader="none" w:pos="2044" w:val="left"/>
        </w:tabs>
        <w:numPr>
          <w:ilvl w:val="1"/>
          <w:numId w:val="7"/>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2" w:lineRule="exact"/>
        <w:rPr>
          <w:rFonts w:ascii="Arial" w:cs="Arial" w:eastAsia="Arial" w:hAnsi="Arial"/>
          <w:sz w:val="22"/>
          <w:szCs w:val="22"/>
          <w:color w:val="auto"/>
        </w:rPr>
      </w:pPr>
    </w:p>
    <w:p>
      <w:pPr>
        <w:ind w:left="1720" w:right="460" w:hanging="564"/>
        <w:spacing w:after="0" w:line="238" w:lineRule="auto"/>
        <w:tabs>
          <w:tab w:leader="none" w:pos="2044" w:val="left"/>
        </w:tabs>
        <w:numPr>
          <w:ilvl w:val="1"/>
          <w:numId w:val="7"/>
        </w:numPr>
        <w:rPr>
          <w:rFonts w:ascii="Arial" w:cs="Arial" w:eastAsia="Arial" w:hAnsi="Arial"/>
          <w:sz w:val="22"/>
          <w:szCs w:val="22"/>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Arial" w:cs="Arial" w:eastAsia="Arial" w:hAnsi="Arial"/>
          <w:sz w:val="22"/>
          <w:szCs w:val="22"/>
          <w:color w:val="auto"/>
        </w:rPr>
      </w:pPr>
    </w:p>
    <w:p>
      <w:pPr>
        <w:ind w:left="1720" w:hanging="564"/>
        <w:spacing w:after="0"/>
        <w:tabs>
          <w:tab w:leader="none" w:pos="2044" w:val="left"/>
        </w:tabs>
        <w:numPr>
          <w:ilvl w:val="1"/>
          <w:numId w:val="7"/>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22"/>
          <w:szCs w:val="22"/>
          <w:color w:val="auto"/>
        </w:rPr>
      </w:pPr>
    </w:p>
    <w:p>
      <w:pPr>
        <w:ind w:left="1720" w:right="100" w:hanging="564"/>
        <w:spacing w:after="0" w:line="238" w:lineRule="auto"/>
        <w:tabs>
          <w:tab w:leader="none" w:pos="2044" w:val="left"/>
        </w:tabs>
        <w:numPr>
          <w:ilvl w:val="1"/>
          <w:numId w:val="7"/>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Arial" w:cs="Arial" w:eastAsia="Arial" w:hAnsi="Arial"/>
          <w:sz w:val="22"/>
          <w:szCs w:val="22"/>
          <w:color w:val="auto"/>
        </w:rPr>
      </w:pPr>
    </w:p>
    <w:p>
      <w:pPr>
        <w:ind w:left="1160" w:right="240" w:hanging="1152"/>
        <w:spacing w:after="0"/>
        <w:tabs>
          <w:tab w:leader="none" w:pos="116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13" w:lineRule="exact"/>
        <w:rPr>
          <w:rFonts w:ascii="Arial" w:cs="Arial" w:eastAsia="Arial" w:hAnsi="Arial"/>
          <w:sz w:val="22"/>
          <w:szCs w:val="22"/>
          <w:color w:val="auto"/>
        </w:rPr>
      </w:pPr>
    </w:p>
    <w:p>
      <w:pPr>
        <w:ind w:left="1720" w:right="40" w:hanging="564"/>
        <w:spacing w:after="0"/>
        <w:tabs>
          <w:tab w:leader="none" w:pos="1720" w:val="left"/>
        </w:tabs>
        <w:numPr>
          <w:ilvl w:val="1"/>
          <w:numId w:val="7"/>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Arial" w:cs="Arial" w:eastAsia="Arial" w:hAnsi="Arial"/>
          <w:sz w:val="22"/>
          <w:szCs w:val="22"/>
          <w:color w:val="auto"/>
        </w:rPr>
      </w:pPr>
    </w:p>
    <w:p>
      <w:pPr>
        <w:ind w:left="1720" w:right="180" w:hanging="564"/>
        <w:spacing w:after="0" w:line="251" w:lineRule="auto"/>
        <w:tabs>
          <w:tab w:leader="none" w:pos="1720" w:val="left"/>
        </w:tabs>
        <w:numPr>
          <w:ilvl w:val="1"/>
          <w:numId w:val="7"/>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20" w:type="dxa"/>
            <w:vAlign w:val="bottom"/>
          </w:tcPr>
          <w:p>
            <w:pPr>
              <w:spacing w:after="0"/>
              <w:rPr>
                <w:sz w:val="20"/>
                <w:szCs w:val="20"/>
                <w:color w:val="auto"/>
              </w:rPr>
            </w:pPr>
            <w:r>
              <w:rPr>
                <w:rFonts w:ascii="Arial" w:cs="Arial" w:eastAsia="Arial" w:hAnsi="Arial"/>
                <w:sz w:val="22"/>
                <w:szCs w:val="22"/>
                <w:color w:val="auto"/>
              </w:rPr>
              <w:t>Date: August 4, 2005</w:t>
            </w:r>
          </w:p>
        </w:tc>
        <w:tc>
          <w:tcPr>
            <w:tcW w:w="25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David Bloom</w:t>
            </w:r>
          </w:p>
        </w:tc>
      </w:tr>
      <w:tr>
        <w:trPr>
          <w:trHeight w:val="242"/>
        </w:trPr>
        <w:tc>
          <w:tcPr>
            <w:tcW w:w="5720" w:type="dxa"/>
            <w:vAlign w:val="bottom"/>
          </w:tcPr>
          <w:p>
            <w:pPr>
              <w:spacing w:after="0"/>
              <w:rPr>
                <w:sz w:val="21"/>
                <w:szCs w:val="21"/>
                <w:color w:val="auto"/>
              </w:rPr>
            </w:pPr>
          </w:p>
        </w:tc>
        <w:tc>
          <w:tcPr>
            <w:tcW w:w="2500" w:type="dxa"/>
            <w:vAlign w:val="bottom"/>
          </w:tcPr>
          <w:p>
            <w:pPr>
              <w:spacing w:after="0" w:line="242" w:lineRule="exact"/>
              <w:rPr>
                <w:sz w:val="20"/>
                <w:szCs w:val="20"/>
                <w:color w:val="auto"/>
              </w:rPr>
            </w:pPr>
            <w:r>
              <w:rPr>
                <w:rFonts w:ascii="Arial" w:cs="Arial" w:eastAsia="Arial" w:hAnsi="Arial"/>
                <w:sz w:val="22"/>
                <w:szCs w:val="22"/>
                <w:color w:val="auto"/>
              </w:rPr>
              <w:t>David Bloom</w:t>
            </w:r>
          </w:p>
        </w:tc>
      </w:tr>
      <w:tr>
        <w:trPr>
          <w:trHeight w:val="275"/>
        </w:trPr>
        <w:tc>
          <w:tcPr>
            <w:tcW w:w="5720" w:type="dxa"/>
            <w:vAlign w:val="bottom"/>
          </w:tcPr>
          <w:p>
            <w:pPr>
              <w:spacing w:after="0"/>
              <w:rPr>
                <w:sz w:val="23"/>
                <w:szCs w:val="23"/>
                <w:color w:val="auto"/>
              </w:rPr>
            </w:pPr>
          </w:p>
        </w:tc>
        <w:tc>
          <w:tcPr>
            <w:tcW w:w="2500" w:type="dxa"/>
            <w:vAlign w:val="bottom"/>
          </w:tcPr>
          <w:p>
            <w:pPr>
              <w:spacing w:after="0"/>
              <w:rPr>
                <w:sz w:val="20"/>
                <w:szCs w:val="20"/>
                <w:color w:val="auto"/>
              </w:rPr>
            </w:pPr>
            <w:r>
              <w:rPr>
                <w:rFonts w:ascii="Arial" w:cs="Arial" w:eastAsia="Arial" w:hAnsi="Arial"/>
                <w:sz w:val="22"/>
                <w:szCs w:val="22"/>
                <w:color w:val="auto"/>
              </w:rPr>
              <w:t>Chief Executive Officer</w:t>
            </w:r>
          </w:p>
        </w:tc>
      </w:tr>
    </w:tbl>
    <w:p>
      <w:pPr>
        <w:sectPr>
          <w:pgSz w:w="11900" w:h="16838" w:orient="portrait"/>
          <w:cols w:equalWidth="0" w:num="1">
            <w:col w:w="11400"/>
          </w:cols>
          <w:pgMar w:left="240" w:top="112" w:right="259" w:bottom="1440" w:gutter="0" w:footer="0" w:header="0"/>
        </w:sectPr>
      </w:pPr>
    </w:p>
    <w:bookmarkStart w:id="16" w:name="page17"/>
    <w:bookmarkEnd w:id="16"/>
    <w:p>
      <w:pPr>
        <w:jc w:val="center"/>
        <w:ind w:left="260" w:right="1840"/>
        <w:spacing w:after="0" w:line="243" w:lineRule="auto"/>
        <w:rPr>
          <w:sz w:val="20"/>
          <w:szCs w:val="20"/>
          <w:color w:val="auto"/>
        </w:rPr>
      </w:pPr>
      <w:r>
        <w:rPr>
          <w:rFonts w:ascii="Arial" w:cs="Arial" w:eastAsia="Arial" w:hAnsi="Arial"/>
          <w:sz w:val="22"/>
          <w:szCs w:val="22"/>
          <w:b w:val="1"/>
          <w:bCs w:val="1"/>
          <w:color w:val="auto"/>
        </w:rPr>
        <w:t>Certification by the Chief Financial Officer pursuant to Rule 13a-14(a)/15d-14(a) of the Securities Exchange Act of 1934, as adopted pursuant to Section 302 of the Sarbanes-Oxley Act of 2002</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I, Michael J. Clarke, certify that:</w:t>
      </w:r>
    </w:p>
    <w:p>
      <w:pPr>
        <w:spacing w:after="0" w:line="206" w:lineRule="exact"/>
        <w:rPr>
          <w:sz w:val="20"/>
          <w:szCs w:val="20"/>
          <w:color w:val="auto"/>
        </w:rPr>
      </w:pPr>
    </w:p>
    <w:p>
      <w:pPr>
        <w:ind w:left="1160" w:hanging="1152"/>
        <w:spacing w:after="0"/>
        <w:tabs>
          <w:tab w:leader="none" w:pos="1160" w:val="left"/>
        </w:tabs>
        <w:numPr>
          <w:ilvl w:val="0"/>
          <w:numId w:val="8"/>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CPG Partners, L.P.;</w:t>
      </w:r>
    </w:p>
    <w:p>
      <w:pPr>
        <w:spacing w:after="0" w:line="233" w:lineRule="exact"/>
        <w:rPr>
          <w:rFonts w:ascii="Arial" w:cs="Arial" w:eastAsia="Arial" w:hAnsi="Arial"/>
          <w:sz w:val="22"/>
          <w:szCs w:val="22"/>
          <w:color w:val="auto"/>
        </w:rPr>
      </w:pPr>
    </w:p>
    <w:p>
      <w:pPr>
        <w:jc w:val="both"/>
        <w:ind w:left="1160" w:hanging="1152"/>
        <w:spacing w:after="0"/>
        <w:tabs>
          <w:tab w:leader="none" w:pos="1160" w:val="left"/>
        </w:tabs>
        <w:numPr>
          <w:ilvl w:val="0"/>
          <w:numId w:val="8"/>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22"/>
          <w:szCs w:val="22"/>
          <w:color w:val="auto"/>
        </w:rPr>
      </w:pPr>
    </w:p>
    <w:p>
      <w:pPr>
        <w:ind w:left="1160" w:right="100" w:hanging="1152"/>
        <w:spacing w:after="0"/>
        <w:tabs>
          <w:tab w:leader="none" w:pos="1160" w:val="left"/>
        </w:tabs>
        <w:numPr>
          <w:ilvl w:val="0"/>
          <w:numId w:val="8"/>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22"/>
          <w:szCs w:val="22"/>
          <w:color w:val="auto"/>
        </w:rPr>
      </w:pPr>
    </w:p>
    <w:p>
      <w:pPr>
        <w:jc w:val="both"/>
        <w:ind w:left="1160" w:right="160" w:hanging="1152"/>
        <w:spacing w:after="0" w:line="297" w:lineRule="auto"/>
        <w:tabs>
          <w:tab w:leader="none" w:pos="116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61" w:lineRule="exact"/>
        <w:rPr>
          <w:rFonts w:ascii="Arial" w:cs="Arial" w:eastAsia="Arial" w:hAnsi="Arial"/>
          <w:sz w:val="19"/>
          <w:szCs w:val="19"/>
          <w:color w:val="auto"/>
        </w:rPr>
      </w:pPr>
    </w:p>
    <w:p>
      <w:pPr>
        <w:ind w:left="1720" w:right="100" w:hanging="564"/>
        <w:spacing w:after="0" w:line="238" w:lineRule="auto"/>
        <w:tabs>
          <w:tab w:leader="none" w:pos="2044" w:val="left"/>
        </w:tabs>
        <w:numPr>
          <w:ilvl w:val="1"/>
          <w:numId w:val="8"/>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2" w:lineRule="exact"/>
        <w:rPr>
          <w:rFonts w:ascii="Arial" w:cs="Arial" w:eastAsia="Arial" w:hAnsi="Arial"/>
          <w:sz w:val="22"/>
          <w:szCs w:val="22"/>
          <w:color w:val="auto"/>
        </w:rPr>
      </w:pPr>
    </w:p>
    <w:p>
      <w:pPr>
        <w:ind w:left="1720" w:right="460" w:hanging="564"/>
        <w:spacing w:after="0" w:line="238" w:lineRule="auto"/>
        <w:tabs>
          <w:tab w:leader="none" w:pos="2044" w:val="left"/>
        </w:tabs>
        <w:numPr>
          <w:ilvl w:val="1"/>
          <w:numId w:val="8"/>
        </w:numPr>
        <w:rPr>
          <w:rFonts w:ascii="Arial" w:cs="Arial" w:eastAsia="Arial" w:hAnsi="Arial"/>
          <w:sz w:val="22"/>
          <w:szCs w:val="22"/>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Arial" w:cs="Arial" w:eastAsia="Arial" w:hAnsi="Arial"/>
          <w:sz w:val="22"/>
          <w:szCs w:val="22"/>
          <w:color w:val="auto"/>
        </w:rPr>
      </w:pPr>
    </w:p>
    <w:p>
      <w:pPr>
        <w:ind w:left="1720" w:hanging="564"/>
        <w:spacing w:after="0"/>
        <w:tabs>
          <w:tab w:leader="none" w:pos="2044" w:val="left"/>
        </w:tabs>
        <w:numPr>
          <w:ilvl w:val="1"/>
          <w:numId w:val="8"/>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22"/>
          <w:szCs w:val="22"/>
          <w:color w:val="auto"/>
        </w:rPr>
      </w:pPr>
    </w:p>
    <w:p>
      <w:pPr>
        <w:ind w:left="1720" w:right="100" w:hanging="564"/>
        <w:spacing w:after="0" w:line="238" w:lineRule="auto"/>
        <w:tabs>
          <w:tab w:leader="none" w:pos="2044" w:val="left"/>
        </w:tabs>
        <w:numPr>
          <w:ilvl w:val="1"/>
          <w:numId w:val="8"/>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Arial" w:cs="Arial" w:eastAsia="Arial" w:hAnsi="Arial"/>
          <w:sz w:val="22"/>
          <w:szCs w:val="22"/>
          <w:color w:val="auto"/>
        </w:rPr>
      </w:pPr>
    </w:p>
    <w:p>
      <w:pPr>
        <w:ind w:left="1160" w:right="240" w:hanging="1152"/>
        <w:spacing w:after="0"/>
        <w:tabs>
          <w:tab w:leader="none" w:pos="116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13" w:lineRule="exact"/>
        <w:rPr>
          <w:rFonts w:ascii="Arial" w:cs="Arial" w:eastAsia="Arial" w:hAnsi="Arial"/>
          <w:sz w:val="22"/>
          <w:szCs w:val="22"/>
          <w:color w:val="auto"/>
        </w:rPr>
      </w:pPr>
    </w:p>
    <w:p>
      <w:pPr>
        <w:ind w:left="1720" w:right="40" w:hanging="564"/>
        <w:spacing w:after="0"/>
        <w:tabs>
          <w:tab w:leader="none" w:pos="1720" w:val="left"/>
        </w:tabs>
        <w:numPr>
          <w:ilvl w:val="1"/>
          <w:numId w:val="8"/>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Arial" w:cs="Arial" w:eastAsia="Arial" w:hAnsi="Arial"/>
          <w:sz w:val="22"/>
          <w:szCs w:val="22"/>
          <w:color w:val="auto"/>
        </w:rPr>
      </w:pPr>
    </w:p>
    <w:p>
      <w:pPr>
        <w:ind w:left="1720" w:right="180" w:hanging="564"/>
        <w:spacing w:after="0" w:line="251" w:lineRule="auto"/>
        <w:tabs>
          <w:tab w:leader="none" w:pos="1720" w:val="left"/>
        </w:tabs>
        <w:numPr>
          <w:ilvl w:val="1"/>
          <w:numId w:val="8"/>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20" w:type="dxa"/>
            <w:vAlign w:val="bottom"/>
          </w:tcPr>
          <w:p>
            <w:pPr>
              <w:spacing w:after="0"/>
              <w:rPr>
                <w:sz w:val="20"/>
                <w:szCs w:val="20"/>
                <w:color w:val="auto"/>
              </w:rPr>
            </w:pPr>
            <w:r>
              <w:rPr>
                <w:rFonts w:ascii="Arial" w:cs="Arial" w:eastAsia="Arial" w:hAnsi="Arial"/>
                <w:sz w:val="22"/>
                <w:szCs w:val="22"/>
                <w:color w:val="auto"/>
              </w:rPr>
              <w:t>Date: August 4, 2005</w:t>
            </w:r>
          </w:p>
        </w:tc>
        <w:tc>
          <w:tcPr>
            <w:tcW w:w="3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J. Clarke</w:t>
            </w:r>
          </w:p>
        </w:tc>
        <w:tc>
          <w:tcPr>
            <w:tcW w:w="140" w:type="dxa"/>
            <w:vAlign w:val="bottom"/>
          </w:tcPr>
          <w:p>
            <w:pPr>
              <w:spacing w:after="0"/>
              <w:rPr>
                <w:sz w:val="21"/>
                <w:szCs w:val="21"/>
                <w:color w:val="auto"/>
              </w:rPr>
            </w:pPr>
          </w:p>
        </w:tc>
      </w:tr>
      <w:tr>
        <w:trPr>
          <w:trHeight w:val="242"/>
        </w:trPr>
        <w:tc>
          <w:tcPr>
            <w:tcW w:w="5720" w:type="dxa"/>
            <w:vAlign w:val="bottom"/>
          </w:tcPr>
          <w:p>
            <w:pPr>
              <w:spacing w:after="0"/>
              <w:rPr>
                <w:sz w:val="21"/>
                <w:szCs w:val="21"/>
                <w:color w:val="auto"/>
              </w:rPr>
            </w:pPr>
          </w:p>
        </w:tc>
        <w:tc>
          <w:tcPr>
            <w:tcW w:w="3820" w:type="dxa"/>
            <w:vAlign w:val="bottom"/>
            <w:gridSpan w:val="2"/>
          </w:tcPr>
          <w:p>
            <w:pPr>
              <w:spacing w:after="0" w:line="242" w:lineRule="exact"/>
              <w:rPr>
                <w:sz w:val="20"/>
                <w:szCs w:val="20"/>
                <w:color w:val="auto"/>
              </w:rPr>
            </w:pPr>
            <w:r>
              <w:rPr>
                <w:rFonts w:ascii="Arial" w:cs="Arial" w:eastAsia="Arial" w:hAnsi="Arial"/>
                <w:sz w:val="22"/>
                <w:szCs w:val="22"/>
                <w:color w:val="auto"/>
                <w:w w:val="89"/>
              </w:rPr>
              <w:t>Michael J. Clarke, Executive Vice President</w:t>
            </w:r>
          </w:p>
        </w:tc>
      </w:tr>
      <w:tr>
        <w:trPr>
          <w:trHeight w:val="275"/>
        </w:trPr>
        <w:tc>
          <w:tcPr>
            <w:tcW w:w="5720" w:type="dxa"/>
            <w:vAlign w:val="bottom"/>
          </w:tcPr>
          <w:p>
            <w:pPr>
              <w:spacing w:after="0"/>
              <w:rPr>
                <w:sz w:val="23"/>
                <w:szCs w:val="23"/>
                <w:color w:val="auto"/>
              </w:rPr>
            </w:pPr>
          </w:p>
        </w:tc>
        <w:tc>
          <w:tcPr>
            <w:tcW w:w="3820" w:type="dxa"/>
            <w:vAlign w:val="bottom"/>
            <w:gridSpan w:val="2"/>
          </w:tcPr>
          <w:p>
            <w:pPr>
              <w:spacing w:after="0"/>
              <w:rPr>
                <w:sz w:val="20"/>
                <w:szCs w:val="20"/>
                <w:color w:val="auto"/>
              </w:rPr>
            </w:pPr>
            <w:r>
              <w:rPr>
                <w:rFonts w:ascii="Arial" w:cs="Arial" w:eastAsia="Arial" w:hAnsi="Arial"/>
                <w:sz w:val="22"/>
                <w:szCs w:val="22"/>
                <w:color w:val="auto"/>
              </w:rPr>
              <w:t>and Chief Financial Officer</w:t>
            </w:r>
          </w:p>
        </w:tc>
      </w:tr>
    </w:tbl>
    <w:p>
      <w:pPr>
        <w:sectPr>
          <w:pgSz w:w="11900" w:h="16838" w:orient="portrait"/>
          <w:cols w:equalWidth="0" w:num="1">
            <w:col w:w="11400"/>
          </w:cols>
          <w:pgMar w:left="240" w:top="112"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color w:val="auto"/>
        </w:rPr>
        <w:t>CERTIFICATION</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 David Bloom, Chief Executive Officer of Chelsea Property Group, Inc., the sole general partner of CPG Partners, L.P. ("the OP"), pursuant to Section 906 of the Sarbanes-Oxley Act of 2002, do hereby certify as follows:</w:t>
      </w:r>
    </w:p>
    <w:p>
      <w:pPr>
        <w:spacing w:after="0" w:line="173" w:lineRule="exact"/>
        <w:rPr>
          <w:sz w:val="20"/>
          <w:szCs w:val="20"/>
          <w:color w:val="auto"/>
        </w:rPr>
      </w:pPr>
    </w:p>
    <w:p>
      <w:pPr>
        <w:ind w:left="580" w:right="380" w:hanging="572"/>
        <w:spacing w:after="0" w:line="251" w:lineRule="auto"/>
        <w:tabs>
          <w:tab w:leader="none" w:pos="58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quarterly report on Form 10-Q of the OP for the period ended June 30, 2005 fully complies with the requirements of Section 13(a) or 15(d) of the Securities Exchange Act of 1934; and</w:t>
      </w:r>
    </w:p>
    <w:p>
      <w:pPr>
        <w:spacing w:after="0" w:line="200" w:lineRule="exact"/>
        <w:rPr>
          <w:rFonts w:ascii="Arial" w:cs="Arial" w:eastAsia="Arial" w:hAnsi="Arial"/>
          <w:sz w:val="22"/>
          <w:szCs w:val="22"/>
          <w:color w:val="auto"/>
        </w:rPr>
      </w:pPr>
    </w:p>
    <w:p>
      <w:pPr>
        <w:ind w:left="580" w:right="220" w:hanging="572"/>
        <w:spacing w:after="0" w:line="251" w:lineRule="auto"/>
        <w:tabs>
          <w:tab w:leader="none" w:pos="58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information contained in such Form 10-Q fairly presents, in all material respects, the financial condition and results of operations of the OP.</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I have executed this Certification this 4th day of August, 2005.</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 David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-17780</wp:posOffset>
            </wp:positionV>
            <wp:extent cx="20389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38985" cy="8890"/>
                    </a:xfrm>
                    <a:prstGeom prst="rect">
                      <a:avLst/>
                    </a:prstGeom>
                    <a:noFill/>
                  </pic:spPr>
                </pic:pic>
              </a:graphicData>
            </a:graphic>
          </wp:anchor>
        </w:drawing>
      </w:r>
    </w:p>
    <w:p>
      <w:pPr>
        <w:ind w:left="6160"/>
        <w:spacing w:after="0" w:line="238" w:lineRule="auto"/>
        <w:rPr>
          <w:sz w:val="20"/>
          <w:szCs w:val="20"/>
          <w:color w:val="auto"/>
        </w:rPr>
      </w:pPr>
      <w:r>
        <w:rPr>
          <w:rFonts w:ascii="Arial" w:cs="Arial" w:eastAsia="Arial" w:hAnsi="Arial"/>
          <w:sz w:val="22"/>
          <w:szCs w:val="22"/>
          <w:color w:val="auto"/>
        </w:rPr>
        <w:t>David Bloom</w:t>
      </w:r>
    </w:p>
    <w:p>
      <w:pPr>
        <w:ind w:left="616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31" w:lineRule="exact"/>
        <w:rPr>
          <w:sz w:val="20"/>
          <w:szCs w:val="20"/>
          <w:color w:val="auto"/>
        </w:rPr>
      </w:pPr>
    </w:p>
    <w:p>
      <w:pPr>
        <w:ind w:right="120"/>
        <w:spacing w:after="0" w:line="274" w:lineRule="auto"/>
        <w:rPr>
          <w:sz w:val="20"/>
          <w:szCs w:val="20"/>
          <w:color w:val="auto"/>
        </w:rPr>
      </w:pPr>
      <w:r>
        <w:rPr>
          <w:rFonts w:ascii="Arial" w:cs="Arial" w:eastAsia="Arial" w:hAnsi="Arial"/>
          <w:sz w:val="21"/>
          <w:szCs w:val="21"/>
          <w:color w:val="auto"/>
        </w:rPr>
        <w:t>A signed original of this written statement required by Section 906 has been provided to CPG Partners L.P. and will be retained by CPG Partners L.P. and furnished to the Securities and Exchange Commission or its staff upon request.</w:t>
      </w:r>
    </w:p>
    <w:p>
      <w:pPr>
        <w:sectPr>
          <w:pgSz w:w="11900" w:h="16838" w:orient="portrait"/>
          <w:cols w:equalWidth="0" w:num="1">
            <w:col w:w="11420"/>
          </w:cols>
          <w:pgMar w:left="240" w:top="118" w:right="239" w:bottom="1440" w:gutter="0" w:footer="0" w:header="0"/>
        </w:sectPr>
      </w:pPr>
    </w:p>
    <w:bookmarkStart w:id="18" w:name="page19"/>
    <w:bookmarkEnd w:id="18"/>
    <w:p>
      <w:pPr>
        <w:jc w:val="center"/>
        <w:ind w:right="-139"/>
        <w:spacing w:after="0"/>
        <w:rPr>
          <w:sz w:val="20"/>
          <w:szCs w:val="20"/>
          <w:color w:val="auto"/>
        </w:rPr>
      </w:pPr>
      <w:r>
        <w:rPr>
          <w:rFonts w:ascii="Arial" w:cs="Arial" w:eastAsia="Arial" w:hAnsi="Arial"/>
          <w:sz w:val="22"/>
          <w:szCs w:val="22"/>
          <w:color w:val="auto"/>
        </w:rPr>
        <w:t>CERTIFICATION</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I, Michael J. Clarke, Chief Financial Officer of Chelsea Property Group, Inc., the sole general partner of CPG Partners, L.P.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OP"), pursuant to Section 906 of the Sarbanes-Oxley Act of 2002, do hereby certify as follows:</w:t>
      </w:r>
    </w:p>
    <w:p>
      <w:pPr>
        <w:spacing w:after="0" w:line="188" w:lineRule="exact"/>
        <w:rPr>
          <w:sz w:val="20"/>
          <w:szCs w:val="20"/>
          <w:color w:val="auto"/>
        </w:rPr>
      </w:pPr>
    </w:p>
    <w:p>
      <w:pPr>
        <w:ind w:left="580" w:right="260" w:hanging="572"/>
        <w:spacing w:after="0" w:line="251" w:lineRule="auto"/>
        <w:tabs>
          <w:tab w:leader="none" w:pos="5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quarterly report on Form 10-Q of the OP for the period ended June 30, 2005 fully complies with the requirements of Section 13(a) or 15(d) of the Securities Exchange Act of 1934; and</w:t>
      </w:r>
    </w:p>
    <w:p>
      <w:pPr>
        <w:spacing w:after="0" w:line="200" w:lineRule="exact"/>
        <w:rPr>
          <w:rFonts w:ascii="Arial" w:cs="Arial" w:eastAsia="Arial" w:hAnsi="Arial"/>
          <w:sz w:val="22"/>
          <w:szCs w:val="22"/>
          <w:color w:val="auto"/>
        </w:rPr>
      </w:pPr>
    </w:p>
    <w:p>
      <w:pPr>
        <w:ind w:left="580" w:right="100" w:hanging="572"/>
        <w:spacing w:after="0" w:line="251" w:lineRule="auto"/>
        <w:tabs>
          <w:tab w:leader="none" w:pos="5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information contained in such Form 10-Q fairly presents, in all material respects, the financial condition and results of operations of the OP.</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I have executed this Certification this 4th day of August, 2005.</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 Michael J.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-17780</wp:posOffset>
            </wp:positionV>
            <wp:extent cx="21647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64715" cy="8890"/>
                    </a:xfrm>
                    <a:prstGeom prst="rect">
                      <a:avLst/>
                    </a:prstGeom>
                    <a:noFill/>
                  </pic:spPr>
                </pic:pic>
              </a:graphicData>
            </a:graphic>
          </wp:anchor>
        </w:drawing>
      </w:r>
    </w:p>
    <w:p>
      <w:pPr>
        <w:ind w:left="6160"/>
        <w:spacing w:after="0" w:line="238" w:lineRule="auto"/>
        <w:rPr>
          <w:sz w:val="20"/>
          <w:szCs w:val="20"/>
          <w:color w:val="auto"/>
        </w:rPr>
      </w:pPr>
      <w:r>
        <w:rPr>
          <w:rFonts w:ascii="Arial" w:cs="Arial" w:eastAsia="Arial" w:hAnsi="Arial"/>
          <w:sz w:val="22"/>
          <w:szCs w:val="22"/>
          <w:color w:val="auto"/>
        </w:rPr>
        <w:t>Michael J. Clarke, Executive Vice</w:t>
      </w:r>
    </w:p>
    <w:p>
      <w:pPr>
        <w:ind w:left="6160"/>
        <w:spacing w:after="0"/>
        <w:rPr>
          <w:sz w:val="20"/>
          <w:szCs w:val="20"/>
          <w:color w:val="auto"/>
        </w:rPr>
      </w:pPr>
      <w:r>
        <w:rPr>
          <w:rFonts w:ascii="Arial" w:cs="Arial" w:eastAsia="Arial" w:hAnsi="Arial"/>
          <w:sz w:val="22"/>
          <w:szCs w:val="22"/>
          <w:color w:val="auto"/>
        </w:rPr>
        <w:t>President and Chief Financial Officer</w:t>
      </w:r>
    </w:p>
    <w:p>
      <w:pPr>
        <w:spacing w:after="0" w:line="200" w:lineRule="exact"/>
        <w:rPr>
          <w:sz w:val="20"/>
          <w:szCs w:val="20"/>
          <w:color w:val="auto"/>
        </w:rPr>
      </w:pPr>
    </w:p>
    <w:p>
      <w:pPr>
        <w:spacing w:after="0" w:line="231"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A signed original of this written statement required by Section 906 has been provided to CPG Partners L.P. and will be retained by CPG Partners L.P. and furnished to the Securities and Exchange Commission or its staff upon request.</w:t>
      </w:r>
    </w:p>
    <w:sectPr>
      <w:pgSz w:w="11900" w:h="16838" w:orient="portrait"/>
      <w:cols w:equalWidth="0" w:num="1">
        <w:col w:w="11300"/>
      </w:cols>
      <w:pgMar w:left="240" w:top="1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4"/>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2019-12-14T07:03:10Z</dcterms:created>
  <dcterms:modified xsi:type="dcterms:W3CDTF">2019-12-14T07:03:10Z</dcterms:modified>
</cp:coreProperties>
</file>