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890-1_424b5.htm"/>
        <w:bookmarkStart w:id="1" w:name="kstm2624890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relates to an effective registration statement under the Securities Act of 1933, as amended, but is not complete and may be changed.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relates to an effective registration statement under the Securities Act of 1933, as amended, but is not complete and may be changed.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333-277297-01</w:t>
      </w:r>
      <w:r>
        <w:rPr>
          <w:rFonts w:ascii="Times New Roman;Times;serif" w:hAnsi="Times New Roman;Times;serif"/>
          <w:b/>
          <w:i w:val="false"/>
          <w:caps w:val="false"/>
          <w:smallCaps w:val="false"/>
          <w:color w:val="000000"/>
          <w:sz w:val="20"/>
        </w:rPr>
        <w:t>​</w:t>
      </w:r>
    </w:p>
    <w:p>
      <w:pPr>
        <w:pStyle w:val="TextBody"/>
        <w:bidi w:val="0"/>
        <w:spacing w:lineRule="atLeast" w:line="230" w:before="0"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 xml:space="preserve">SUBJECT TO COMPLETION </w:t>
      </w:r>
      <w:r>
        <w:rPr>
          <w:rFonts w:ascii="Times New Roman;Times;serif" w:hAnsi="Times New Roman;Times;serif"/>
          <w:b/>
          <w:i w:val="false"/>
          <w:caps w:val="false"/>
          <w:smallCaps w:val="false"/>
          <w:color w:val="FC0014"/>
          <w:sz w:val="20"/>
        </w:rPr>
        <w:br/>
      </w:r>
      <w:r>
        <w:rPr>
          <w:rFonts w:ascii="Times New Roman;Times;serif" w:hAnsi="Times New Roman;Times;serif"/>
          <w:b/>
          <w:i w:val="false"/>
          <w:caps w:val="false"/>
          <w:smallCaps w:val="false"/>
          <w:color w:val="FC0014"/>
          <w:spacing w:val="-4"/>
          <w:sz w:val="20"/>
        </w:rPr>
        <w:t>PRELIMINARY PROSPECTUS SUPPLEMENT DATED SEPTEMBER 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January 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81200" cy="7810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81200" cy="7810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7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SIMON PROPERTY GROUP,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Notes due 2032</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$      aggregate principal amount of    % Notes due 2032 (the “2032 Notes”) and $      aggregate principal amount of    % Notes due 2036 (the “2036 Notes” and, together with the 2032 Notes, the “notes”). We will pay interest on each series of notes on      and      of each year, commencing on         , 2027.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earlier redeemed, the 2032 Notes will mature on         , 2032 and the 2036 Notes will mature on         , 2036. We may redeem the notes of either series prior to maturity, in whole or, from time to time, in part, at the redemption prices described in this prospectus supplement under “</w:t>
      </w:r>
      <w:r>
        <w:rPr>
          <w:rFonts w:ascii="Times New Roman;Times;serif" w:hAnsi="Times New Roman;Times;serif"/>
          <w:b w:val="false"/>
          <w:i/>
          <w:caps w:val="false"/>
          <w:smallCaps w:val="false"/>
          <w:color w:val="000000"/>
          <w:spacing w:val="4"/>
          <w:sz w:val="20"/>
        </w:rPr>
        <w:t>Description of Notes —  Optional Redemption</w:t>
      </w:r>
      <w:r>
        <w:rPr>
          <w:rFonts w:ascii="Times New Roman;Times;serif" w:hAnsi="Times New Roman;Times;serif"/>
          <w:b w:val="false"/>
          <w:i w:val="false"/>
          <w:caps w:val="false"/>
          <w:smallCaps w:val="false"/>
          <w:color w:val="000000"/>
          <w:spacing w:val="4"/>
          <w:sz w:val="20"/>
        </w:rPr>
        <w:t xml:space="preserve">.” If the 2032 Notes or the 2036 Notes are redeemed on or after         , 2032 or         , 2036, respectively, the redemption price will not include the Make-Whole Amount (defined herein).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and unsubordinated obligations and will rank equally with all of our other existing and future unsecured and unsubordinated indebtedness.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carefully this prospectus supplement and the accompanying prospectus and the other information incorporated herein and therein by reference before you decide to invest in any notes. </w:t>
      </w:r>
    </w:p>
    <w:p>
      <w:pPr>
        <w:pStyle w:val="TextBody"/>
        <w:bidi w:val="0"/>
        <w:spacing w:lineRule="atLeast" w:line="230" w:before="160" w:after="283"/>
        <w:ind w:left="1753" w:right="0" w:firstLine="400"/>
        <w:jc w:val="left"/>
        <w:rPr/>
      </w:pPr>
      <w:r>
        <w:rPr>
          <w:rFonts w:ascii="Times New Roman;Times;serif" w:hAnsi="Times New Roman;Times;serif"/>
          <w:b/>
          <w:i w:val="false"/>
          <w:caps w:val="false"/>
          <w:smallCaps w:val="false"/>
          <w:color w:val="000000"/>
          <w:spacing w:val="-4"/>
          <w:sz w:val="20"/>
        </w:rPr>
        <w:t>Investing in the notes involves risks that are described in the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section beginning on page </w:t>
      </w:r>
      <w:hyperlink w:anchor="sRIFA">
        <w:r>
          <w:rPr>
            <w:rStyle w:val="InternetLink"/>
          </w:rPr>
          <w:t>S-4</w:t>
        </w:r>
      </w:hyperlink>
      <w:r>
        <w:rPr>
          <w:rFonts w:ascii="Times New Roman;Times;serif" w:hAnsi="Times New Roman;Times;serif"/>
          <w:b/>
          <w:i w:val="false"/>
          <w:caps w:val="false"/>
          <w:smallCaps w:val="false"/>
          <w:color w:val="000000"/>
          <w:spacing w:val="-4"/>
          <w:sz w:val="20"/>
        </w:rPr>
        <w:t xml:space="preserve"> of this prospectus supplement and page 11 of our </w:t>
      </w:r>
      <w:hyperlink r:id="rId3">
        <w:r>
          <w:rPr>
            <w:rStyle w:val="InternetLink"/>
          </w:rPr>
          <w:t>Annual Report on Form 10-K for the year ended December 31, 2025</w:t>
        </w:r>
      </w:hyperlink>
      <w:r>
        <w:rPr>
          <w:rFonts w:ascii="Times New Roman;Times;serif" w:hAnsi="Times New Roman;Times;serif"/>
          <w:b/>
          <w:i w:val="false"/>
          <w:caps w:val="false"/>
          <w:smallCaps w:val="false"/>
          <w:color w:val="000000"/>
          <w:spacing w:val="-4"/>
          <w:sz w:val="20"/>
        </w:rPr>
        <w:t>, which is incorporated by reference herein</w:t>
      </w:r>
      <w:r>
        <w:rPr>
          <w:rFonts w:ascii="Times New Roman;Times;serif" w:hAnsi="Times New Roman;Times;serif"/>
          <w:b w:val="false"/>
          <w:i w:val="false"/>
          <w:caps w:val="false"/>
          <w:smallCaps w:val="false"/>
          <w:color w:val="000000"/>
          <w:spacing w:val="4"/>
          <w:sz w:val="20"/>
        </w:rPr>
        <w:t xml:space="preserve">. </w:t>
      </w:r>
    </w:p>
    <w:tbl>
      <w:tblPr>
        <w:tblW w:w="7287" w:type="dxa"/>
        <w:jc w:val="left"/>
        <w:tblInd w:w="1753" w:type="dxa"/>
        <w:tblLayout w:type="fixed"/>
        <w:tblCellMar>
          <w:top w:w="0" w:type="dxa"/>
          <w:left w:w="0" w:type="dxa"/>
          <w:bottom w:w="28" w:type="dxa"/>
          <w:right w:w="0" w:type="dxa"/>
        </w:tblCellMar>
      </w:tblPr>
      <w:tblGrid>
        <w:gridCol w:w="1593"/>
        <w:gridCol w:w="109"/>
        <w:gridCol w:w="109"/>
        <w:gridCol w:w="135"/>
        <w:gridCol w:w="281"/>
        <w:gridCol w:w="1047"/>
        <w:gridCol w:w="135"/>
        <w:gridCol w:w="109"/>
        <w:gridCol w:w="109"/>
        <w:gridCol w:w="197"/>
        <w:gridCol w:w="408"/>
        <w:gridCol w:w="841"/>
        <w:gridCol w:w="199"/>
        <w:gridCol w:w="109"/>
        <w:gridCol w:w="109"/>
        <w:gridCol w:w="139"/>
        <w:gridCol w:w="289"/>
        <w:gridCol w:w="1076"/>
        <w:gridCol w:w="139"/>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8" w:type="dxa"/>
            <w:gridSpan w:val="4"/>
            <w:tcBorders>
              <w:bottom w:val="single" w:sz="2" w:space="0" w:color="000000"/>
            </w:tcBorders>
            <w:tcMar>
              <w:bottom w:w="33" w:type="dxa"/>
            </w:tcMar>
            <w:vAlign w:val="center"/>
          </w:tcPr>
          <w:p>
            <w:pPr>
              <w:pStyle w:val="TableContents"/>
              <w:bidi w:val="0"/>
              <w:spacing w:lineRule="atLeast" w:line="142" w:before="0" w:after="0"/>
              <w:jc w:val="center"/>
              <w:rPr/>
            </w:pPr>
            <w:r>
              <w:rPr>
                <w:spacing w:val="-3"/>
              </w:rPr>
              <w:t>Public Offering</w:t>
            </w:r>
            <w:r>
              <w:rPr/>
              <w:t xml:space="preserve"> </w:t>
              <w:br/>
            </w:r>
            <w:r>
              <w:rPr>
                <w:spacing w:val="-3"/>
              </w:rPr>
              <w:t>Price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5"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Proceeds before</w:t>
            </w:r>
            <w:r>
              <w:rPr/>
              <w:t xml:space="preserve"> </w:t>
              <w:br/>
            </w:r>
            <w:r>
              <w:rPr>
                <w:spacing w:val="-3"/>
              </w:rPr>
              <w:t xml:space="preserve">Expenses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2032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047"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9"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1047" w:type="dxa"/>
            <w:tcBorders/>
            <w:tcMar>
              <w:bottom w:w="0" w:type="dxa"/>
            </w:tcMar>
            <w:vAlign w:val="center"/>
          </w:tcPr>
          <w:p>
            <w:pPr>
              <w:pStyle w:val="TableContents"/>
              <w:bidi w:val="0"/>
              <w:spacing w:before="0" w:after="283"/>
              <w:jc w:val="left"/>
              <w:rPr>
                <w:sz w:val="4"/>
                <w:szCs w:val="4"/>
              </w:rPr>
            </w:pPr>
            <w:r>
              <w:rPr>
                <w:sz w:val="4"/>
                <w:szCs w:val="4"/>
              </w:rPr>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left"/>
              <w:rPr>
                <w:sz w:val="4"/>
                <w:szCs w:val="4"/>
              </w:rPr>
            </w:pPr>
            <w:r>
              <w:rPr>
                <w:sz w:val="4"/>
                <w:szCs w:val="4"/>
              </w:rPr>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left"/>
              <w:rPr>
                <w:sz w:val="4"/>
                <w:szCs w:val="4"/>
              </w:rPr>
            </w:pPr>
            <w:r>
              <w:rPr>
                <w:sz w:val="4"/>
                <w:szCs w:val="4"/>
              </w:rPr>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047"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9"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1047" w:type="dxa"/>
            <w:tcBorders/>
            <w:tcMar>
              <w:bottom w:w="0" w:type="dxa"/>
            </w:tcMar>
            <w:vAlign w:val="center"/>
          </w:tcPr>
          <w:p>
            <w:pPr>
              <w:pStyle w:val="TableContents"/>
              <w:bidi w:val="0"/>
              <w:spacing w:before="0" w:after="283"/>
              <w:jc w:val="left"/>
              <w:rPr>
                <w:sz w:val="4"/>
                <w:szCs w:val="4"/>
              </w:rPr>
            </w:pPr>
            <w:r>
              <w:rPr>
                <w:sz w:val="4"/>
                <w:szCs w:val="4"/>
              </w:rPr>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left"/>
              <w:rPr>
                <w:sz w:val="4"/>
                <w:szCs w:val="4"/>
              </w:rPr>
            </w:pPr>
            <w:r>
              <w:rPr>
                <w:sz w:val="4"/>
                <w:szCs w:val="4"/>
              </w:rPr>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10033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or other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ready for delivery in book-entry only form through The Depository Trust Company for the accounts of its participants, including Clearstream Banking S.A. and Euroclear Bank SA/NV, on or about         , 2026. </w:t>
      </w:r>
    </w:p>
    <w:p>
      <w:pPr>
        <w:pStyle w:val="TextBody"/>
        <w:bidi w:val="0"/>
        <w:spacing w:lineRule="atLeast" w:line="240" w:before="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220" w:before="160" w:after="283"/>
        <w:ind w:left="3040" w:right="0" w:hanging="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J.P. MorganMizuho</w:t>
      </w:r>
      <w:r>
        <w:rPr>
          <w:rFonts w:ascii="Times New Roman;Times;serif" w:hAnsi="Times New Roman;Times;serif"/>
          <w:b/>
          <w:i w:val="false"/>
          <w:caps w:val="false"/>
          <w:smallCaps w:val="false"/>
          <w:color w:val="000000"/>
          <w:sz w:val="18"/>
        </w:rPr>
        <w:t xml:space="preserve"> </w:t>
      </w:r>
      <w:r>
        <w:rPr>
          <w:rFonts w:ascii="Times New Roman;Times;serif" w:hAnsi="Times New Roman;Times;serif"/>
          <w:b/>
          <w:i w:val="false"/>
          <w:caps w:val="false"/>
          <w:smallCaps w:val="false"/>
          <w:color w:val="000000"/>
          <w:spacing w:val="-4"/>
          <w:sz w:val="18"/>
        </w:rPr>
        <w:t>PNC Capital Markets LLC</w:t>
      </w:r>
      <w:r>
        <w:rPr>
          <w:rFonts w:ascii="Times New Roman;Times;serif" w:hAnsi="Times New Roman;Times;serif"/>
          <w:b/>
          <w:i w:val="false"/>
          <w:caps w:val="false"/>
          <w:smallCaps w:val="false"/>
          <w:color w:val="000000"/>
          <w:sz w:val="18"/>
        </w:rPr>
        <w:t xml:space="preserve"> </w:t>
      </w:r>
      <w:r>
        <w:rPr>
          <w:rFonts w:ascii="Times New Roman;Times;serif" w:hAnsi="Times New Roman;Times;serif"/>
          <w:b/>
          <w:i w:val="false"/>
          <w:caps w:val="false"/>
          <w:smallCaps w:val="false"/>
          <w:color w:val="000000"/>
          <w:spacing w:val="-4"/>
          <w:sz w:val="18"/>
        </w:rPr>
        <w:t>Wells Fargo Securities</w:t>
      </w:r>
      <w:r>
        <w:rPr>
          <w:rFonts w:ascii="Times New Roman;Times;serif" w:hAnsi="Times New Roman;Times;serif"/>
          <w:b/>
          <w:i w:val="false"/>
          <w:caps w:val="false"/>
          <w:smallCaps w:val="false"/>
          <w:color w:val="000000"/>
          <w:sz w:val="18"/>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 2026</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6656" w:type="dxa"/>
        <w:jc w:val="left"/>
        <w:tblInd w:w="1393" w:type="dxa"/>
        <w:tblLayout w:type="fixed"/>
        <w:tblCellMar>
          <w:top w:w="0" w:type="dxa"/>
          <w:left w:w="0" w:type="dxa"/>
          <w:bottom w:w="28" w:type="dxa"/>
          <w:right w:w="0" w:type="dxa"/>
        </w:tblCellMar>
      </w:tblPr>
      <w:tblGrid>
        <w:gridCol w:w="5337"/>
        <w:gridCol w:w="109"/>
        <w:gridCol w:w="109"/>
        <w:gridCol w:w="109"/>
        <w:gridCol w:w="109"/>
        <w:gridCol w:w="620"/>
        <w:gridCol w:w="109"/>
        <w:gridCol w:w="154"/>
      </w:tblGrid>
      <w:tr>
        <w:trPr/>
        <w:tc>
          <w:tcPr>
            <w:tcW w:w="53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S-2</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RIFA">
              <w:r>
                <w:rPr>
                  <w:rStyle w:val="InternetLink"/>
                  <w:spacing w:val="4"/>
                </w:rPr>
                <w:t>S-4</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WWA2">
              <w:r>
                <w:rPr>
                  <w:rStyle w:val="InternetLink"/>
                  <w:spacing w:val="4"/>
                </w:rPr>
                <w:t xml:space="preserve">WHO WE ARE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WWA2">
              <w:r>
                <w:rPr>
                  <w:rStyle w:val="InternetLink"/>
                  <w:spacing w:val="4"/>
                </w:rPr>
                <w:t>S-6</w:t>
              </w:r>
            </w:hyperlink>
            <w:hyperlink w:anchor="sWWA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UOP2">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2">
              <w:r>
                <w:rPr>
                  <w:rStyle w:val="InternetLink"/>
                  <w:spacing w:val="4"/>
                </w:rPr>
                <w:t>S-7</w:t>
              </w:r>
            </w:hyperlink>
            <w:hyperlink w:anchor="sUOP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DON2">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2">
              <w:r>
                <w:rPr>
                  <w:rStyle w:val="InternetLink"/>
                  <w:spacing w:val="4"/>
                </w:rPr>
                <w:t>S-8</w:t>
              </w:r>
            </w:hyperlink>
            <w:hyperlink w:anchor="sDON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UCOI2">
              <w:r>
                <w:rPr>
                  <w:rStyle w:val="InternetLink"/>
                  <w:spacing w:val="4"/>
                </w:rPr>
                <w:t xml:space="preserve">UNDERWRITING (CONFLICTS OF INTEREST)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COI2">
              <w:r>
                <w:rPr>
                  <w:rStyle w:val="InternetLink"/>
                  <w:spacing w:val="4"/>
                </w:rPr>
                <w:t>S-23</w:t>
              </w:r>
            </w:hyperlink>
            <w:hyperlink w:anchor="sUCOI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LEMA2">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2">
              <w:r>
                <w:rPr>
                  <w:rStyle w:val="InternetLink"/>
                  <w:spacing w:val="4"/>
                </w:rPr>
                <w:t>S-29</w:t>
              </w:r>
            </w:hyperlink>
            <w:hyperlink w:anchor="sLEMA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EXP2">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2">
              <w:r>
                <w:rPr>
                  <w:rStyle w:val="InternetLink"/>
                  <w:spacing w:val="4"/>
                </w:rPr>
                <w:t>S-29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8"/>
        <w:gridCol w:w="109"/>
        <w:gridCol w:w="109"/>
        <w:gridCol w:w="109"/>
        <w:gridCol w:w="109"/>
        <w:gridCol w:w="384"/>
        <w:gridCol w:w="109"/>
        <w:gridCol w:w="155"/>
      </w:tblGrid>
      <w:tr>
        <w:trPr/>
        <w:tc>
          <w:tcPr>
            <w:tcW w:w="77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WYCF">
              <w:r>
                <w:rPr>
                  <w:rStyle w:val="InternetLink"/>
                  <w:spacing w:val="4"/>
                </w:rPr>
                <w:t>1</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WWA">
              <w:r>
                <w:rPr>
                  <w:rStyle w:val="InternetLink"/>
                  <w:spacing w:val="4"/>
                </w:rPr>
                <w:t xml:space="preserve">WHO WE ARE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WWA">
              <w:r>
                <w:rPr>
                  <w:rStyle w:val="InternetLink"/>
                  <w:spacing w:val="4"/>
                </w:rPr>
                <w:t>1</w:t>
              </w:r>
            </w:hyperlink>
            <w:hyperlink w:anchor="sWW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UOP">
              <w:r>
                <w:rPr>
                  <w:rStyle w:val="InternetLink"/>
                  <w:spacing w:val="4"/>
                </w:rPr>
                <w:t>2</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DOSB">
              <w:r>
                <w:rPr>
                  <w:rStyle w:val="InternetLink"/>
                  <w:spacing w:val="4"/>
                </w:rPr>
                <w:t xml:space="preserve">DESCRIPTION OF SECURITIES BEING OFFERED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DOSB">
              <w:r>
                <w:rPr>
                  <w:rStyle w:val="InternetLink"/>
                  <w:spacing w:val="4"/>
                </w:rPr>
                <w:t>3</w:t>
              </w:r>
            </w:hyperlink>
            <w:hyperlink w:anchor="sDOS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UFIT">
              <w:r>
                <w:rPr>
                  <w:rStyle w:val="InternetLink"/>
                  <w:spacing w:val="4"/>
                </w:rPr>
                <w:t>14</w:t>
              </w:r>
            </w:hyperlink>
            <w:hyperlink w:anchor="sU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19</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EXP">
              <w:r>
                <w:rPr>
                  <w:rStyle w:val="InternetLink"/>
                  <w:spacing w:val="4"/>
                </w:rPr>
                <w:t>19</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200"/>
              <w:jc w:val="left"/>
              <w:rPr/>
            </w:pPr>
            <w:hyperlink w:anchor="sDOCP">
              <w:r>
                <w:rPr>
                  <w:rStyle w:val="InternetLink"/>
                  <w:spacing w:val="4"/>
                </w:rPr>
                <w:t xml:space="preserve">DISCLOSURE OF COMMISSION POSITION ON INDEMNIFICATION FOR SECURITIES ACT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DOCP">
              <w:r>
                <w:rPr>
                  <w:rStyle w:val="InternetLink"/>
                  <w:spacing w:val="4"/>
                </w:rPr>
                <w:t>19</w:t>
              </w:r>
            </w:hyperlink>
            <w:hyperlink w:anchor="sDOC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IOIW">
              <w:r>
                <w:rPr>
                  <w:rStyle w:val="InternetLink"/>
                  <w:spacing w:val="4"/>
                </w:rPr>
                <w:t xml:space="preserve">INCORPORATION OF INFORMATION WE FILE WITH THE SEC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IOIW">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or incorporated by reference in this prospectus supplement, the accompanying prospectus or any free writing prospectus prepared by us and required to be filed with the Securities and Exchange Commission.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any such free writing prospectus and the documents incorporated by reference herein and therein is accurate only as of their respective dates. Our business, financial condition, liquidity, results of operations, and prospects may have changed since those dates.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information to you about the notes in two separate documents that offer varying levels of detail: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prospectus, which provides general information, some of which may not apply to this offering or the terms of the notes; and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which provides a summary of this offering and the principal terms of the notes.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when we refer to “this prospectus”, we are referring to both documents combined. If information in this prospectus supplement is inconsistent with the accompanying prospectus, you should rely only on this prospectus supplement. The accompanying prospectus is dated as of January 6, 2026 and contains certain factual information regarding Simon Property and the Operating Partnership that was true and correct as of the date of the accompanying prospectus but which is updated by this prospectus supplement to reflect changes that have occurred since the date of the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this offering and the principal terms of the notes. It does not contain all the information that is important to you. For a more complete understanding of this offering and the principal terms of the notes, we encourage you to read this entire prospectus supplement, the accompanying prospectus and the documents we refer to, or incorporate by reference, herein and therein. In this prospectus supplement, the “Operating Partnership” and the terms “we”, “us”, and “our” refer to Simon Property Group, L.P. and its subsidiaries, unless the context specifies or contemplates otherwise, and “Simon Property” refers specifically to Simon Property Group, Inc.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Simon Property Group, L.P.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Simon Property Group, L.P. owns, develops, and manages premier shopping, dining, entertainment, and mixed-use destinations, which consist primarily of malls, Premium Outlets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and The Mills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Our sole general partner, Simon Property, operates as a self-administered and self-managed real estate investment trust, or REIT, under the Internal Revenue Code of 1986, as amended, or the Internal Revenue Code,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225 West Washington Street, Indianapolis, Indiana 46204.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telephone number is (317) 636-1600. For more information, please see the section entitled “</w:t>
      </w:r>
      <w:r>
        <w:rPr>
          <w:rFonts w:ascii="Times New Roman;Times;serif" w:hAnsi="Times New Roman;Times;serif"/>
          <w:b w:val="false"/>
          <w:i/>
          <w:caps w:val="false"/>
          <w:smallCaps w:val="false"/>
          <w:color w:val="000000"/>
          <w:spacing w:val="4"/>
          <w:sz w:val="20"/>
          <w:bdr w:val="single" w:sz="8" w:space="1" w:color="000000"/>
        </w:rPr>
        <w:t>Who We Are</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6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is a brief summary of the principal terms of the notes of each series. A more detailed description is contained in this prospectus supplement under the section “Description of Notes,” together with the section “Description of Securities Being Offered” in the accompanying prospectus.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Simon Property Group, L.P.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Notes due 2032 and $      aggregate principal amount of    % Notes due 2036.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earlier redeemed, the 2032 Notes will mature on           , 2032 and the 2036 Notes will mature on           , 2036.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some or all of the notes of either series at any time and from time to time at the redemption prices described under “</w:t>
      </w:r>
      <w:r>
        <w:rPr>
          <w:rFonts w:ascii="Times New Roman;Times;serif" w:hAnsi="Times New Roman;Times;serif"/>
          <w:b w:val="false"/>
          <w:i/>
          <w:caps w:val="false"/>
          <w:smallCaps w:val="false"/>
          <w:color w:val="000000"/>
          <w:spacing w:val="4"/>
          <w:sz w:val="20"/>
          <w:bdr w:val="single" w:sz="8" w:space="1" w:color="000000"/>
        </w:rPr>
        <w:t>Description of Notes — Optional Redemption</w:t>
      </w:r>
      <w:r>
        <w:rPr>
          <w:rFonts w:ascii="Times New Roman;Times;serif" w:hAnsi="Times New Roman;Times;serif"/>
          <w:b w:val="false"/>
          <w:i w:val="false"/>
          <w:caps w:val="false"/>
          <w:smallCaps w:val="false"/>
          <w:color w:val="000000"/>
          <w:spacing w:val="4"/>
          <w:sz w:val="20"/>
          <w:bdr w:val="single" w:sz="8" w:space="1" w:color="000000"/>
        </w:rPr>
        <w:t xml:space="preserve">.” If the 2032 Notes or the 2036 Notes are redeemed on or after            , 2032 or            , 2036 respectively, the redemption price will not include the Make-Whole Amount (defined herein).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and            of each year, beginning           , 2027.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unsecured and unsubordinated obligations and will rank equally with all of our other existing and future unsecured and unsubordinated indebtedness. See “</w:t>
      </w:r>
      <w:r>
        <w:rPr>
          <w:rFonts w:ascii="Times New Roman;Times;serif" w:hAnsi="Times New Roman;Times;serif"/>
          <w:b w:val="false"/>
          <w:i/>
          <w:caps w:val="false"/>
          <w:smallCaps w:val="false"/>
          <w:color w:val="000000"/>
          <w:spacing w:val="4"/>
          <w:sz w:val="20"/>
          <w:bdr w:val="single" w:sz="8" w:space="1" w:color="000000"/>
        </w:rPr>
        <w:t>Description of Notes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we had completed the offering of each series of notes on June 30, 2026, the notes of each series would have been effectively subordinated to $8.1 billion of total consolidated mortgage debt outstanding on such date to the extent of the assets securing the same. At such date, our subsidiaries had no unsecured indebtedness, other than (i) €1.4375 billion (approximate USD equivalent of $1.640 billion) of notes issued to fund certain of our European operations, (ii) a $460.0 million term loan relating to our operations in Puerto Rico, and (iii) a €350.0 million (approximate USD equivalent of $399.3 million) unsecured term loan to fund our European operations, each of which is guaranteed by us and reflected in our consolidated indebtedness.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receive net proceeds from the sale of the notes, after deducting the underwriting discounts and expenses payable by us, of approximately $      . We intend to use the net proceeds of this offering to fund the repayment of all or a portion of our $750 million outstanding principal amount of our 3.250% notes due 2026 (the “2026 Notes”), and to use any remaining net proceeds for general business purposes, including to repay other unsecured indebtedness.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of the underwriters and affiliates of certain of the underwriters may be holders of our 2026 Notes. Upon the application of the net proceeds of this offering to repay all or a portion of our 2026 Notes, any such underwriter or its affiliates may receive more than 5% of the proceeds of this offering (not including the underwriting discounts). See “</w:t>
      </w:r>
      <w:r>
        <w:rPr>
          <w:rFonts w:ascii="Times New Roman;Times;serif" w:hAnsi="Times New Roman;Times;serif"/>
          <w:b w:val="false"/>
          <w:i/>
          <w:caps w:val="false"/>
          <w:smallCaps w:val="false"/>
          <w:color w:val="000000"/>
          <w:spacing w:val="4"/>
          <w:sz w:val="20"/>
          <w:bdr w:val="single" w:sz="8" w:space="1" w:color="000000"/>
        </w:rPr>
        <w:t>Underwriting (Conflicts of Interest) — Conflicts of Interest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contains various covenants applicable to the notes of each series, including covenants with respect to limitations on the incurrence of debt. These covenants are subject to a number of important qualifications and exceptions. See “</w:t>
      </w:r>
      <w:r>
        <w:rPr>
          <w:rFonts w:ascii="Times New Roman;Times;serif" w:hAnsi="Times New Roman;Times;serif"/>
          <w:b w:val="false"/>
          <w:i/>
          <w:caps w:val="false"/>
          <w:smallCaps w:val="false"/>
          <w:color w:val="000000"/>
          <w:spacing w:val="4"/>
          <w:sz w:val="20"/>
          <w:bdr w:val="single" w:sz="8" w:space="1" w:color="000000"/>
        </w:rPr>
        <w:t>Description of Notes — Covenants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Minimum Denominations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of each series will be issued and may be transferred only in minimum denominations of $2,000 and integral multiples of $1,000 in excess thereof.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Book-entry only through the facilities of The Depository Trust Company for the accounts of its participants, including Clearstream Banking S.A. (“Clearstream”), and Euroclear Bank SA/NV (“Euroclear”).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and the other information included in or incorporated by reference into this prospectus supplement and the accompanying prospectus for a discussion of factors you should carefully consider before deciding to invest in the notes.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Bank of New York Mellon Trust Company, N.A.</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Your investment in the notes involves certain risks. In consultation with your own financial, tax, accounting, and legal advisors, you should carefully consider, among other matters, the risk factors set forth below as well as the risk factors discussed in our most recent Annual Report on Form 10-K, which is incorporated by reference into this prospectus supplement and the accompanying prospectus, before deciding whether to make an investment in the notes. The realization of any of the matters referenced in such risk factors could have a material adverse effect on our business, financial condition, liquidity, results of operations, and prospects.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are effectively subordinated to all our existing and future secured debt and the liabilities and any preferred equity of our subsidiaries.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secured by any of our assets and therefore are effectively subordinated to all our existing and future secured debt. If we become insolvent or are liquidated, or if payment of any of our secured debt is accelerated, the holders of that secured debt will be entitled to exercise the remedies available to secured lenders under applicable law, including the ability to foreclose on and sell the assets securing such debt to satisfy such debt. In any such case, our remaining assets may be insufficient to repay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operate a significant portion of our business through subsidiaries, we derive revenues from, and hold assets through, those subsidiaries. In general, these subsidiaries are separate and distinct legal entities. These subsidiaries will have no obligation to pay any amounts due on our debt securities, including the notes, or to provide us with funds for our payment obligations, whether by dividends, distributions, loans or otherwise. Our right to receive any assets of any subsidiary in the event of a bankruptcy or liquidation of the subsidiary, and therefore the right of our creditors to participate in those assets, will be effectively subordinated to the claims of that subsidiary’s creditors, including trade creditors, and any preferred equity holders of that subsidiary, in each case to the extent that we are not recognized as a creditor of such subsidiary. In addition, even where we are recognized as a creditor of a subsidiary, our rights as a creditor with respect to certain amounts are subordinated to other indebtedness of that subsidiary, including secured indebtedness to the extent of the assets securing such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we had completed the offering of each series of notes on June 30, 2026, the notes of each series would have been effectively subordinated to $8.1 billion of total consolidated mortgage debt outstanding on such date to the extent of the assets securing the same. At such date, our subsidiaries had no unsecured indebtedness, other than (i) €1.4375 billion (approximate USD equivalent of $1.640 billion) of notes issued to fund certain of our European operations, (ii) a $460.0 million term loan relating to our operations in Puerto Rico, and (iii) a €350.0 million (approximate USD equivalent of $399.3 million) unsecured term loan to fund our European operations, each of which is guaranteed by us and reflected in our consolidated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restrict, but do not eliminate, our ability to incur additional debt or take other action that could negatively impact holders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specified limitations in the indenture and as described under “</w:t>
      </w:r>
      <w:r>
        <w:rPr>
          <w:rFonts w:ascii="Times New Roman;Times;serif" w:hAnsi="Times New Roman;Times;serif"/>
          <w:b w:val="false"/>
          <w:i/>
          <w:caps w:val="false"/>
          <w:smallCaps w:val="false"/>
          <w:color w:val="000000"/>
          <w:spacing w:val="4"/>
          <w:sz w:val="20"/>
        </w:rPr>
        <w:t xml:space="preserve">Description of Notes —  Covenants — Limitation on Debt”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 xml:space="preserve">Description of Notes — Covenants — Merger, Consolidation or Sale” </w:t>
      </w:r>
      <w:r>
        <w:rPr>
          <w:rFonts w:ascii="Times New Roman;Times;serif" w:hAnsi="Times New Roman;Times;serif"/>
          <w:b w:val="false"/>
          <w:i w:val="false"/>
          <w:caps w:val="false"/>
          <w:smallCaps w:val="false"/>
          <w:color w:val="000000"/>
          <w:spacing w:val="4"/>
          <w:sz w:val="20"/>
        </w:rPr>
        <w:t xml:space="preserve">in this prospectus supplement, the indenture does not contain any provisions that would limit our ability or the ability of our subsidiaries to incur indebtedness or that would give holders of the notes protection in the event of: a highly leveraged or similar transaction involving us or any of our affiliates; a change of control; or a reorganization, restructuring, merger, or similar transaction involving us or any of our affiliates that may adversely affect the holders of the notes. Restrictions on the ownership and transfer of the shares of common stock of Simon Property designed to preserve its qualification as a REIT, however, may prevent or hinder a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There is no current public market for the notes of either series.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a new issue of securities for which there is currently no trading market. We do not intend to apply for listing of the notes of either series on any securities exchange or for inclusion of the notes of either series in any automated quotation system. We cannot guarantee: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trading market for either series of notes will develop or be maintained;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any trading market that may develop for either series of notes;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ability to sell your notes when desired or at all; or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you would be able to sell your notes.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of any trading market for, and future market prices of, the notes of each series will depend on many factors,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interest rates;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results and cash flows;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or outlook changes;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similar securities.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of the financial markets and prevailing interest rates have fluctuated in the past and are likely to fluctuate in the future, which could have an adverse effect on the market prices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WWA2"/>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WE 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own, develop, and manage premier shopping, dining, entertainment, and mixed-use destinations, which consist primarily of malls, Premium Outlets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The Mills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We operate as a majority-owned Indiana operating partnership subsidiary of Simon Property, which has elected to be treated as a REIT under the Internal Revenue Code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owned or held an interest in 212 income-producing properties in the United States, which consisted of 107 malls, 68 Premium Outlets, 16 Mills, six lifestyle centers, and 15 other retail properties in 38 states and Puerto Rico. Internationally, as of June 30, 2026, we had ownership in 42 properties primarily located in Asia, Europe, and Canada. As of June 30, 2026, we also owned a 20.7% equity stake in Klépierre SA, a publicly traded, Paris-based real estate company which owns, or has an interest in, shopping centers located in 13 countries in Europe. We also have interests in investments in retail operations (such as Catalyst Brands LLC), an e-commerce venture (Rue Gilt Groupe, which operates shop.simon.com), and Jamestown (a global real estate investment and management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Simon Property is our sole general partner. Our principal executive offices are located at 225 West Washington Street, Indianapolis, Indiana 46204. Our telephone number is (317) 636-1600. Our Internet address is www.simon.com. The information contained in our website or connected to it is not a part of, or incorporated by reference into, this prospectus supplement, the accompanying prospectus or any registration statement of which it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want to find more information about us and Simon Property, please see the sections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Information We File with the SEC</w:t>
      </w:r>
      <w:r>
        <w:rPr>
          <w:rFonts w:ascii="Times New Roman;Times;serif" w:hAnsi="Times New Roman;Times;serif"/>
          <w:b w:val="false"/>
          <w:i w:val="false"/>
          <w:caps w:val="false"/>
          <w:smallCaps w:val="false"/>
          <w:color w:val="000000"/>
          <w:spacing w:val="4"/>
          <w:sz w:val="20"/>
        </w:rPr>
        <w:t xml:space="preserve">” in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2"/>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receive net proceeds from the sale of the notes, after deducting the underwriting discounts and expenses payable by us, of approximately $     . We intend to use the net proceeds of this offering to fund the repayment of all or a portion of our $750 million outstanding principal amount of our 3.250% notes due 2026 (the “2026 Notes”), and to use any remaining net proceeds for general business purposes, including to repay other unsecured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of the underwriters and affiliates of certain of the underwriters may be holders of our 2026 Notes. Upon the application of the net proceeds of this offering to repay all or a portion of our 2026 Notes, any such underwriter or its affiliates may receive a portion of the proceeds of this offering (not including the underwriting discounts). See “</w:t>
      </w:r>
      <w:r>
        <w:rPr>
          <w:rFonts w:ascii="Times New Roman;Times;serif" w:hAnsi="Times New Roman;Times;serif"/>
          <w:b w:val="false"/>
          <w:i/>
          <w:caps w:val="false"/>
          <w:smallCaps w:val="false"/>
          <w:color w:val="000000"/>
          <w:spacing w:val="4"/>
          <w:sz w:val="20"/>
        </w:rPr>
        <w:t>Underwriting (Conflicts of Interest) — Conflicts of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N2"/>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a new series of debt securities to be issued under an indenture dated as of November 26, 1996, between us and The Bank of New York Mellon Trust Company, N.A. (as successor to The Chase Manhattan Bank), as trustee (the “Trustee”), as heretofore supplemented, and to be supplemented as of        , 2026 (the “Indenture”). The terms of the notes include those provisions contained in the Indenture and those made part of the Indenture by reference to the Trust Indenture Act of 1939, as amended. We have summarized selected terms and provisions of the Indenture and the Trust Indenture Act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specified provisions of the Indenture and the notes does not purport to be complete and is subject to, and qualified in its entirety by reference to, the actual provisions of the Indenture, including the definitions contained in the Indenture of some of the terms used below, and the notes of the applicable series. If you would like more information on any of these provisions, you should read the relevant sections of the Indenture. Copies of the Indenture are available from us upon request.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2032 Notes and the 2036 Notes initially will be limited to aggregate principal amounts of $       and $      , respectively. See “— </w:t>
      </w:r>
      <w:r>
        <w:rPr>
          <w:rFonts w:ascii="Times New Roman;Times;serif" w:hAnsi="Times New Roman;Times;serif"/>
          <w:b w:val="false"/>
          <w:i/>
          <w:caps w:val="false"/>
          <w:smallCaps w:val="false"/>
          <w:color w:val="000000"/>
          <w:spacing w:val="4"/>
          <w:sz w:val="20"/>
        </w:rPr>
        <w:t>Further Issuances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our direct, unsecured and unsubordinated obligations and will rank equally with all our other unsecured and unsubordinated indebtedness from time to time outstanding. The notes will be effectively subordinated to the claims of mortgage lenders holding secured indebtedness, as to the specific property securing each lender’s mortgage, and to claims of creditors and future holders of preferred equity, if any, of our subsidiaries to the extent of the assets of those subsidiaries. Assuming we had completed the offering of each series of notes on June 30, 2026, the notes of each series would have been effectively subordinated to $8.1 billion of total consolidated mortgage debt outstanding on such date to the extent of the assets securing the same. At such date, our subsidiaries had no unsecured indebtedness, other than (i) €1.4375 billion (approximate USD equivalent of $1.640 billion) of notes issued to fund certain of our European operations, (ii) a $460.0 million term loan relating to our operations in Puerto Rico, and (iii) a €350.0 million (approximate USD equivalent of $399.3 million) unsecured term loan to fund our European operations, each of which is guaranteed by us and reflected in our consolidated indebtedness. Subject to specified limitations in the Indenture and as described below under “</w:t>
      </w:r>
      <w:r>
        <w:rPr>
          <w:rFonts w:ascii="Times New Roman;Times;serif" w:hAnsi="Times New Roman;Times;serif"/>
          <w:b w:val="false"/>
          <w:i/>
          <w:caps w:val="false"/>
          <w:smallCaps w:val="false"/>
          <w:color w:val="000000"/>
          <w:spacing w:val="4"/>
          <w:sz w:val="20"/>
        </w:rPr>
        <w:t>Covenants</w:t>
      </w:r>
      <w:r>
        <w:rPr>
          <w:rFonts w:ascii="Times New Roman;Times;serif" w:hAnsi="Times New Roman;Times;serif"/>
          <w:b w:val="false"/>
          <w:i w:val="false"/>
          <w:caps w:val="false"/>
          <w:smallCaps w:val="false"/>
          <w:color w:val="000000"/>
          <w:spacing w:val="4"/>
          <w:sz w:val="20"/>
        </w:rPr>
        <w:t xml:space="preserve">,” the Indenture permits us and our subsidiaries to incur additional secured and unsecured indebtedness and to issue preferred equity. None of our partners has any obligation to pay any amounts due on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entire principal amount of the 2032 Notes will mature and become payable, together with accrued and unpaid interest, on        , 2032 and the entire principal amount of the 2036 Notes will mature and become payable, together with accrued and unpaid interest, on        , 2036 (each, a “Maturity Date” with respect to the applicable series of notes), unless, in each case, such notes are redeemed earlier as described below under “—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The notes will not be subject to, or entitled to the benefit of, any sinking fund provisions and will not be convertible into or exchangeable for any of our equity interests. The notes of each series will be issued in minimum denominations of $2,000 and integral multiples of $1,000 in excess thereof.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below under “</w:t>
      </w:r>
      <w:r>
        <w:rPr>
          <w:rFonts w:ascii="Times New Roman;Times;serif" w:hAnsi="Times New Roman;Times;serif"/>
          <w:b w:val="false"/>
          <w:i/>
          <w:caps w:val="false"/>
          <w:smallCaps w:val="false"/>
          <w:color w:val="000000"/>
          <w:spacing w:val="4"/>
          <w:sz w:val="20"/>
        </w:rPr>
        <w:t xml:space="preserve">Covenants — Limitation on Debt”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Covenants — Merger, Consolidation or Sale</w:t>
      </w:r>
      <w:r>
        <w:rPr>
          <w:rFonts w:ascii="Times New Roman;Times;serif" w:hAnsi="Times New Roman;Times;serif"/>
          <w:b w:val="false"/>
          <w:i w:val="false"/>
          <w:caps w:val="false"/>
          <w:smallCaps w:val="false"/>
          <w:color w:val="000000"/>
          <w:spacing w:val="4"/>
          <w:sz w:val="20"/>
        </w:rPr>
        <w:t xml:space="preserve">,” the Indenture does not contain any provisions that would limit our ability or the ability of our subsidiaries to incur indebtedness or that would give holders of the notes protection in the event of: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highly leveraged or similar transaction involving us or any of our affiliates; </w:t>
      </w:r>
      <w:r>
        <mc:AlternateContent>
          <mc:Choice Requires="wps">
            <w:drawing>
              <wp:anchor behindDoc="0" distT="8255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w:t>
      </w:r>
      <w:r>
        <mc:AlternateContent>
          <mc:Choice Requires="wps">
            <w:drawing>
              <wp:anchor behindDoc="0" distT="1016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reorganization, restructuring, merger, or similar transaction involving us or any of our affiliates that may adversely affect the holders of the notes.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ownership and transfer of the shares of common stock of Simon Property designed to preserve its qualification as a REIT, however, may prevent or hinder a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2032 Notes will bear interest at    % per year and the 2036 Notes will bear interest at    % per year, in each case, from         , 2026 or from the immediately preceding interest payment date to which interest has been paid. Interest on each series of notes is payable semi-annually in arrears on     and     , commencing on         , 2027 (each, an “Interest Payment Date” with respect to the applicable series of notes). Interest on an Interest Payment Date will be paid to the persons, or “holders,” in whose names the notes are registered on the security register at the close of business on the regular record date. The regular record date will be the fifteenth calendar day, whether or not a Business Day (as defined below), immediately preceding the related Interest Payment Date. Interest on the notes will be computed on the basis of a 360-day year of twelve 30-day months. The principal of each note payable at maturity or the principal, premium, if any, and interest, if any, payable upon earlier redemption will be paid against presentation and surrender of the note at a corporate trust office of the Trustee, located initially at The Bank of New York Mellon Trust Company, N.A., c/o BNY Mellon Corporate Trust, 500 Ross Street, Suite 625, Pittsburgh, Pennsylvania 15262, in the coin or currency of the United States of America that at the time of payment is legal tender for payment of public and private debts.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the Maturity Date or any earlier date of redemption falls on a day that is not a Business Day, the required payment will be made on the next Business Day as if it were made on the date the payment was due and no interest will accrue on the amount so payable for the period from and after that Interest Payment Date, the Maturity Date or that date of redemption, as the case may be. For purposes of the notes, “Business Day” means any day, other than a Saturday or Sunday, that is neither a legal holiday nor a day on which banking institutions in The City of New York are authorized or required by law, regulation or executive order to close.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may, from time to time, without the consent of or notice to existing note holders, create and issue further notes having the same terms and conditions as the notes of either series in all respects, except for the issue date, issue price, and, to the extent applicable, the first payment of interest. Additional notes issued in this manner will be consolidated with, and will form a single series of debt securities with, the previously outstanding notes of the related series;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such additional notes will not be fungible with the previously outstanding notes of the related series for U.S. federal income tax purposes, such additional notes will have a separate CUSIP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notes of either series at our option at any time, in whole or, from time to time, in part, at a redemption price (the “Redemption Price”) equal to the sum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the notes of such series being redeemed plus accrued interest on such notes to the redemption date; and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Make-Whole Amount, as defined below, if any, with respect to the notes of such series.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2032 Notes or the 2036 Notes are redeemed on or after        , 2032 (one month prior to their Maturity Date) or        , 2036 (three months prior to their Maturity Date) (the applicable date with respect to the 2032 Notes and the 2036 Notes, each a “Par Call Date”), respectively, the Redemption Price will not include the Make-Whole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installments of interest on notes that are due and payable on an Interest Payment Date falling on or prior to a redemption date will be payable on such Interest Payment Date to the holders thereof as of the close of business on the relevant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given notice of redemption as provided in the Indenture and have made funds available on the redemption date referred to in the notice for the redemption, the notes called for redemption will cease to bear interest on the redemption date and the holders of those notes from and after the redemption date will be entitled to receive only the payment of the Redemption Price upon surrender of the notes in accordance with the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any optional redemption of the notes of either series to holders of those notes, at their addresses, as shown in the security register for the notes, not more than 60 nor less than 10 days prior to the redemption date. The notice of redemption will specify, among other items, the applicable series of notes, the Redemption Price and the principal amount of the notes held by the holder to be redeemed.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choose to redeem less than all of the notes of a series, we will notify the Trustee at least five Business Days prior to giving notice of redemption, or a shorter period as may be satisfactory to the Trustee, of the aggregate principal amount of notes of such series to be redeemed and their redemption date. The Trustee will select, on a pro rata basis to the extent practicable or by lot or by such other manner it deems fair and appropriate (and in such manner that complies with the requirements of the depositary, if applicable), the notes of such series to be redeemed in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supplement: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Make-Whole Amount” means, in connection with any optional redemption or accelerated payment of the notes of either series before the applicable Par Call Date, the excess, if any,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present value as of the date of redemption or accelerated payment of each dollar of principal being redeemed or accelerated and the amount of interest, calculated by us, excluding interest accrued to the date of redemption or accelerated payment, that would have been payable in respect of each dollar assuming the notes matured on the applicable Par Call Date (determined by discounting, on a semi-annual basis, the principal and interest at the applicable Reinvestment Rate from the respective dates on which the principal and interest would have been payable assuming the notes matured on the applicable Par Call Date), over the aggregate principal amount of the notes of such series being redeemed or accelerated.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Reinvestment Rate” means the Treasury Rate (defined below), plus    % for the 2032 Notes and    % for the 2036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notice of the redemption or accelerated payment is given,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yield for the Treasury constant maturity on H.15 exactly equal to the period from the date of redemption or accelerated payment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date notice of the redemption or accelerated payment is given H.15 TCM or any successor designation or publication is no longer published, we shall calculate the Treasury Rate based on the rate per annum equal to the semi-annual equivalent yield to maturity at 11:00 a.m., New York City time, on the second Business Day preceding such notice of the redemption or accelerated payment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Guarantee by Predecessor Operating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covenants and related definitions will apply to the notes of each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Debt</w:t>
      </w:r>
      <w:r>
        <w:rPr>
          <w:rFonts w:ascii="Times New Roman;Times;serif" w:hAnsi="Times New Roman;Times;serif"/>
          <w:b w:val="false"/>
          <w:i w:val="false"/>
          <w:caps w:val="false"/>
          <w:smallCaps w:val="false"/>
          <w:color w:val="000000"/>
          <w:spacing w:val="4"/>
          <w:sz w:val="20"/>
        </w:rPr>
        <w:t xml:space="preserve">.   As of each Reporting Date (as defined below), our Debt will not exceed 65% of Total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Secured Debt</w:t>
      </w:r>
      <w:r>
        <w:rPr>
          <w:rFonts w:ascii="Times New Roman;Times;serif" w:hAnsi="Times New Roman;Times;serif"/>
          <w:b w:val="false"/>
          <w:i w:val="false"/>
          <w:caps w:val="false"/>
          <w:smallCaps w:val="false"/>
          <w:color w:val="000000"/>
          <w:spacing w:val="4"/>
          <w:sz w:val="20"/>
        </w:rPr>
        <w:t xml:space="preserve">.   As of each Reporting Date, our Secured Debt will not exceed 50% of our Total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Charge Coverage Ratio</w:t>
      </w:r>
      <w:r>
        <w:rPr>
          <w:rFonts w:ascii="Times New Roman;Times;serif" w:hAnsi="Times New Roman;Times;serif"/>
          <w:b w:val="false"/>
          <w:i w:val="false"/>
          <w:caps w:val="false"/>
          <w:smallCaps w:val="false"/>
          <w:color w:val="000000"/>
          <w:spacing w:val="4"/>
          <w:sz w:val="20"/>
        </w:rPr>
        <w:t xml:space="preserve">.   For the four consecutive quarters ending on each Reporting Date, our ratio of Annualized EBITDA (as defined below) to Annualized Interest Expense (as defined below) will be at least 1.50 to 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Maintenance of Total Unencumbered Assets</w:t>
      </w:r>
      <w:r>
        <w:rPr>
          <w:rFonts w:ascii="Times New Roman;Times;serif" w:hAnsi="Times New Roman;Times;serif"/>
          <w:b w:val="false"/>
          <w:i w:val="false"/>
          <w:caps w:val="false"/>
          <w:smallCaps w:val="false"/>
          <w:color w:val="000000"/>
          <w:spacing w:val="4"/>
          <w:sz w:val="20"/>
        </w:rPr>
        <w:t xml:space="preserve">.   As of each Reporting Date, our Unencumbered Assets will not be less than 125% of our outstanding Unsecured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xml:space="preserve">.   We may consolidate with, or sell, lease, or convey all or substantially all of our assets to, or merge with or into, any other entity, provided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we will be the continuing entity or the successor entity will be an entity organized and existing under U.S. laws and the successor entity expressly assumes payment of the principal of, premium, if any, and any interest on all of the Securities (as defined under the Indenture) and the due and punctual performance and observance of all of the covenants and conditions contained in the Indenture;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and treating any indebtedness which becomes our obligation or the obligation of a Subsidiary (as defined below) as a result thereof as having been incurred by us or that Subsidiary at the time of the transaction, no Event of Default, and no event which, after notice or the lapse of time, or both, would become an Event of Default, will have occurred and be continuing; and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legal opinion covering these conditions are delivered to the Trustee.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Existence</w:t>
      </w:r>
      <w:r>
        <w:rPr>
          <w:rFonts w:ascii="Times New Roman;Times;serif" w:hAnsi="Times New Roman;Times;serif"/>
          <w:b w:val="false"/>
          <w:i w:val="false"/>
          <w:caps w:val="false"/>
          <w:smallCaps w:val="false"/>
          <w:color w:val="000000"/>
          <w:spacing w:val="4"/>
          <w:sz w:val="20"/>
        </w:rPr>
        <w:t xml:space="preserve">.   Except as described under “— </w:t>
      </w: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xml:space="preserve">,”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Maintenance of Properties</w:t>
      </w:r>
      <w:r>
        <w:rPr>
          <w:rFonts w:ascii="Times New Roman;Times;serif" w:hAnsi="Times New Roman;Times;serif"/>
          <w:b w:val="false"/>
          <w:i w:val="false"/>
          <w:caps w:val="false"/>
          <w:smallCaps w:val="false"/>
          <w:color w:val="000000"/>
          <w:spacing w:val="4"/>
          <w:sz w:val="20"/>
        </w:rPr>
        <w:t xml:space="preserve">.   We will cause all of our material properties used or useful in the conduct of our business or the business of any Subsidiary to be maintained and kept in good condition, repair,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order and supplied with all necessary equipment. We will also cause to be made all necessary repairs, renewals, replacements, betterments, and improvements on these properties. Our obligations with respect to the maintenance of these properties are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Insurance</w:t>
      </w:r>
      <w:r>
        <w:rPr>
          <w:rFonts w:ascii="Times New Roman;Times;serif" w:hAnsi="Times New Roman;Times;serif"/>
          <w:b w:val="false"/>
          <w:i w:val="false"/>
          <w:caps w:val="false"/>
          <w:smallCaps w:val="false"/>
          <w:color w:val="000000"/>
          <w:spacing w:val="4"/>
          <w:sz w:val="20"/>
        </w:rPr>
        <w:t xml:space="preserve">.   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of Taxes and Other Claims</w:t>
      </w:r>
      <w:r>
        <w:rPr>
          <w:rFonts w:ascii="Times New Roman;Times;serif" w:hAnsi="Times New Roman;Times;serif"/>
          <w:b w:val="false"/>
          <w:i w:val="false"/>
          <w:caps w:val="false"/>
          <w:smallCaps w:val="false"/>
          <w:color w:val="000000"/>
          <w:spacing w:val="4"/>
          <w:sz w:val="20"/>
        </w:rPr>
        <w:t xml:space="preserve">.   We will pay or discharge or cause to be paid or discharged, before the same become delinquent: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taxes, assessments, and governmental charges levied or imposed upon us or any Subsidiary or upon our income, profits, or property or upon any Subsidiary’s income, profits, or property;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lawful claims for labor, materials, and supplies which, if unpaid, might by law become a lien upon our property or the property of any Subsidiary; and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however, any tax, assessment, charge, or claim whose amount, applicability, or validity is being contested in good faith by appropriate proceedings.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Provision of Financial Information</w:t>
      </w:r>
      <w:r>
        <w:rPr>
          <w:rFonts w:ascii="Times New Roman;Times;serif" w:hAnsi="Times New Roman;Times;serif"/>
          <w:b w:val="false"/>
          <w:i w:val="false"/>
          <w:caps w:val="false"/>
          <w:smallCaps w:val="false"/>
          <w:color w:val="000000"/>
          <w:spacing w:val="4"/>
          <w:sz w:val="20"/>
        </w:rPr>
        <w:t xml:space="preserve">.   Whether or not we are subject to Section 13 or 15(d) of the Securities Exchange Act of 1934, as amended (the “Exchange Act”), and to the extent permitted under the Exchange Act, we will file with the Securities and Exchange Commission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transmit copies of the Financial Information by mail to all holders of Securities (as their names and addresses appear in the security register) without cost to the holders, and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copies of the Financial Information with the Trustee.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not permitted to file these documents with the Securities and Exchange Commission under the Exchange Act, we will supply copies of the documents to any prospective holder promptly upon written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the foregoing materials on the Securities and Exchange Commission’s website or on our website shall be deemed to satisfy the foregoing delivery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Definitions</w:t>
      </w:r>
      <w:r>
        <w:rPr>
          <w:rFonts w:ascii="Times New Roman;Times;serif" w:hAnsi="Times New Roman;Times;serif"/>
          <w:b w:val="false"/>
          <w:i w:val="false"/>
          <w:caps w:val="false"/>
          <w:smallCaps w:val="false"/>
          <w:color w:val="000000"/>
          <w:spacing w:val="4"/>
          <w:sz w:val="20"/>
        </w:rPr>
        <w:t xml:space="preserve">.   As used in this “Description of Notes,” the following defined terms have the meanings indicated: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Annualized EBITDA” means, for the four consecutive quarters ending on each Reporting Date, the Operating Partnership’s Pro Rata Share of earnings before interest, taxes, depreciation, and amortization (“EBITDA”),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 (i) 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Annualized Interest Expense”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 that (i) any interest expense related to indebtedness incurred since the first day of such four-quarter period is computed as if such indebtedness had been incurred as of the beginning of such period, and (ii) 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Capitalization Rate” means 7.00%.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Capitalized Value” means, as of any date, Annualized EBITDA divided by the Capitalization Rate.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Debt”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 (iii) 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 (iv) above (or, in the case of any such obligation made jointly with another Person, the Operating Partnership’s or Subsidiary’s allocable portion of such obligation based on its ownership interest in the related real estate assets); 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Debt excludes (a) Intercompany Debt and (b) in the case of clause (iv) above, operating lease liabilities on the Operating Partnership’s balance sheet in accordance with generally accepted accounting principles.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Intercompany Debt” means Debt to which the only parties are the Operating Partnership, Simon Property and any of our and Simon Property’s Subsidiaries or affiliates, but only so long as that Debt is held solely by any of the Operating Partnership, Simon Property and any Subsidiary or affiliate and, provided that, in the case of Debt owed by the Operating Partnership to any Subsidiary or affiliate, the Debt is subordinated in right of payment to the holders of the notes.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 Rata Share”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Reporting Date” means March 31, June 30, September 30, and December 31 of each year.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Secured Debt” means Debt secured by any mortgage, lien, pledge, encumbrance, or security interest of any kind upon any of our property or the property of any Subsidiary.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Stabilized Asset” means (i) with respect to an acquisition of an asset, such asset becomes stabilized when the Operating Partnership or its Subsidiaries or an unconsolidated joint venture in which the Operating Partnership or any Subsidiary has an interest has owned the asset as of at least six Reporting Dates, and (ii) with respect to a new construction or development asset, such asset becomes stabilized four Reporting Dates after the earlier of (a) six Reporting Dates after substantial completion of construction or development or (b) the first Reporting Date on which the asset is at least 90% leased.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a corporation, partnership, joint venture, limited liability company, or other entity, a majority of the outstanding voting stock, partnership interests, or membership interests, as the case may be, of which is owned or controlled, directly or indirectly, by the Operating Partnership or by one or more other Subsidiaries of the Operating Partnership and, for the purposes of this definition, “voting stock” means stock having voting power for the election of directors, or trustees, as the case may be, whether at all times or only so long as no senior class of stock has such voting power by reason of any contingency.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Assets” means, as of any Reporting Date, the sum of (i) for Stabilized Assets, Capitalized Value; (ii) 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Total Assets excludes right-of-use assets associated with operating leases in accordance with generally accepted accounting principles.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Unencumbered Annualized EBITDA” means Annualized EBITDA less any portion thereof attributable to assets serving as collateral for Secured Debt.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Unencumbered Assets” as of any Reporting Date means our Total Assets as of such date multiplied by a fraction, the numerator of which is Unencumbered Annualized EBITDA and the denominator of which is Annualized EBITDA.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Unsecured Debt” means Debt that is not secured by any mortgage, lien, pledge, encumbrance, or security interest of any kind.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covenants described in this prospectus supplement and with respect to the notes of either series generally may not be waived by us, or by the Trustee, unless the holders of at least a majority in principal amount of all outstanding notes of such series consent to the waiver.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made only with the consent of the holders of not less than a majority in principal amount of all Outstanding Securities (as defined in the Indenture) affected by the modification or amendment (voting as a single class);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such modification or amendment may, without the consent of the holder of each Outstanding Security affected thereby: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premium or Make-Whole Amount, if any, on, or any installment of interest on, any Security (as defined in the Indenture);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the rate or amount of interest on, or any premium payable on redemption or acceleration of the Security, or change the manner in which interest on the Security is calculated except as contemplated therein,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Security;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coin or currency for payment of principal or premium, if any, or interest on any Security;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after the stated maturity of any Security;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above-stated percentage in principal amount of Outstanding Securities, the consent of whose holders is necessary to modify or amend the Indenture, or to waive compliance with specified provisions of the Indenture or specified defaults and consequences thereunder or to reduce the quorum or voting requirements set forth in the Indenture; or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Security.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permitted to be made by us and the Trustee without the consent of any holder of Outstanding Securities for any of the following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as obligor under the Indenture;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for the benefit of the holders of any series of Securities or to surrender any right or power conferred upon us in the Indenture;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Events of Default for the benefit of the holders of any series of Securities; </w:t>
      </w:r>
      <w:r>
        <mc:AlternateContent>
          <mc:Choice Requires="wps">
            <w:drawing>
              <wp:anchor behindDoc="0" distT="0" distB="0" distL="254000" distR="0" simplePos="0" locked="0" layoutInCell="1" allowOverlap="1" relativeHeight="39">
                <wp:simplePos x="0" y="0"/>
                <wp:positionH relativeFrom="column">
                  <wp:align>left</wp:align>
                </wp:positionH>
                <wp:positionV relativeFrom="line">
                  <wp:posOffset>635</wp:posOffset>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change any provisions of the Indenture to facilitate the issuance of or to liberalize certain terms of Securities in bearer form, or to permit or facilitate the issuance of Securities in uncertificated form, provided that the action shall not adversely affect the interests of the holders of Securities of any series in any material respect;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provisions of the Indenture, provided that any change or elimination shall become effective only when the Outstanding Securities are not entitled to the benefit of that provision;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Securities;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the Securities of any series;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acceptance of appointment under the Indenture by a successor Trustee or facilitate the administration of the trust under the Indenture by more than one Trustee;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provided that the action is not inconsistent with the provisions of the Indenture and will not adversely affect the interests of holders of Securities of any series in any material respect;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the extent necessary to permit or facilitate defeasance and discharge of Securities, provided that the action will not adversely affect the interests of the holders of the Securities of any series in any material respect; or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terms of the Indenture or the notes of a series to the description thereof contained in any prospectus, prospectus supplement, or other offering document relating to the offer and sale of those notes.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in determining whether the holders of the requisite principal amount of a series of Outstanding Securities have given any request, demand, authorization, direction, notice, consent, or waiver thereunder or whether a quorum is present at a meeting of holders of those Securities, (1) 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Security denominated in a foreign currency that shall be deemed Outstanding shall be the U.S. dollar equivalent, determined on the issue date for that Security, of the principal amount (or, in the case of an Original Issue Discount Security, the U.S. dollar equivalent on the issue date of such note of the amount determined as provided in (1) above) of that Security, (3) the principal amount of an Indexed Security (as defined in the Indenture)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Subsidiary or affiliate of the Operating Partnership or of such other obligor shall be disregarded.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contains provisions of convening meetings of the holders of Securities of a series issuable, in whole or in part, as bearer securities. A meeting will be permitted to be called at any time by the Trustee, and also, upon request, by us or the holders of at least 10% in principal amount of the Outstanding Securities of such series, in any such case upon notice given as provided in the Indenture. Except for any consent that must be given by the holder of each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Securities of that series;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except as referred to above, any resolution with respect to any request, demand, authorization, direction, notice, consent, waiver, or other action that may be made, given or taken by the holders of a specified percentage in principal amount of the Outstanding Securities of a series may be adopted at a meeting at which a quorum is present by the affirmative vote of the holders of such specified percentage in principal amount of the Outstanding Securities of that series. Any resolution passed or decision taken at any meeting of holders of Securities of any series duly held in accordance with the Indenture will be binding on all holders of Securities of that series whether or not present or represented at the meeting. The quorum at any meeting called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adopt a resolution, and at any reconvened meeting, will be persons holding or representing a majority in principal amount of the Outstanding Securities of a series;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any action is to be taken at such meeting with respect to any request, demand, authorization, direction, notice, consent, waiver, or other action which may be made, given or taken by the holders of not less than a specified percentage in principal amount of the Outstanding Securities of a series, then with respect to such action (and only such action) the persons holding or representing such specified percentage in principal amount of the Outstanding Securities of such series will constitute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the Indenture provides that if any action is to be taken at a meeting of holders of Securities of any series with respect to any request, demand, authorization, direction, notice, consent, waiver, or other action that the Indenture expressly provides may be made, given or taken by the holders of a specified percentage in principal amount of all Outstanding Securities affected thereby, or the holders of that series and any other series: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minimum quorum requirement for the meeting; and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the Outstanding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when used in this prospectus supplement with respect to the notes of either series, means any one of the following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the payment of any interest on the notes of that series when the interest becomes due and payable, and continuance of the default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default in the payment of the principal of, or premium or Make-Whole Amount, if any, on, any note of that series when it becomes due and payable at its Maturity Date or by declaration of acceleration, notice of redemption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default in the performance or breach of any of our covenants in the Indenture (other than a covenant added to the Indenture solely for the benefit of another series of Securities issued under the Indenture) and continuance of the default or breach for a period of 90 days after there has been given, by registered or certified mail, to us by the Trustee, or to us and the Trustee by the holders of at least 25% in principal amount of the outstanding notes of that series, a written notice specifying the default or breach and requiring it to be remedied and stating that the notice is a “Notice of Default”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 default in the payment of an aggregate principal amount exceeding $50 million of any of our recourse indebtedness (however evidenced) or any recourse indebtedness of any Subsidiary which we have guaranteed or for which we are responsible or liable after the expiration of any applicable grace period with 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30 days after there has been given, by registered or certified mail, to us by the Trustee, or to us and the Trustee by the holders of at least 25% in principal amount of the outstanding notes of that series, a written notice specifying the default and requiring us to cause the indebtedness to be discharged or cause the acceleration to be rescinded or annulled, and stating that the notice is a “Notice of Default” under the Indenture;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specific events of bankruptcy, insolvency, or reorganization affecting us or certain Subsidiaries or any of their respective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under the Indenture with respect to the outstanding notes of either series occurs and is continuing, then in every such case the Trustee or the holders of not less than 25% of the principal amount of the outstanding notes of that series may declare the principal amount and premium or Make-Whole Amount, if any, and accrued interest on all the notes of that series to be due and payable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immediately by written notice thereof to us and to the Trustee, if given by the holders;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an Event of Default as described in (5) above, acceleration is automatic. However, at any time after a declaration of acceleration with respect to the notes of either series has been made, but before a judgment or decree for payment of the money due has been obtained by the Trustee, the holders of a majority in principal amount of the outstanding notes of that series may, by written notice to us and the Trustee, rescind and annul the declaration and its consequences if: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deposited with the Trustee all required payments of the principal of, and premium or Make-Whole Amount, if any, and interest on the notes of that series, plus specified fees, expenses, disbursement and advances of the Trustee; and </w:t>
      </w:r>
      <w:r>
        <mc:AlternateContent>
          <mc:Choice Requires="wps">
            <w:drawing>
              <wp:anchor behindDoc="0" distT="8382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Events of Default with respect to the notes of that series, other than the non-payment of principal of, or premium or Make-Whole Amount, if any, or interest on the notes of that series which has become due solely by the declaration of acceleration, have been cured or waived as provided in the Indenture. </w:t>
      </w:r>
      <w:r>
        <mc:AlternateContent>
          <mc:Choice Requires="wps">
            <w:drawing>
              <wp:anchor behindDoc="0" distT="8382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notes of either series may waive any past default with respect to the notes of that series and its consequences, except a default: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of, or premium or Make-Whole Amount, if any, or interest payable on any note of that series; or </w:t>
      </w:r>
      <w:r>
        <mc:AlternateContent>
          <mc:Choice Requires="wps">
            <w:drawing>
              <wp:anchor behindDoc="0" distT="8382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or provision contained in the Indenture that cannot be modified or amended without the consent of the holder of each note of that series. </w:t>
      </w:r>
      <w:r>
        <mc:AlternateContent>
          <mc:Choice Requires="wps">
            <w:drawing>
              <wp:anchor behindDoc="0" distT="8255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Trustee will be required to give notice to the holders of the notes of either series within 90 days of the occurrence of a default with respect to the notes of such series under the Indenture unless the default has been cured or waived;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Trustee may withhold notice to the holders of the notes of such series of any default, except a default in the payment of the principal of, or premium or Make-Whole Amount, if any, or interest on any notes of such series, if and so long as specified responsible officers of the Trustee determine in good faith that the withholding of the notice is in the interest of the holders; 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in the case of an Event of Default as described in (3) above, the Trustee will not give notice to such holders until at least 90 days after the occurrence thereof.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no holder of notes of either series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notes of that series, as well as an offer of indemnity reasonably satisfactory to it. This provision will not prevent, however, any holder of notes of that series from instituting suit for the payment of the principal of, and premium or Make-Whole Amount, if any, and interest on the notes of that series on the respective due date thereof.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provisions in the Indenture relating to its duties in case of default, the Trustee is under no obligation to exercise any of its rights or powers under the Indenture at the request or direction of any holders of notes of either series then outstanding under the Indenture, unless such holders have offered to the Trustee reasonable security or indemnity. The holders of a majority in principal amount of the outstanding notes of either series have the right to direct the time, method, and place of conducting any proceeding for any remedy available to the Trustee or exercising any trust or power conferred upon the Trustee in respect of the notes of such series. However, the Trustee may refuse to follow any direction which is in conflict with any law or the Indenture, which may involve the Trustee in personal liability, or which may be unduly prejudicial to the holders of notes of that series not joining therein, and the Trustee may take any other action it deems proper not inconsistent with the direction given.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permitted under the Indenture to discharge specific obligations to the holders of the notes of or within a series that have not already been delivered to the Trustee for cancellation by irrevocably depositing with the Trustee, in trust, funds in U.S. dollars in an amount sufficient to pay the entire indebtedness on such notes in respect of principal, and premium, if any, and interest to the date of the deposit, if such notes have become due and payable, or to the Maturity Date or redemption date,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provides that upon the irrevocable deposit by us with the Trustee, in trust, of an amount, in U.S. dollars at stated maturity, or Government Obligations, or both, applicable to such notes which through the scheduled payment of principal and interest in accordance with their terms will provide money in an amount sufficient without reinvestment to pay the principal of, and premium, if any, and interest on such notes on the scheduled due dates therefor, we may elect either: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be discharged from any and all obligations with respect to the notes of or within a series other than the obligations to register the transfer or exchange of such notes, to replace temporary or mutilated, destroyed, lost, or stolen notes, to maintain an office or agency in respect of such notes, and to hold moneys for payment in trust (“defeasance”); or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released from our obligations under the covenants described above under “</w:t>
      </w:r>
      <w:r>
        <w:rPr>
          <w:rFonts w:ascii="Times New Roman;Times;serif" w:hAnsi="Times New Roman;Times;serif"/>
          <w:b w:val="false"/>
          <w:i/>
          <w:caps w:val="false"/>
          <w:smallCaps w:val="false"/>
          <w:color w:val="000000"/>
          <w:spacing w:val="4"/>
          <w:sz w:val="20"/>
        </w:rPr>
        <w:t>Covenants</w:t>
      </w:r>
      <w:r>
        <w:rPr>
          <w:rFonts w:ascii="Times New Roman;Times;serif" w:hAnsi="Times New Roman;Times;serif"/>
          <w:b w:val="false"/>
          <w:i w:val="false"/>
          <w:caps w:val="false"/>
          <w:smallCaps w:val="false"/>
          <w:color w:val="000000"/>
          <w:spacing w:val="4"/>
          <w:sz w:val="20"/>
        </w:rPr>
        <w:t>,” with the exception of the covenant described in “</w:t>
      </w:r>
      <w:r>
        <w:rPr>
          <w:rFonts w:ascii="Times New Roman;Times;serif" w:hAnsi="Times New Roman;Times;serif"/>
          <w:b w:val="false"/>
          <w:i/>
          <w:caps w:val="false"/>
          <w:smallCaps w:val="false"/>
          <w:color w:val="000000"/>
          <w:spacing w:val="4"/>
          <w:sz w:val="20"/>
        </w:rPr>
        <w:t>Covenants — Merger, Consolidation or Sale</w:t>
      </w:r>
      <w:r>
        <w:rPr>
          <w:rFonts w:ascii="Times New Roman;Times;serif" w:hAnsi="Times New Roman;Times;serif"/>
          <w:b w:val="false"/>
          <w:i w:val="false"/>
          <w:caps w:val="false"/>
          <w:smallCaps w:val="false"/>
          <w:color w:val="000000"/>
          <w:spacing w:val="4"/>
          <w:sz w:val="20"/>
        </w:rPr>
        <w:t xml:space="preserve">,” with respect to the notes of or within a series, and any omission to comply with these obligations shall not constitute an Event of Default with respect to such notes (“covenant defeasance”).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Description of Securities Being Offered — Discharge, Defeasance and Covenant Defeasance</w:t>
      </w:r>
      <w:r>
        <w:rPr>
          <w:rFonts w:ascii="Times New Roman;Times;serif" w:hAnsi="Times New Roman;Times;serif"/>
          <w:b w:val="false"/>
          <w:i w:val="false"/>
          <w:caps w:val="false"/>
          <w:smallCaps w:val="false"/>
          <w:color w:val="000000"/>
          <w:spacing w:val="4"/>
          <w:sz w:val="20"/>
        </w:rPr>
        <w:t xml:space="preserve">”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may only be established if, among other things, we have delivered to the Trustee an opinion of counsel, as specified in the Indenture, to the effect that the holders of the notes of or within a series will not recognize income, gain, or loss for United States federal income tax purposes as a result of the defeasance or covenant defeasance and will be subject to United States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(“IRS”) or a change in applicable United States federal income tax law occurring after the date of the Indenture.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 Obligations” means securities that are: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direct obligations of the United States of America for the payment of which its full faith and credit is pledged;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obligations of a person controlled or supervised by and acting as an agency or instrumentality of the United States of America, the payment of which is unconditionally guaranteed as a full faith and credit obligation by the United States of America;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effect covenant defeasance with respect to the notes of either series and the notes of that series are declared due and payable because of the occurrence of any Event of Default other than the Event of Default described in clause (3) under “Events of Default, Notice and Waiver” with respect to the related covenants, which covenants would no longer be applicable to such notes as a result of the covenant defeasance, the amount in U.S. dollars, and Government Obligations on deposit with the Trustee, will be sufficient to pay amounts due on such notes at the time of their stated maturity but may not be sufficient to pay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on such notes at the time of the acceleration resulting from such Event of Default. We would remain liable, however, to make payment of the amounts due at the time of acceleration.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governed by, and construed in accordance with, the laws of the State of New York, and once issued the notes will be as well.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be represented initially by one or more permanent notes of such series in registered, global form without interest coupons (the “global notes”). These global notes will be deposited upon issuance with the Trustee as custodian for The Depository Trust Company (the “depositary”) in New York, New York, and registered in the name of the depositary or its nominee, in each case for credit to an account of a direct or indirect participant as described below. Except as set forth below, the global notes may be transferred, in whole and not in part, only to the depositary, a nominee of the depositary or to a successor of the depositary or its nominee. Beneficial interests in the global notes may not be exchanged for notes in certificated form except in the limited circumstances described below. The Trustee will act as registrar.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The Depository Trust Company.   </w:t>
      </w:r>
      <w:r>
        <w:rPr>
          <w:rFonts w:ascii="Times New Roman;Times;serif" w:hAnsi="Times New Roman;Times;serif"/>
          <w:b w:val="false"/>
          <w:i w:val="false"/>
          <w:caps w:val="false"/>
          <w:smallCaps w:val="false"/>
          <w:color w:val="000000"/>
          <w:spacing w:val="4"/>
          <w:sz w:val="20"/>
        </w:rPr>
        <w:t xml:space="preserve">The depositary has advised us that it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participants. The participants include securities brokers and dealers, banks, trust companies, clearing corporations, and certain other organizations. Access to the depositary’s system is also available to other entities such as banks, brokers, dealers, and trust companies that clear through or maintain a custodial relationship with a participant, either directly or indirectly (collectively, “indirect participants”). Persons who are not participants may beneficially own securities held by or on behalf of the depositary only through participants or indirect participants. The ownership interest and transfer of ownership interest of each actual purchaser of each security held by or on behalf of the depositary are recorded on the records of the participants and indirect participants.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also has advised us that pursuant to procedures established by it: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the depositary will credit the accounts of participants designated by the underwriters with portions of the principal amount of global notes; and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interests in the global notes will be shown on, and the transfer of ownership thereof will be effected only through, records maintained by the depositary with respect to participants or by participants and the indirect participants with respect to other owners of beneficial interest in the global notes.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states require that certain persons take physical delivery in definitive form of securities that they own. Consequently, the ability to transfer beneficial interest in a global note to such persons may be limited to that extent. Because the depositary can act only on behalf of participants, which in turn act on behalf of indirect participants and certain banks, the ability of a person having a beneficial interest in a global note to pledge such interest to persons or entities that do not participate in the depositary system, or otherwise take actions in respect of such interests, may be affected by the lack of a physical certificate evidencing such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and premium and interest on a global note registered in the name of the depositary or its nominee will be payable by the paying agent to the depositary or its nominee in its capacity as the registered holder of a global note under the Indenture. Under the terms of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will treat the persons in whose names the global notes are registered as the owners thereof for the purpose of receiving such payments and for any and all other purposes whatsoever.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neither we, the Trustee nor any agent of us or the Trustee have or will have any responsibility or liability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the depositary’s records or any participant’s or indirect participant’s records relating to or payments made on account of beneficial ownership interests in the global notes, or for maintaining, supervising or reviewing any of the depositary’s records or any participant’s or indirect participant’s records relating to the beneficial ownership interests in the global notes; or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 relating to the actions and practices of the depositary or any of its participants or indirect participants.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holdings in principal amount of beneficial interests in the relevant security such as the global notes as shown on the records of the depositary. Payments by participants and the indirect participants to the beneficial owners of notes will be governed by standing instructions and customary practices and will not be the responsibility of the depositary, the Trustee or us. Neither we nor the Trustee will be liable for any delay by the depositary or its participants in identifying the beneficial owners of the notes, and we and the Trustee may rely conclusively on and will be protected in relying on instructions from the depositary or its nominee as the registered owner of the global notes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global notes of a series are being redeemed, the depositary’s current practice is to determine by lot the amount of the interest of each participant in such global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the global notes will trade in the depositary’s same-day funds settlement system, and secondary market trading activity in such interests will, therefore, settle in immediately available funds, subject in all cases to the rules and procedures of the depositary and its participants. Transfers between participants in the depositary will be effective in accordance with the depositary’s procedures and will be settled in same-day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advised us that it will take any action permitted to be taken by a holder of notes only at the direction of one or more participants to whose account the interests in the global notes are credited and only in respect of such portion of the aggregate principal amount of the notes as to which such participant or participants has or have given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Clearstream.   </w:t>
      </w:r>
      <w:r>
        <w:rPr>
          <w:rFonts w:ascii="Times New Roman;Times;serif" w:hAnsi="Times New Roman;Times;serif"/>
          <w:b w:val="false"/>
          <w:i w:val="false"/>
          <w:caps w:val="false"/>
          <w:smallCaps w:val="false"/>
          <w:color w:val="000000"/>
          <w:spacing w:val="4"/>
          <w:sz w:val="20"/>
        </w:rPr>
        <w:t xml:space="preserve">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notes held beneficially through Clearstream will be credited to cash accounts of Clearstream Participants in accordance with its rules and procedures to the extent received by the depositary for Clearstream.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Euroclear.   </w:t>
      </w:r>
      <w:r>
        <w:rPr>
          <w:rFonts w:ascii="Times New Roman;Times;serif" w:hAnsi="Times New Roman;Times;serif"/>
          <w:b w:val="false"/>
          <w:i w:val="false"/>
          <w:caps w:val="false"/>
          <w:smallCaps w:val="false"/>
          <w:color w:val="000000"/>
          <w:spacing w:val="4"/>
          <w:sz w:val="20"/>
        </w:rPr>
        <w:t xml:space="preserve">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under contract with Euroclear plc, a United Kingdom corporation. All operations are conducted by the Euroclear Operator, and all Euroclear securities clearance accounts and Euroclear cash accounts are accounts with the Euroclear Operator, not Euroclear plc. Euroclear plc establishes policy for Euroclear on behalf of Euroclear Participants. Euroclear Participants include banks (including central banks), securities brokers and dealers, and other professional financial intermediaries and may include the underwriters or other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access to Euroclear is also available to other firms that clear through or maintain a custodial relationship with a Euroclear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Operator is regulated and examined by the Belgian Banking and Finance Commission.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Links have been established among the depositary, Clearstream and Euroclear to facilitate the initial issuance of the notes sold outside the United States and cross-market transfers of the notes associated with secondary market trading.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depositary, Clearstream and Euroclear have agreed to the procedures provided below in order to facilitate transfers, they are under no obligation to perform these procedures, and these procedures may be modified or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will record the ownership interests of their participants in much the same way as the depositary, and the depositary will record the total ownership of each of the U.S. agents of Clearstream and Euroclear, as participants in the depositary. When notes are to be transferred from the account of a depositary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notes against payment. After settlement, Clearstream or Euroclear will credit its participant’s account. Credit for the notes will appear on the next day (European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settlement is taking place during New York business hours, depositary participants will be able to employ their usual procedures for sending notes to the relevant U.S. agent acting for the benefit of Clearstream Participants or Euroclear Participants. The sale proceeds will be available to the depositary seller on the settlement date. As a result, to the depositary participant, a cross-market transaction will settle no differently than a trade between two depositary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Clearstream Participant or Euroclear Participant wishes to transfer notes to a depositary participant, the seller will be required to send instructions to Clearstream or Euroclear through a participant at least one business day prior to settlement. In these cases, Clearstream or Euroclear will instruct its U.S. agent to transfer these notes against payment for them. The payment will then be reflected in the account of the Clearstream Participant or Euroclear Participant the following day, with the proceeds back-valued to the value date, which would be the preceding day, when settlement occurs in New York. If settlement is not completed on the intended value date, that is, the trade fails, proceeds credited to the Clearstream Participant’s or Euroclear Participant’s account will instead be valued as of the actual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you will only be able to make and receive deliveries, payments, and other communications involving the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the depositary, Clearstream, and Euroclear and their book-entry systems has been obtained from sources that we believe to be reliable, but neither we nor any underwriter takes any responsibility for the accuracy or completeness thereof. None of us, the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the Trustee will have any responsibility for the performance by the depositary, Clearstream, and Euroclear or their respective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Book-Entry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note is exchangeable for definitive notes in registered certificated form of the same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notifies us that it is unwilling or unable to continue as depositary for the global note and we thereupon fail to appoint a successor depositary within 90 days after this notice; or </w:t>
      </w:r>
      <w:r>
        <mc:AlternateContent>
          <mc:Choice Requires="wps">
            <w:drawing>
              <wp:anchor behindDoc="0" distT="76200" distB="0" distL="508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ceased to be a clearing agency registered under the Exchange Act; </w:t>
      </w:r>
      <w:r>
        <mc:AlternateContent>
          <mc:Choice Requires="wps">
            <w:drawing>
              <wp:anchor behindDoc="0" distT="76200" distB="0" distL="508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and continuance of an Event of Default under the Indenture in respect of the notes of such series; or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at our option and subject to the procedures of the depositary, notify the Trustee in writing that we elect to cause issuance of such notes in certificated form.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beneficial interests in a global note may be exchanged for certificated notes of the same series upon request but only upon at least 30 days’ prior written notice given to the Trustee by or on behalf of the depositary in accordance with customary procedures. In all cases, certificated notes delivered in exchange for any global note or beneficial interest therein will be registered in names, and issued of the same series in any approved denominations, requested by or on behalf of the depositary (in accordance with its customary procedures).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COI2"/>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Mizuho Securities USA LLC, PNC Capital Markets LLC, and Wells Fargo Securities, LLC are acting as representatives of the underwriters named below. Subject to the terms and conditions stated in the underwriting agreement dated the date of this prospectus supplement, each underwriter named below has severally and not jointly agreed to purchase, and we have agreed to sell to that underwriter, the principal amount of notes of each series set forth opposite the underwriter’s name. </w:t>
      </w:r>
    </w:p>
    <w:tbl>
      <w:tblPr>
        <w:tblW w:w="6413" w:type="dxa"/>
        <w:jc w:val="left"/>
        <w:tblInd w:w="1393" w:type="dxa"/>
        <w:tblLayout w:type="fixed"/>
        <w:tblCellMar>
          <w:top w:w="0" w:type="dxa"/>
          <w:left w:w="0" w:type="dxa"/>
          <w:bottom w:w="43" w:type="dxa"/>
          <w:right w:w="0" w:type="dxa"/>
        </w:tblCellMar>
      </w:tblPr>
      <w:tblGrid>
        <w:gridCol w:w="3043"/>
        <w:gridCol w:w="109"/>
        <w:gridCol w:w="109"/>
        <w:gridCol w:w="109"/>
        <w:gridCol w:w="226"/>
        <w:gridCol w:w="946"/>
        <w:gridCol w:w="109"/>
        <w:gridCol w:w="109"/>
        <w:gridCol w:w="109"/>
        <w:gridCol w:w="109"/>
        <w:gridCol w:w="226"/>
        <w:gridCol w:w="946"/>
        <w:gridCol w:w="109"/>
        <w:gridCol w:w="154"/>
      </w:tblGrid>
      <w:tr>
        <w:trPr/>
        <w:tc>
          <w:tcPr>
            <w:tcW w:w="304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2032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2036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43"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43" w:type="dxa"/>
            <w:tcBorders/>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43"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43" w:type="dxa"/>
            <w:tcBorders>
              <w:bottom w:val="single" w:sz="2" w:space="0" w:color="FFFFFF"/>
            </w:tcBorders>
            <w:tcMar>
              <w:bottom w:w="50" w:type="dxa"/>
            </w:tcMar>
            <w:vAlign w:val="center"/>
          </w:tcPr>
          <w:p>
            <w:pPr>
              <w:pStyle w:val="TableContents"/>
              <w:bidi w:val="0"/>
              <w:spacing w:before="0" w:after="0"/>
              <w:jc w:val="left"/>
              <w:rPr/>
            </w:pPr>
            <w:r>
              <w:rPr>
                <w:spacing w:val="4"/>
              </w:rPr>
              <w:t>Wells Fargo Securities, LLC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43"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agreed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against certain liabilities, including liabilities under the Securities Act of 1933, or to contribute to payments the underwriters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initially to offer the notes of each series to the public at the applicable public offering price set forth on the cover page of this prospectus supplement. After the initial offering, the underwriters may change the applicable public offering price and other selling terms for the notes of the applicable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that we have agreed to provide to the underwriters in connection with this offering (expressed as a percentage of the principal amount of each series of notes). </w:t>
      </w:r>
    </w:p>
    <w:tbl>
      <w:tblPr>
        <w:tblW w:w="3253" w:type="dxa"/>
        <w:jc w:val="left"/>
        <w:tblInd w:w="1393" w:type="dxa"/>
        <w:tblLayout w:type="fixed"/>
        <w:tblCellMar>
          <w:top w:w="0" w:type="dxa"/>
          <w:left w:w="0" w:type="dxa"/>
          <w:bottom w:w="28" w:type="dxa"/>
          <w:right w:w="0" w:type="dxa"/>
        </w:tblCellMar>
      </w:tblPr>
      <w:tblGrid>
        <w:gridCol w:w="1593"/>
        <w:gridCol w:w="109"/>
        <w:gridCol w:w="109"/>
        <w:gridCol w:w="109"/>
        <w:gridCol w:w="109"/>
        <w:gridCol w:w="961"/>
        <w:gridCol w:w="109"/>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2032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this offering, excluding the underwriting discounts, are estimated at approximately $      and will be paid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Issues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a new issue of securities with no established trading market. We do not intend to apply for listing of the notes of either series on any national securities exchange or for quotation of the notes of either series on any automated dealer quotation system. We have been advised by the underwriters that they presently intend to make a market in the notes of each series after completion of this offering. However, they are under no obligation to do so and may discontinue any market-making activities at any time without any notice. We cannot assure you that an active public trading market for the notes of either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develop or be maintained or be liquid. If an active public trading market for the notes of either series does not develop or is not maintained, the market price and liquidity of those notes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of the applicable series in excess of the principal amount of the notes of that series to be purchased by the underwriters in this offering, which creates a syndicate short position. Syndicate covering transactions involve purchases of notes of the applicable series in the open market after the distribution of the notes of that series has been completed in order to cover syndicate short positions. Stabilizing transactions consist of certain bids or purchases of notes of the applicable series made for the purpose of preventing or retarding a decline in the market price of such notes while the offering of such notes is in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these activities may have the effect of raising or maintaining the market price of the notes of the applicable series or preventing or retarding a decline in the market price of such notes. As a result, the price of such notes may be higher than the price that might otherwise exist in the open market in the absence of these transactions. The underwriters may conduct these transactions in the over-the-counter market or otherwise. If the underwriters commence any of these transactions, they may discontinue them at any time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Extended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delivery of the notes will be made against payment therefor on or about the settlement date specified on the cover page of this prospectus supplement, which will be the     business day following the date of pricing of the notes (such settlement cycle being referred to herein as “T+    ”). Under Rule 15c6-1 under the Exchange Act,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in T+    , to specify an alternate settlement cycle at the time of any such trade to prevent a failed settlement. Purchasers of the notes who wish to trade the notes prior to such date should consult their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 affiliates of certain of the underwriters may be holders of our 2026 Notes. If the net proceeds of this offering are used to repay all or a portion of our 2026 Notes, any such underwriter or its affiliates may receive more than 5% of the proceeds of this offering (not including the underwriting discounts). In such event, such underwriter(s) would have a “conflict of interest” pursuant to FINRA Rule 5121 and, in compliance with FINRA Rule 5121, will not confirm sales to accounts in which it exercises discretionary authority without the prior written consent of the customer. However, because the notes are investment grade rated, no “qualified independent underwriter” is required to be appointed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have performed, and expect in the future to perform, investment banking and advisory services for which they have received, and may continue to receive, customary fees and expenses, and affiliates of the underwriters have performed, and expect in the future to perform, commercial lending services, for us and our affiliates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of certain of the underwriters are lenders under various financial arrangements extended to us or our affiliates, including our $5.0 billion senior unsecured revolving credit facility and our $3.5 billion unsecured revolving credit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the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of the notes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such purchaser’s province or territory. Such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and any related free writing prospectus is a prospectus for the purposes of Regulation (EU) 2017/1129, as amended (the “Prospectus 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Simon Property Group, L.P. nor the underwriters have authorized, nor do they authorize, the making of any offer of notes in the EEA other than to EEA Qualified Investors.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EEA RETAIL INVESTORS</w:t>
      </w:r>
      <w:r>
        <w:rPr>
          <w:rFonts w:ascii="Times New Roman;Times;serif" w:hAnsi="Times New Roman;Times;serif"/>
          <w:b w:val="false"/>
          <w:i w:val="false"/>
          <w:caps w:val="false"/>
          <w:smallCaps w:val="false"/>
          <w:color w:val="000000"/>
          <w:spacing w:val="4"/>
          <w:sz w:val="20"/>
        </w:rPr>
        <w:t xml:space="preserve"> — The notes are not intended to be offered, sold or otherwise made available to and should not be offered, sold or otherwise made available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retail investor in the EEA. For these purposes, (a) the expression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an EEA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and any related free writing prospectus is a prospectus for the purposes of the United Kingdom Financial Conduct Authority’s (“FCA”) Prospectus Rules: Admission to Trading on a Regulated Market sourcebook. This prospectus supplement, the accompanying prospectus and any related free writing prospectus have been prepared on the basis that any offer of notes in the United Kingdom will only be made to a legal entity which is a qualified investor under paragraph 15 of Schedule 1 to the Public Offers and Admissions to Trading Regulations 2024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Simon Property Group, L.P. nor the underwriters have authorized, nor do they authorize, the making of any offer of notes in the United Kingdom other than to UK Qualified Investors.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 —</w:t>
      </w:r>
      <w:r>
        <w:rPr>
          <w:rFonts w:ascii="Times New Roman;Times;serif" w:hAnsi="Times New Roman;Times;serif"/>
          <w:b w:val="false"/>
          <w:i w:val="false"/>
          <w:caps w:val="false"/>
          <w:smallCaps w:val="false"/>
          <w:color w:val="000000"/>
          <w:spacing w:val="4"/>
          <w:sz w:val="20"/>
        </w:rPr>
        <w:t xml:space="preserve"> The notes are not intended to be offered, sold, distributed or otherwise made available to and should not be offered, sold, distributed or otherwise made available to any retail investor in the United Kingdom. For these purposes, (a) the expression “retail investor” means a person who is either one (or both) of the following: (i) not a professional client, as defined in point (8) of Article 2(1) of Regulation (EU) No 600/2014 as it forms part of domestic law in the United Kingdom; or (ii) not a UK Qualified Investor; and (b) the expression “offer” includes the communication in any form and by any means of sufficient information on the terms of the offer and the notes to be offered so as to enable an investor to decide to buy or subscribe for the notes.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the DISC and the Consumer Composite Investments (Designated Activities) Regulations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applicable provisions of the Financial Services and Markets Act 2000, as amended (the “FSMA”) must be complied with in respect to anything done by any person in relation to the notes in, from or otherwise involving the United Kingdom.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invitation or inducement to engage in investment activity (within the meaning of Section 21 of the FSMA) in connection with the issue or sale of the notes may only be communicated or caused to be communicated in circumstances in which Section 21(1) of the FSMA does not apply to Simon Property Group,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of this prospectus supplement, the accompanying prospectus, any related free writing prospectus and any other documents and/or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France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Neither this prospectus supplement nor any other offering material relating to the notes described in this prospectus supplement nor the accompanying prospectus has been submitted to the clearance procedures of the </w:t>
      </w:r>
      <w:r>
        <w:rPr>
          <w:rFonts w:ascii="Times New Roman;Times;serif" w:hAnsi="Times New Roman;Times;serif"/>
          <w:b w:val="false"/>
          <w:i/>
          <w:caps w:val="false"/>
          <w:smallCaps w:val="false"/>
          <w:color w:val="000000"/>
          <w:spacing w:val="4"/>
          <w:sz w:val="20"/>
        </w:rPr>
        <w:t>Autorité des Marchés Financiers</w:t>
      </w:r>
      <w:r>
        <w:rPr>
          <w:rFonts w:ascii="Times New Roman;Times;serif" w:hAnsi="Times New Roman;Times;serif"/>
          <w:b w:val="false"/>
          <w:i w:val="false"/>
          <w:caps w:val="false"/>
          <w:smallCaps w:val="false"/>
          <w:color w:val="000000"/>
          <w:spacing w:val="4"/>
          <w:sz w:val="20"/>
        </w:rPr>
        <w:t xml:space="preserve"> or of the competent authority of another member state of the European Economic Area and notified to the </w:t>
      </w:r>
      <w:r>
        <w:rPr>
          <w:rFonts w:ascii="Times New Roman;Times;serif" w:hAnsi="Times New Roman;Times;serif"/>
          <w:b w:val="false"/>
          <w:i/>
          <w:caps w:val="false"/>
          <w:smallCaps w:val="false"/>
          <w:color w:val="000000"/>
          <w:spacing w:val="4"/>
          <w:sz w:val="20"/>
        </w:rPr>
        <w:t>Autorité des Marchés Financiers</w:t>
      </w:r>
      <w:r>
        <w:rPr>
          <w:rFonts w:ascii="Times New Roman;Times;serif" w:hAnsi="Times New Roman;Times;serif"/>
          <w:b w:val="false"/>
          <w:i w:val="false"/>
          <w:caps w:val="false"/>
          <w:smallCaps w:val="false"/>
          <w:color w:val="000000"/>
          <w:spacing w:val="4"/>
          <w:sz w:val="20"/>
        </w:rPr>
        <w:t xml:space="preserve">. The notes have not been offered or sold, and will not be offered or sold, directly or indirectly, to the public in France. Neither this prospectus supplement nor any other offering material relating to the notes nor the accompanying prospectus has been or will be: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released, issued, distributed or caused to be released, issued or distributed to the public in France; or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used in connection with any offer for subscription or sale of the notes to the public in France.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offers, sales and distributions will be made in France only: </w:t>
      </w:r>
    </w:p>
    <w:p>
      <w:pPr>
        <w:pStyle w:val="TextBody"/>
        <w:bidi w:val="0"/>
        <w:spacing w:lineRule="atLeast" w:line="240" w:before="122" w:after="0"/>
        <w:ind w:left="19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to qualified investors (</w:t>
      </w:r>
      <w:r>
        <w:rPr>
          <w:rFonts w:ascii="Times New Roman;Times;serif" w:hAnsi="Times New Roman;Times;serif"/>
          <w:b w:val="false"/>
          <w:i/>
          <w:caps w:val="false"/>
          <w:smallCaps w:val="false"/>
          <w:color w:val="000000"/>
          <w:spacing w:val="4"/>
          <w:sz w:val="20"/>
        </w:rPr>
        <w:t>investisseurs qualifiés</w:t>
      </w:r>
      <w:r>
        <w:rPr>
          <w:rFonts w:ascii="Times New Roman;Times;serif" w:hAnsi="Times New Roman;Times;serif"/>
          <w:b w:val="false"/>
          <w:i w:val="false"/>
          <w:caps w:val="false"/>
          <w:smallCaps w:val="false"/>
          <w:color w:val="000000"/>
          <w:spacing w:val="4"/>
          <w:sz w:val="20"/>
        </w:rPr>
        <w:t>) and/or to a restricted circle of investors (</w:t>
      </w:r>
      <w:r>
        <w:rPr>
          <w:rFonts w:ascii="Times New Roman;Times;serif" w:hAnsi="Times New Roman;Times;serif"/>
          <w:b w:val="false"/>
          <w:i/>
          <w:caps w:val="false"/>
          <w:smallCaps w:val="false"/>
          <w:color w:val="000000"/>
          <w:spacing w:val="4"/>
          <w:sz w:val="20"/>
        </w:rPr>
        <w:t>cercle restreint d’investisseurs</w:t>
      </w:r>
      <w:r>
        <w:rPr>
          <w:rFonts w:ascii="Times New Roman;Times;serif" w:hAnsi="Times New Roman;Times;serif"/>
          <w:b w:val="false"/>
          <w:i w:val="false"/>
          <w:caps w:val="false"/>
          <w:smallCaps w:val="false"/>
          <w:color w:val="000000"/>
          <w:spacing w:val="4"/>
          <w:sz w:val="20"/>
        </w:rPr>
        <w:t xml:space="preserve">), in each case investing for their own account, all as defined in, and in accordance with, articles L.411-2, D.411-1, D.411-2, D.734-1, D.744-1, D.754-1 and D.764-1 of the French Code </w:t>
      </w:r>
      <w:r>
        <w:rPr>
          <w:rFonts w:ascii="Times New Roman;Times;serif" w:hAnsi="Times New Roman;Times;serif"/>
          <w:b w:val="false"/>
          <w:i/>
          <w:caps w:val="false"/>
          <w:smallCaps w:val="false"/>
          <w:color w:val="000000"/>
          <w:spacing w:val="4"/>
          <w:sz w:val="20"/>
        </w:rPr>
        <w:t>monétaire et financier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investment services providers authorized to engage in portfolio management on behalf of third parties; or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 transaction that, in accordance with article L.411-2-II-1°-or-2°-or 3° of the French Code </w:t>
      </w:r>
      <w:r>
        <w:rPr>
          <w:rFonts w:ascii="Times New Roman;Times;serif" w:hAnsi="Times New Roman;Times;serif"/>
          <w:b w:val="false"/>
          <w:i/>
          <w:caps w:val="false"/>
          <w:smallCaps w:val="false"/>
          <w:color w:val="000000"/>
          <w:spacing w:val="4"/>
          <w:sz w:val="20"/>
        </w:rPr>
        <w:t xml:space="preserve">monétaire et financier </w:t>
      </w:r>
      <w:r>
        <w:rPr>
          <w:rFonts w:ascii="Times New Roman;Times;serif" w:hAnsi="Times New Roman;Times;serif"/>
          <w:b w:val="false"/>
          <w:i w:val="false"/>
          <w:caps w:val="false"/>
          <w:smallCaps w:val="false"/>
          <w:color w:val="000000"/>
          <w:spacing w:val="4"/>
          <w:sz w:val="20"/>
        </w:rPr>
        <w:t>and article 211-2 of the General Regulations (</w:t>
      </w:r>
      <w:r>
        <w:rPr>
          <w:rFonts w:ascii="Times New Roman;Times;serif" w:hAnsi="Times New Roman;Times;serif"/>
          <w:b w:val="false"/>
          <w:i/>
          <w:caps w:val="false"/>
          <w:smallCaps w:val="false"/>
          <w:color w:val="000000"/>
          <w:spacing w:val="4"/>
          <w:sz w:val="20"/>
        </w:rPr>
        <w:t>Règlement Général</w:t>
      </w:r>
      <w:r>
        <w:rPr>
          <w:rFonts w:ascii="Times New Roman;Times;serif" w:hAnsi="Times New Roman;Times;serif"/>
          <w:b w:val="false"/>
          <w:i w:val="false"/>
          <w:caps w:val="false"/>
          <w:smallCaps w:val="false"/>
          <w:color w:val="000000"/>
          <w:spacing w:val="4"/>
          <w:sz w:val="20"/>
        </w:rPr>
        <w:t xml:space="preserve">) of the </w:t>
      </w:r>
      <w:r>
        <w:rPr>
          <w:rFonts w:ascii="Times New Roman;Times;serif" w:hAnsi="Times New Roman;Times;serif"/>
          <w:b w:val="false"/>
          <w:i/>
          <w:caps w:val="false"/>
          <w:smallCaps w:val="false"/>
          <w:color w:val="000000"/>
          <w:spacing w:val="4"/>
          <w:sz w:val="20"/>
        </w:rPr>
        <w:t>Autorité des Marchés Financiers</w:t>
      </w:r>
      <w:r>
        <w:rPr>
          <w:rFonts w:ascii="Times New Roman;Times;serif" w:hAnsi="Times New Roman;Times;serif"/>
          <w:b w:val="false"/>
          <w:i w:val="false"/>
          <w:caps w:val="false"/>
          <w:smallCaps w:val="false"/>
          <w:color w:val="000000"/>
          <w:spacing w:val="4"/>
          <w:sz w:val="20"/>
        </w:rPr>
        <w:t>, does not constitute a public offer (</w:t>
      </w:r>
      <w:r>
        <w:rPr>
          <w:rFonts w:ascii="Times New Roman;Times;serif" w:hAnsi="Times New Roman;Times;serif"/>
          <w:b w:val="false"/>
          <w:i/>
          <w:caps w:val="false"/>
          <w:smallCaps w:val="false"/>
          <w:color w:val="000000"/>
          <w:spacing w:val="4"/>
          <w:sz w:val="20"/>
        </w:rPr>
        <w:t>appel public à l’épargne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resold directly or indirectly, only in compliance with articles L.411-1, L.411-2, L.412-1 and L.621-8 through L.621-8-3 of the French Code </w:t>
      </w:r>
      <w:r>
        <w:rPr>
          <w:rFonts w:ascii="Times New Roman;Times;serif" w:hAnsi="Times New Roman;Times;serif"/>
          <w:b w:val="false"/>
          <w:i/>
          <w:caps w:val="false"/>
          <w:smallCaps w:val="false"/>
          <w:color w:val="000000"/>
          <w:spacing w:val="4"/>
          <w:sz w:val="20"/>
        </w:rPr>
        <w:t>monétaire et financier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(i) to “professional investors” as defined in the Securities and Futures Ordinance (Cap. 571) of Hong Kong (the “SFO”) and any rules made under the SFO, or (ii) in other circumstances which do not result in the document being a “prospectus” as defined in the Companies (Winding Up and Miscellaneous Provisions) Ordinance (Cap. 32) of Hong Kong (the “C(WUMP)O”) or which do not constitute an offer to the public within the meaning of the C(WUMP)O; and 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under the SFO.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has been or will be registered as a prospectus under the Securities and Futures Act 2001 (the “SFA”) by the Monetary Authority of Singapore, and the offer of the notes in Singapore is made primarily pursuant to the exemptions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condition of the offer that where the notes are subscribed for or acquired pursuant to an offer made in reliance on Section 275 of the SFA by a Relevant Person which is: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corporation (which is not an Accredited Investor), the sole business of which is to hold investments and the entire share capital of which is owned by one or more individuals, each of whom is an Accredited Investor; or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trust (where the trustee is not an Accredited Investor), the sole purpose of which is to hold investments and each beneficiary of the trust is an individual who is an Accredited Investor,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an Institutional Investor, an Accredited Investor, a Relevant Person, or which arises from an offer referred to in Section 275(1A) of the SFA (in the case of that corporation) or Section 276(4)(c)(ii) of the SFA (in the case of that trust);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where no consideration is or will be given for the transfer;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where the transfer is by operation of law;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as specified in Section 276(7) of the SFA.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EMA2"/>
      <w:bookmarkEnd w:id="12"/>
      <w:r>
        <w:rPr>
          <w:rFonts w:ascii="calibri;arial;sans-serif" w:hAnsi="calibri;arial;sans-serif"/>
          <w:b w:val="false"/>
          <w:i w:val="false"/>
          <w:caps w:val="false"/>
          <w:smallCaps w:val="false"/>
          <w:color w:val="000000"/>
          <w:sz w:val="16"/>
        </w:rPr>
        <w:t>​</w:t>
      </w:r>
      <w:bookmarkStart w:id="13" w:name="sEXP2"/>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the Dubai Financial Services Authority or any other relevant licensing authority in the United Arab Emirates.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relate to an Exempt Offer in accordance with the Markets Rules (MKT) Module of the Dubai Financial Services Authority (“DFSA”). This prospectus supplement and the accompanying prospectus are intended for distribution only to persons who meet the Professional Client criteria set out in Rule 2.3 of the Conduct of Business Module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or therein and has no responsibility for this prospectus supplement and the accompanying prospectus. The securities to which this prospectus supplement and the accompanying prospectus relate may be illiquid and/or subject to restrictions on their resale. Prospective purchasers of the notes offered hereby should conduct their own due diligence on the notes. If you do not understand the contents of this prospectus supplement and the accompanying prospectus, you should consult an authorized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their use in the Dubai International Financial Centre,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Dubai International Financial Centre.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and certain U.S. federal income tax matters will be passed upon for us by Latham &amp; Watkins LLP, Los Angeles, California. Barnes &amp; Thornburg LLP, Indianapolis, Indiana, will act as special Indiana counsel for us in this offering. Sidley Austin LLP, New York, New York, will act as counsel to the underwriters in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Ernst &amp; Young LLP, independent registered public accounting firm, has audited the consolidated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financial statements and schedule of Simon Property Group, L.P., included in its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Simon Property Group, L.P.’s internal control over financial reporting as of December 31, 2025, as set forth in their reports, which are incorporated by reference in this prospectus supplement and elsewhere in the registration statement. These financial statements and schedule are incorporated by reference in reliance on Ernst &amp; Young LLP’s reports, given on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352675" cy="933450"/>
            <wp:effectExtent l="0" t="0" r="0" b="0"/>
            <wp:docPr id="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 descr=""/>
                    <pic:cNvPicPr>
                      <a:picLocks noChangeAspect="1" noChangeArrowheads="1"/>
                    </pic:cNvPicPr>
                  </pic:nvPicPr>
                  <pic:blipFill>
                    <a:blip r:embed="rId5"/>
                    <a:stretch>
                      <a:fillRect/>
                    </a:stretch>
                  </pic:blipFill>
                  <pic:spPr bwMode="auto">
                    <a:xfrm>
                      <a:off x="0" y="0"/>
                      <a:ext cx="2352675" cy="9334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SIMON PROPERTY GROUP,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under a “shelf” registration or continuous offering process. We may offer the non-convertible debt securities described in this prospectus in one or more offerings. The debt securities will be our direct unsecured obligations and will rank equally with all of our other unsecured and unsubordinated indebtedness. We may offer the debt securities separately or together, in separate series and in amounts, at prices and on terms described in one or more supplements to this prospectus and other offering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debt securities to or through one or more underwriters, dealers and agents, or directly to purchasers, on a continuous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debt securities. The specific terms of any debt securities to be offered, and any other information relating to a specific offering, will be set forth in a post-effective amendment to the registration statement of which this prospectus is a part, in a supplement to this prospectus or in other offering material related to the debt securities or may be set forth in one or more documents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carefully both this prospectus and any prospectus supplement or other offering material before you make a decision to invest. This prospectus may be used to offer and sell debt securities only if accompanied by a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or other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January 6,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3"/>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5"/>
        <w:gridCol w:w="109"/>
        <w:gridCol w:w="109"/>
        <w:gridCol w:w="109"/>
        <w:gridCol w:w="109"/>
        <w:gridCol w:w="38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WYCF">
              <w:r>
                <w:rPr>
                  <w:rStyle w:val="InternetLink"/>
                  <w:spacing w:val="4"/>
                </w:rPr>
                <w:t>1</w:t>
              </w:r>
            </w:hyperlink>
            <w:hyperlink w:anchor="s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WWA">
              <w:r>
                <w:rPr>
                  <w:rStyle w:val="InternetLink"/>
                  <w:spacing w:val="4"/>
                </w:rPr>
                <w:t xml:space="preserve">WHO WE ARE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WWA">
              <w:r>
                <w:rPr>
                  <w:rStyle w:val="InternetLink"/>
                  <w:spacing w:val="4"/>
                </w:rPr>
                <w:t>1</w:t>
              </w:r>
            </w:hyperlink>
            <w:hyperlink w:anchor="sW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UOP">
              <w:r>
                <w:rPr>
                  <w:rStyle w:val="InternetLink"/>
                  <w:spacing w:val="4"/>
                </w:rPr>
                <w:t>2</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DOSB">
              <w:r>
                <w:rPr>
                  <w:rStyle w:val="InternetLink"/>
                  <w:spacing w:val="4"/>
                </w:rPr>
                <w:t xml:space="preserve">DESCRIPTION OF SECURITIES BEING OFFERED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DOSB">
              <w:r>
                <w:rPr>
                  <w:rStyle w:val="InternetLink"/>
                  <w:spacing w:val="4"/>
                </w:rPr>
                <w:t>3</w:t>
              </w:r>
            </w:hyperlink>
            <w:hyperlink w:anchor="sDOS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UFIT">
              <w:r>
                <w:rPr>
                  <w:rStyle w:val="InternetLink"/>
                  <w:spacing w:val="4"/>
                </w:rPr>
                <w:t>14</w:t>
              </w:r>
            </w:hyperlink>
            <w:hyperlink w:anchor="sUFI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LEMA">
              <w:r>
                <w:rPr>
                  <w:rStyle w:val="InternetLink"/>
                  <w:spacing w:val="4"/>
                </w:rPr>
                <w:t>19</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EXP">
              <w:r>
                <w:rPr>
                  <w:rStyle w:val="InternetLink"/>
                  <w:spacing w:val="4"/>
                </w:rPr>
                <w:t>19</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ind w:left="200" w:right="0" w:hanging="200"/>
              <w:jc w:val="left"/>
              <w:rPr/>
            </w:pPr>
            <w:hyperlink w:anchor="sDOCP">
              <w:r>
                <w:rPr>
                  <w:rStyle w:val="InternetLink"/>
                  <w:spacing w:val="4"/>
                </w:rPr>
                <w:t xml:space="preserve">DISCLOSURE OF COMMISSION POSITION ON INDEMNIFICATION FOR SECURITIES ACT LIABILITIES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DOCP">
              <w:r>
                <w:rPr>
                  <w:rStyle w:val="InternetLink"/>
                  <w:spacing w:val="4"/>
                </w:rPr>
                <w:t>19</w:t>
              </w:r>
            </w:hyperlink>
            <w:hyperlink w:anchor="sDO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IOIW">
              <w:r>
                <w:rPr>
                  <w:rStyle w:val="InternetLink"/>
                  <w:spacing w:val="4"/>
                </w:rPr>
                <w:t xml:space="preserve">INCORPORATION OF INFORMATION WE FILE WITH THE SEC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IOIW">
              <w:r>
                <w:rPr>
                  <w:rStyle w:val="InternetLink"/>
                  <w:spacing w:val="4"/>
                </w:rPr>
                <w:t>20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AT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w:t>
      </w:r>
      <w:bookmarkStart w:id="17" w:name="sWW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offered by us. Each time we sell securities, we will provide a prospectus supplement that will contain specific information about the terms of that offering. The prospectus supplement and any other offering material may also add to, update or change information contained in the prospectus or in documents we have incorporated by reference into this prospectus and, accordingly, to the extent inconsistent, information in or incorporated by reference in this prospectus is superseded by the information in the prospectus supplement and any other offering material related to such securities.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different from that contained or incorporated by reference in this prospectus.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proxy statements and other information with the Securities and Exchange Commission, or the SEC. Our SEC filings are also available over the Internet at the SEC’s website at http://www.sec.gov.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a registration statement on Form S-3 with the SEC covering the securities that may be sold under this prospectus. For further information on us, our affiliates and the securities being offered,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WE 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majority-owned operating partnership subsidiary of Simon Property Group, Inc. (“Simon Property”), which has elected to be treated as a real estate investment trust, or REIT, for U.S. federal income tax purposes. Simon Property’s common stock is listed on the New York Stock Exchange under the symbol “SPG.”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own, develop and manage premier shopping, dining, entertainment and mixed-use destinations, which consist primarily of malls, Premium Outlets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The Mills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As of September 30, 2025, we owned 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 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formed on November 18, 1993 as a Delaware limited partnership. Simon Property is our sole general partner. Our principal executive offices are located at 225 West Washington Street, Indianapolis, Indiana 46204. Our telephone number is (317) 636-1600. Our Internet website address is www.simon.com. The information in our website is not a part of, or incorporated by reference into, this prospectus.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want to find more information about us, please see the sections entitled “Where You Can Find More Information” and “Incorporation of Information We File with the SEC” in this prospectus.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the “Operating Partnership” and the terms “we,” “us” and “our” refer to Simon Property Group, L.P. and its subsidiaries. “Simon Property” refers specifically to our sole general partner, Simon Property Group, Inc.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UO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to use the net proceeds from the sale of debt securities for general business purposes, unless otherwise specified in the prospectus supplement relating to a specific offering. Our general business purposes may include repaying debt, financing capital commitments and financing future acquisitions. If we decide to use the net proceeds from an offering in some other way, we will describe the use of the net proceeds in the prospectus supplement for that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DOS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BEING OFFERED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by this prospectus will be debt securities issued under an Indenture dated as of November 26, 1996, or the Indenture, among us, The Bank of New York Mellon Trust Company, N.A. (as successor to The Chase Manhattan Bank), as trustee, and a former affiliate, as guarantor. The former affiliate was subsequently merged into the Operating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“debt securities” means the debt securities that we issue and that the trustee authenticates under the Indenture. Capitalized terms used but not defined under this prospectus have the meanings given to them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material terms and provisions of the Indenture below. The following summary is not complete and is subject to, and qualified in its entirety by reference to, all provisions of the Indenture. We have included references to section numbers of the Indenture so that you can easily locate the summarized provisions. If you would like more information on any of these provisions, you should read the relevant sections of the Indenture. We have included a copy of the Indenture as an exhibit to our registration statement relating to the debt securities. See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not be convertible into or exchangeable for any capital stock of Simon Property or any equity interest in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does not limit the amount of debt securities we may issue under it. We may issue debt securities from time to time, without limit as to aggregate principal amount and in one or more series. The terms of each series of debt securities will be established in a resolution of the board of directors of our general partner or in one or more supplemental indentures. Without the consent of the holders of the debt securities, we may issue multiple series of debt securities with different terms or “reopen” a previous series of debt securities and issue additional debt securities of that series. (</w:t>
      </w:r>
      <w:r>
        <w:rPr>
          <w:rFonts w:ascii="Times New Roman;Times;serif" w:hAnsi="Times New Roman;Times;serif"/>
          <w:b w:val="false"/>
          <w:i/>
          <w:caps w:val="false"/>
          <w:smallCaps w:val="false"/>
          <w:color w:val="000000"/>
          <w:spacing w:val="4"/>
          <w:sz w:val="20"/>
        </w:rPr>
        <w:t>Section 301</w:t>
      </w:r>
      <w:r>
        <w:rPr>
          <w:rFonts w:ascii="Times New Roman;Times;serif" w:hAnsi="Times New Roman;Times;serif"/>
          <w:b w:val="false"/>
          <w:i w:val="false"/>
          <w:caps w:val="false"/>
          <w:smallCaps w:val="false"/>
          <w:color w:val="000000"/>
          <w:spacing w:val="4"/>
          <w:sz w:val="20"/>
        </w:rPr>
        <w:t xml:space="preserve">). The terms of the debt securities include those provisions contained in the Indenture, the supplemental indenture relating to a series of debt securities and those made a part of the Indenture by reference to the Trust Indenture Act of 1939.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debt securities being offered will include the specific terms of those debt securities and may include modifications of or additions to the general terms described in this prospectus. The specific terms will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the debt securities and whether there is any limit on the aggregate principal amount that we may subsequently issue;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the debt securities will be issued;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payable whether at maturity or upon earlier acceleration, and whether the principal amount will be determined with reference to an index, formula or other method;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will be payable, or the manner in which the payment date or dates will be determined;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bear interest at a fixed or variable rate or not at all and, as applicable: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the manner in which the interest rate is determined, </w:t>
      </w:r>
      <w:r>
        <mc:AlternateContent>
          <mc:Choice Requires="wps">
            <w:drawing>
              <wp:anchor behindDoc="0" distT="77470" distB="0" distL="508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or the method for determining such date or dates, </w:t>
      </w:r>
      <w:r>
        <mc:AlternateContent>
          <mc:Choice Requires="wps">
            <w:drawing>
              <wp:anchor behindDoc="0" distT="77470" distB="0" distL="508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basis upon which interest shall be calculated if other than a 360-day year of twelve 30-day months, </w:t>
      </w:r>
      <w:r>
        <mc:AlternateContent>
          <mc:Choice Requires="wps">
            <w:drawing>
              <wp:anchor behindDoc="0" distT="77470" distB="0" distL="508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dates and interest payment dates for the debt securities, or the method(s) of determining such dates, and </w:t>
      </w:r>
      <w:r>
        <mc:AlternateContent>
          <mc:Choice Requires="wps">
            <w:drawing>
              <wp:anchor behindDoc="0" distT="77470" distB="0" distL="508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interest payment date. </w:t>
      </w:r>
      <w:r>
        <mc:AlternateContent>
          <mc:Choice Requires="wps">
            <w:drawing>
              <wp:anchor behindDoc="0" distT="0" distB="0" distL="508000" distR="0" simplePos="0" locked="0" layoutInCell="1" allowOverlap="1" relativeHeight="80">
                <wp:simplePos x="0" y="0"/>
                <wp:positionH relativeFrom="column">
                  <wp:align>left</wp:align>
                </wp:positionH>
                <wp:positionV relativeFrom="line">
                  <wp:posOffset>635</wp:posOffset>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places where payments on the debt securities will be payable and where the debt securities may be surrendered for registration of transfer or exchange; </w:t>
      </w:r>
      <w:r>
        <mc:AlternateContent>
          <mc:Choice Requires="wps">
            <w:drawing>
              <wp:anchor behindDoc="0" distT="660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that would obligate or permit us to repurchase, redeem or repay some or all of the debt securities, including any sinking fund requirements; </w:t>
      </w:r>
      <w:r>
        <mc:AlternateContent>
          <mc:Choice Requires="wps">
            <w:drawing>
              <wp:anchor behindDoc="0" distT="660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period or periods, redemption price or prices and the terms and conditions upon which the debt securities may be redeemed, if any; </w:t>
      </w:r>
      <w:r>
        <mc:AlternateContent>
          <mc:Choice Requires="wps">
            <w:drawing>
              <wp:anchor behindDoc="0" distT="660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denominated or payable in a foreign currency, units of two or more foreign currencies or a composite currency or currencies, and the related terms, conditions and consequences; </w:t>
      </w:r>
      <w:r>
        <mc:AlternateContent>
          <mc:Choice Requires="wps">
            <w:drawing>
              <wp:anchor behindDoc="0" distT="660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our covenants with respect to the debt securities; </w:t>
      </w:r>
      <w:r>
        <mc:AlternateContent>
          <mc:Choice Requires="wps">
            <w:drawing>
              <wp:anchor behindDoc="0" distT="660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certificated or book-entry form, and the identity of the depositary for debt securities issued in book-entry form; </w:t>
      </w:r>
      <w:r>
        <mc:AlternateContent>
          <mc:Choice Requires="wps">
            <w:drawing>
              <wp:anchor behindDoc="0" distT="660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in registered or bearer form, and any restrictions applicable to the exchange of one form for another and to the offer, sale and delivery of the debt securities in either form; </w:t>
      </w:r>
      <w:r>
        <mc:AlternateContent>
          <mc:Choice Requires="wps">
            <w:drawing>
              <wp:anchor behindDoc="0" distT="660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if any, of the defeasance and covenant defeasance options described under “— Discharge, Defeasance and Covenant Defeasance” and any modifications of these provisions; </w:t>
      </w:r>
      <w:r>
        <mc:AlternateContent>
          <mc:Choice Requires="wps">
            <w:drawing>
              <wp:anchor behindDoc="0" distT="647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on the debt securities held by a person who is not a U.S. person for specified taxes, assessments or other governmental charges and, if so, whether we have the option to redeem the affected debt securities rather than pay the additional amounts; </w:t>
      </w:r>
      <w:r>
        <mc:AlternateContent>
          <mc:Choice Requires="wps">
            <w:drawing>
              <wp:anchor behindDoc="0" distT="647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debt securities that provide for optional redemption or prepayment upon the occurrence of certain events (such as a change of control), </w:t>
      </w:r>
      <w:r>
        <mc:AlternateContent>
          <mc:Choice Requires="wps">
            <w:drawing>
              <wp:anchor behindDoc="0" distT="6477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effects of such provisions on the market price of the debt securities or in deterring certain mergers, tender offers or other takeover attempts, and our intention to comply with the requirements of Rule 14e-1 under the Exchange Act and any other applicable securities laws in connection with these provisions, </w:t>
      </w:r>
      <w:r>
        <mc:AlternateContent>
          <mc:Choice Requires="wps">
            <w:drawing>
              <wp:anchor behindDoc="0" distT="64770" distB="0" distL="508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1pt;mso-wrap-distance-bottom:0pt;margin-top:5.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occurrence of the specified events may give rise to cross-defaults on other indebtedness such that payment on the debt securities may be effectively subordinated, and </w:t>
      </w:r>
      <w:r>
        <mc:AlternateContent>
          <mc:Choice Requires="wps">
            <w:drawing>
              <wp:anchor behindDoc="0" distT="64770" distB="0" distL="508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1pt;mso-wrap-distance-bottom:0pt;margin-top:5.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of any limitation on our financial or legal ability to repurchase such debt securities upon the occurrence of such an event (including, if true, the lack of assurance that such a repurchase can be effected) and the impact, if any, under the Indenture of such a failure, including whether and under what circumstances such a failure may constitute an Event of Default; and </w:t>
      </w:r>
      <w:r>
        <mc:AlternateContent>
          <mc:Choice Requires="wps">
            <w:drawing>
              <wp:anchor behindDoc="0" distT="64770" distB="0" distL="508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1pt;mso-wrap-distance-bottom:0pt;margin-top:5.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647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special U.S. federal income tax, accounting and other considerations may be applicable to instruments such as the debt securities. The prospectus supplement relating to a series of debt securities will describe these considerations, if they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series of debt securities may provide that if their maturity is accelerated, the amount due and payable will be less than their stated principal amount. These are referred to as “Original Issue Discount Securities”. The prospectus supplement relating to any debt securities issued as Original Issue Discount Securities will describe, if material or applicable, the special U.S. federal income tax consequences, accounting and other special considerations that you should consider before purchasing them.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Denominations, Interest,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each series of debt securities in fully registered form without coupons and/or in bearer form with or without coupons, as described in the applicable prospectus supplement. The Indenture provides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we may issue debt securities in global form. If any series of debt securities is issued in global form, the applicable prospectus supplement will describe the circumstances, if any, under which beneficial owners of interests in any of those global debt securities may exchange their interests for debt securities of that series and of like tenor and principal amount in any authorized form and denomination.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the applicable prospectus supplement states otherwise, debt securities issued in fully registered form will be issued in denominations of $1,000 and any integral multiple thereof and debt securities issued in bearer form will be issued in denominations of $5,000 and any integral multiple thereof. Debt securities in global form may be issued in any denomination. (</w:t>
      </w:r>
      <w:r>
        <w:rPr>
          <w:rFonts w:ascii="Times New Roman;Times;serif" w:hAnsi="Times New Roman;Times;serif"/>
          <w:b w:val="false"/>
          <w:i/>
          <w:caps w:val="false"/>
          <w:smallCaps w:val="false"/>
          <w:color w:val="000000"/>
          <w:spacing w:val="4"/>
          <w:sz w:val="20"/>
        </w:rPr>
        <w:t>Section 302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the applicable prospectus supplement states otherwise, we will pay the principal of and any premium or interest on any series of debt securities in registered form at the corporate trust office of the trustee, currently located at 311 S. Wacker Drive, Suite 6200B, Chicago, IL 60606. At our option, we may pay interest by check, wire transfer or any other means permitted under the terms of the debt securities. Unless the applicable prospectus supplement states otherwise, we will have the option to pay interest by check mailed to the person in whose name the debt securities are registered on the applicable record dates or by wire transfer of funds to that person at an account maintained within the United States. (</w:t>
      </w:r>
      <w:r>
        <w:rPr>
          <w:rFonts w:ascii="Times New Roman;Times;serif" w:hAnsi="Times New Roman;Times;serif"/>
          <w:b w:val="false"/>
          <w:i/>
          <w:caps w:val="false"/>
          <w:smallCaps w:val="false"/>
          <w:color w:val="000000"/>
          <w:spacing w:val="4"/>
          <w:sz w:val="20"/>
        </w:rPr>
        <w:t>Sections 301, 307 and 1002</w:t>
      </w:r>
      <w:r>
        <w:rPr>
          <w:rFonts w:ascii="Times New Roman;Times;serif" w:hAnsi="Times New Roman;Times;serif"/>
          <w:b w:val="false"/>
          <w:i w:val="false"/>
          <w:caps w:val="false"/>
          <w:smallCaps w:val="false"/>
          <w:color w:val="000000"/>
          <w:spacing w:val="4"/>
          <w:sz w:val="20"/>
        </w:rPr>
        <w:t xml:space="preserve">). Payments on global debt securities will be made to the depositary or its nominee in accordance with the then-existing arrangements between the paying agent(s) for the global debt securities and the depositary. See “— Global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present debt securities for exchange, and registered debt securities for transfer, in the manner, at the places and subject to the restrictions set forth in the Indenture and the applicable prospectus supplement. You may transfer debt securities in bearer form and the coupons, if any, by delivery. There will be no service charge for any transfer or exchange of debt securities, but we may require payment to cover any tax or other governmental charge related to the transfer or exchange. (</w:t>
      </w:r>
      <w:r>
        <w:rPr>
          <w:rFonts w:ascii="Times New Roman;Times;serif" w:hAnsi="Times New Roman;Times;serif"/>
          <w:b w:val="false"/>
          <w:i/>
          <w:caps w:val="false"/>
          <w:smallCaps w:val="false"/>
          <w:color w:val="000000"/>
          <w:spacing w:val="4"/>
          <w:sz w:val="20"/>
        </w:rPr>
        <w:t>Section 305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required and the trustee is not required: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or register the transfer or exchange of any debt security, or portion of a registered debt security, selected for redemption; or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or register the transfer or exchange of any debt security for a period of 15 days prior to the selection of debt securities to be redeemed; or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exchange any debt security issued in bearer form that has been selected for redemption, unless such debt security is being exchanged for a registered debt security of the same series and of like tenor, provided that the registered debt security is simultaneously surrendered for redemption; or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issue or register the transfer or exchange of any debt security, in whole or in part, surrendered for repayment at the option of the holder. (</w:t>
      </w:r>
      <w:r>
        <w:rPr>
          <w:rFonts w:ascii="Times New Roman;Times;serif" w:hAnsi="Times New Roman;Times;serif"/>
          <w:b w:val="false"/>
          <w:i/>
          <w:caps w:val="false"/>
          <w:smallCaps w:val="false"/>
          <w:color w:val="000000"/>
          <w:spacing w:val="4"/>
          <w:sz w:val="20"/>
        </w:rPr>
        <w:t>Section 305</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direct, unsecured and unsubordinated obligations and will rank equally with all our other unsecured and unsubordinated indebtedness from time to time outstanding, and the debt securities will be effectively subordinated to the claims of mortgage lenders holding our secured indebtedness, as to the specific property securing each lender’s mortgage and to claims of creditors of our subsidiaries to the extent of the assets of those subsidiaries. Subject to specified limitations in the Indenture and as described below under “— Covenants,” the Indenture permits us to incur additional secured and unsecured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below under “— Covenants — </w:t>
      </w: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xml:space="preserve">,” the Indenture does not contain any provisions that would limit our ability to incur indebtedness or that would afford holders of the debt securities protection in the event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highly leveraged or similar transaction involving us or any of our affiliates;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reorganization, restructuring, merger or similar transaction involving us that may adversely affect the holders of the debt securities.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ownership and transfer of the shares of common stock of Simon Property designed to preserve its status as a REIT, however, may act to prevent or hinder a change of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Guarantee by Predecessor Operating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covenants will apply to the debt securities unless they are amended or supplemented in the supplemental indenture relating to a particular series of debt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Consolidation or Sale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consolidate with, or sell, lease or convey all or substantially all of our assets to, or merge with or into, any other entity, provided that: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we will be the continuing entity or the successor entity will be an entity organized and existing under U.S. laws and the successor entity expressly assumes payment of the principal of, premium, if any, and any interest on all of the debt securities and the due and punctual performance and observance of all of the covenants and conditions contained in the Indenture; </w:t>
      </w:r>
      <w:r>
        <mc:AlternateContent>
          <mc:Choice Requires="wps">
            <w:drawing>
              <wp:anchor behindDoc="0" distT="6985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and treating any indebtedness which becomes our obligation or the obligation of a Subsidiary as a result thereof as having been incurred by us or that Subsidiary at the time of the transaction, no Event of Default, and no event which, after notice or the lapse of time, or both, would become an Event of Default, will have occurred and be continuing; and </w:t>
      </w:r>
      <w:r>
        <mc:AlternateContent>
          <mc:Choice Requires="wps">
            <w:drawing>
              <wp:anchor behindDoc="0" distT="673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officer’s certificate and legal opinion covering these conditions is delivered to the trustee. (</w:t>
      </w:r>
      <w:r>
        <w:rPr>
          <w:rFonts w:ascii="Times New Roman;Times;serif" w:hAnsi="Times New Roman;Times;serif"/>
          <w:b w:val="false"/>
          <w:i/>
          <w:caps w:val="false"/>
          <w:smallCaps w:val="false"/>
          <w:color w:val="000000"/>
          <w:spacing w:val="4"/>
          <w:sz w:val="20"/>
        </w:rPr>
        <w:t>Section 801 and 803</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Existence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under “— </w:t>
      </w: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debt securities. (</w:t>
      </w:r>
      <w:r>
        <w:rPr>
          <w:rFonts w:ascii="Times New Roman;Times;serif" w:hAnsi="Times New Roman;Times;serif"/>
          <w:b w:val="false"/>
          <w:i/>
          <w:caps w:val="false"/>
          <w:smallCaps w:val="false"/>
          <w:color w:val="000000"/>
          <w:spacing w:val="4"/>
          <w:sz w:val="20"/>
        </w:rPr>
        <w:t>Section 1006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Maintenance of Properties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cause all of our material properties used or useful in the conduct 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r>
        <w:rPr>
          <w:rFonts w:ascii="Times New Roman;Times;serif" w:hAnsi="Times New Roman;Times;serif"/>
          <w:b w:val="false"/>
          <w:i/>
          <w:caps w:val="false"/>
          <w:smallCaps w:val="false"/>
          <w:color w:val="000000"/>
          <w:spacing w:val="4"/>
          <w:sz w:val="20"/>
        </w:rPr>
        <w:t>Section 1007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r>
        <w:rPr>
          <w:rFonts w:ascii="Times New Roman;Times;serif" w:hAnsi="Times New Roman;Times;serif"/>
          <w:b w:val="false"/>
          <w:i/>
          <w:caps w:val="false"/>
          <w:smallCaps w:val="false"/>
          <w:color w:val="000000"/>
          <w:spacing w:val="4"/>
          <w:sz w:val="20"/>
        </w:rPr>
        <w:t>Section 1008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of Taxes and Other Claims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discharge or cause to be paid or discharged, before the same become delinquent: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taxes, assessments and governmental charges levied or imposed upon us or any Subsidiary or upon our income, profits or property or upon any Subsidiary’s income, profits or property; and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lawful claims for labor, materials and supplies which, if unpaid, might by law become a lien upon our property or the property of any Subsidiary;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excluding, however, any tax, assessment, charge or claim whose amount, applicability or validity is being contested in good faith by appropriate proceedings. (</w:t>
      </w:r>
      <w:r>
        <w:rPr>
          <w:rFonts w:ascii="Times New Roman;Times;serif" w:hAnsi="Times New Roman;Times;serif"/>
          <w:b w:val="false"/>
          <w:i/>
          <w:caps w:val="false"/>
          <w:smallCaps w:val="false"/>
          <w:color w:val="000000"/>
          <w:spacing w:val="4"/>
          <w:sz w:val="20"/>
        </w:rPr>
        <w:t>Section 1009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 of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we are subject to Section 13 or 15(d) of the Exchange Act, and to the extent permitted under the Exchange Act, we will file with the SEC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transmit copies of the Financial Information by mail to all holders of debt securities (as their names and addresses appear in the security register) without cost to the holders, and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copies of the Financial Information with the trustee.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not permitted to file these documents with the SEC under the Exchange Act, we will supply copies of the documents to any prospective holder promptly upon written request. (</w:t>
      </w:r>
      <w:r>
        <w:rPr>
          <w:rFonts w:ascii="Times New Roman;Times;serif" w:hAnsi="Times New Roman;Times;serif"/>
          <w:b w:val="false"/>
          <w:i/>
          <w:caps w:val="false"/>
          <w:smallCaps w:val="false"/>
          <w:color w:val="000000"/>
          <w:spacing w:val="4"/>
          <w:sz w:val="20"/>
        </w:rPr>
        <w:t>Section 1010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 Additional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covenants described in this prospectus and with respect to the debt securities generally may not be waived by us, or by the trustee, unless the holders of at least a majority in principal amount of all outstanding debt securities consent to the waiver.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or different covenants with respect to any series of debt securities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made only with the consent of the holders of not less than a majority in principal amount of all outstanding debt securities (as defined in the Indenture) affected by the modification or amendment (voting as a single class); provided, however, that no such modification or amendment may, without the consent of the holder of each debt security affected thereby: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premium, if any, on, or any installment of principal of or interest on, any debt security;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the rate or amount of interest on, or any premium payable on redemption of the debt security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debt securities;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coin or currency, for payment of principal or premium, if any, or interest on the debt securities;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with respect to the debt securities on or after the stated maturity of any debt security;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the consent of whose holders is necessary to modify or amend the Indenture, for any waiver with respect to the debt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to waive compliance with specified provisions of the Indenture or specified defaults and consequences thereunder or to reduce the quorum or voting requirements set forth in the Indenture; or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debt security. (</w:t>
      </w:r>
      <w:r>
        <w:rPr>
          <w:rFonts w:ascii="Times New Roman;Times;serif" w:hAnsi="Times New Roman;Times;serif"/>
          <w:b w:val="false"/>
          <w:i/>
          <w:caps w:val="false"/>
          <w:smallCaps w:val="false"/>
          <w:color w:val="000000"/>
          <w:spacing w:val="4"/>
          <w:sz w:val="20"/>
        </w:rPr>
        <w:t>Section 902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not less than a majority in principal amount of a series of outstanding debt securities have the right to waive compliance by us with covenants relating to those debt securities in the Indenture. (</w:t>
      </w:r>
      <w:r>
        <w:rPr>
          <w:rFonts w:ascii="Times New Roman;Times;serif" w:hAnsi="Times New Roman;Times;serif"/>
          <w:b w:val="false"/>
          <w:i/>
          <w:caps w:val="false"/>
          <w:smallCaps w:val="false"/>
          <w:color w:val="000000"/>
          <w:spacing w:val="4"/>
          <w:sz w:val="20"/>
        </w:rPr>
        <w:t>Section 1013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permitted to be made by us and the trustee without the consent of any holder of debt securities for any of the following purposes: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as obligor under the Indenture; </w:t>
      </w:r>
      <w:r>
        <mc:AlternateContent>
          <mc:Choice Requires="wps">
            <w:drawing>
              <wp:anchor behindDoc="0" distT="8001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for the benefit of the holders of any series of debt securities or to surrender any right or power conferred upon us in the Indenture; </w:t>
      </w:r>
      <w:r>
        <mc:AlternateContent>
          <mc:Choice Requires="wps">
            <w:drawing>
              <wp:anchor behindDoc="0" distT="8001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Events of Default for the benefit of the holders of any series of debt securities; </w:t>
      </w:r>
      <w:r>
        <mc:AlternateContent>
          <mc:Choice Requires="wps">
            <w:drawing>
              <wp:anchor behindDoc="0" distT="8001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change any provisions of the Indenture to facilitate the issuance of, or to liberalize certain terms of, debt securities in bearer form, or to permit or facilitate the issuance of debt securities in uncertificated form, provided that the action shall not adversely affect the interests of the holders of debt securities of any series in any material respect; </w:t>
      </w:r>
      <w:r>
        <mc:AlternateContent>
          <mc:Choice Requires="wps">
            <w:drawing>
              <wp:anchor behindDoc="0" distT="8001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provisions of the Indenture, provided that any change or elimination shall become effective only when the outstanding debt securities are not entitled to the benefit of that provision;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w:t>
      </w:r>
      <w:r>
        <mc:AlternateContent>
          <mc:Choice Requires="wps">
            <w:drawing>
              <wp:anchor behindDoc="0" distT="787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the debt securities of any series; </w:t>
      </w:r>
      <w:r>
        <mc:AlternateContent>
          <mc:Choice Requires="wps">
            <w:drawing>
              <wp:anchor behindDoc="0" distT="787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acceptance of appointment under the Indenture by a successor trustee or facilitate the administration of the trust under the Indenture by more than one trustee; </w:t>
      </w:r>
      <w:r>
        <mc:AlternateContent>
          <mc:Choice Requires="wps">
            <w:drawing>
              <wp:anchor behindDoc="0" distT="787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provided that the action is not inconsistent with the provisions of the Indenture and will not adversely affect the interests of holders of debt securities of any series in any material respect; or </w:t>
      </w:r>
      <w:r>
        <mc:AlternateContent>
          <mc:Choice Requires="wps">
            <w:drawing>
              <wp:anchor behindDoc="0" distT="7874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supplement any of the provisions of the Indenture to the extent necessary to permit or facilitate defeasance and discharge of debt securities, provided that the action will not adversely affect the interests of the holders of the debt securities of any series in any material respect. (</w:t>
      </w:r>
      <w:r>
        <w:rPr>
          <w:rFonts w:ascii="Times New Roman;Times;serif" w:hAnsi="Times New Roman;Times;serif"/>
          <w:b w:val="false"/>
          <w:i/>
          <w:caps w:val="false"/>
          <w:smallCaps w:val="false"/>
          <w:color w:val="000000"/>
          <w:spacing w:val="4"/>
          <w:sz w:val="20"/>
        </w:rPr>
        <w:t>Section 901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provides that in determining whether the holders of the requisite principal amount of a series of outstanding debt securities have given any request, demand, authorization, direction, notice, consent or waiver thereunder or whether a quorum is present at a meeting of holders of those debt securities, (1) 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debt security denominated in a foreign currency that shall be deemed Outstanding shall be the U.S. dollar equivalent, determined on the issue date for that debt security, of the principal amount (or, in the case of an Original Issue Discount Security, the U.S. dollar equivalent on the issue date of such debt security of the amount determined as provided in (1) above) of that debt security, (3) the principal amount of an Indexed Security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affiliate of the Operating Partnership or of such other obligor shall be disregarded. (</w:t>
      </w:r>
      <w:r>
        <w:rPr>
          <w:rFonts w:ascii="Times New Roman;Times;serif" w:hAnsi="Times New Roman;Times;serif"/>
          <w:b w:val="false"/>
          <w:i/>
          <w:caps w:val="false"/>
          <w:smallCaps w:val="false"/>
          <w:color w:val="000000"/>
          <w:spacing w:val="4"/>
          <w:sz w:val="20"/>
        </w:rPr>
        <w:t>Section 101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contains provisions of convening meetings of the holders of debt securities of a series issuable, in whole or in part, as bearer securities. (</w:t>
      </w:r>
      <w:r>
        <w:rPr>
          <w:rFonts w:ascii="Times New Roman;Times;serif" w:hAnsi="Times New Roman;Times;serif"/>
          <w:b w:val="false"/>
          <w:i/>
          <w:caps w:val="false"/>
          <w:smallCaps w:val="false"/>
          <w:color w:val="000000"/>
          <w:spacing w:val="4"/>
          <w:sz w:val="20"/>
        </w:rPr>
        <w:t>Section 1501</w:t>
      </w:r>
      <w:r>
        <w:rPr>
          <w:rFonts w:ascii="Times New Roman;Times;serif" w:hAnsi="Times New Roman;Times;serif"/>
          <w:b w:val="false"/>
          <w:i w:val="false"/>
          <w:caps w:val="false"/>
          <w:smallCaps w:val="false"/>
          <w:color w:val="000000"/>
          <w:spacing w:val="4"/>
          <w:sz w:val="20"/>
        </w:rPr>
        <w:t>). A meeting will be permitted to be called at any time by the trustee, and also, upon request, by the Operating Partnership or the holders of at least 10% in principal amount of the outstanding debt securities of such series, in any such case upon notice given as provided in the Indenture. (</w:t>
      </w:r>
      <w:r>
        <w:rPr>
          <w:rFonts w:ascii="Times New Roman;Times;serif" w:hAnsi="Times New Roman;Times;serif"/>
          <w:b w:val="false"/>
          <w:i/>
          <w:caps w:val="false"/>
          <w:smallCaps w:val="false"/>
          <w:color w:val="000000"/>
          <w:spacing w:val="4"/>
          <w:sz w:val="20"/>
        </w:rPr>
        <w:t>Section 1502</w:t>
      </w:r>
      <w:r>
        <w:rPr>
          <w:rFonts w:ascii="Times New Roman;Times;serif" w:hAnsi="Times New Roman;Times;serif"/>
          <w:b w:val="false"/>
          <w:i w:val="false"/>
          <w:caps w:val="false"/>
          <w:smallCaps w:val="false"/>
          <w:color w:val="000000"/>
          <w:spacing w:val="4"/>
          <w:sz w:val="20"/>
        </w:rPr>
        <w:t>). Except for any consent that must be given by the holder of each debt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in principal amount of the outstanding debt securities of a series may be adopted at a meeting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any request, demand, authorization, direction, notice, consent, waiver or other action which may be made, given or taken by the holders of not less than a specified percentage in principal amount of the outstanding debt securities of a series, then with respect to such action (and only such action) the persons holding or representing such specified percentage in principal amount of the outstanding debt securities of such series will constitute a quorum. (</w:t>
      </w:r>
      <w:r>
        <w:rPr>
          <w:rFonts w:ascii="Times New Roman;Times;serif" w:hAnsi="Times New Roman;Times;serif"/>
          <w:b w:val="false"/>
          <w:i/>
          <w:caps w:val="false"/>
          <w:smallCaps w:val="false"/>
          <w:color w:val="000000"/>
          <w:spacing w:val="4"/>
          <w:sz w:val="20"/>
        </w:rPr>
        <w:t>Section 1504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the Indenture provides that if any action is to be taken at a meeting of holders of debt securities of any series with respect to any request, demand, authorization, direction, notice, consent, waiver or other action that the Indenture expressly provides may be made, given or taken by the holders of a specified percentage in principal amount of all outstanding debt securities affected thereby, or the holders of that series and any other series: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minimum quorum requirement for the meeting; and </w:t>
      </w:r>
      <w:r>
        <mc:AlternateContent>
          <mc:Choice Requires="wps">
            <w:drawing>
              <wp:anchor behindDoc="0" distT="6858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principal amount of the outstanding debt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w:rPr>
          <w:rFonts w:ascii="Times New Roman;Times;serif" w:hAnsi="Times New Roman;Times;serif"/>
          <w:b w:val="false"/>
          <w:i/>
          <w:caps w:val="false"/>
          <w:smallCaps w:val="false"/>
          <w:color w:val="000000"/>
          <w:spacing w:val="4"/>
          <w:sz w:val="20"/>
        </w:rPr>
        <w:t>Section 1504</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amended, modified or supplemented in the supplemental indenture relating to a particular series of debt securities, the term “Event of Default,” when used in this prospectus and the Indenture means any one of the following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the payment of any interest upon the debt securities when the interest becomes due and payable, and continuance of the default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default in the payment of the principal of, or premium, if any, on, any debt security when it becomes due and payable at its Maturity Date or by declaration of acceleration, notice of redemption or otherwise;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default in making a required sinking fund payment, if 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default in the performance of any of our covenants in the Indenture (other than a covenant added to the Indenture solely for the benefit of a series of debt securities issued under the Indenture) and continuance of the default for a period of 60 days after there has been given, by registered or certified mail, to us by the trustee, or to us and the trustee by the holders of at least 25% in principal amount of the debt securities, a written notice specifying the default and requiring it to be remedied and stating that the notice is a “Notice of Default”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 default in the payment of an aggregate principal amount exceeding $30 million of any of our recourse indebtedness (however evidenced) after the expiration of any applicable grace period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10 days after there has been given, by registered or certified mail, to us by the trustee, or to us and the trustee by the holders of at least 10% in principal amount of the outstanding debt securities, a written notice specifying the default and requiring us to cause the indebtedness to be discharged or cause the acceleration to be rescinded or annulled and stating that the notice is a “Notice of Default”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specific events of bankruptcy, insolvency or reorganization affecting us or certain Subsidiaries or any of their respective properties;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any other Event of Default provided with respect to a particular series of debt securities issued under the Indenture. (</w:t>
      </w:r>
      <w:r>
        <w:rPr>
          <w:rFonts w:ascii="Times New Roman;Times;serif" w:hAnsi="Times New Roman;Times;serif"/>
          <w:b w:val="false"/>
          <w:i/>
          <w:caps w:val="false"/>
          <w:smallCaps w:val="false"/>
          <w:color w:val="000000"/>
          <w:spacing w:val="4"/>
          <w:sz w:val="20"/>
        </w:rPr>
        <w:t>Section 501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under the Indenture with respect to the debt securities at the time outstanding occurs and is continuing, then in every such case the trustee or the holders of not less than 25% of the principal amount of the outstanding debt securities may declare the principal amount and premium or Make-Whole Amount, if any, and accrued interest on all the debt securities to be due and payable immediately by written notice thereof to us, and to the trustee if given by the holders; provided, that in the case of an Event of Default described in clause (6) above, acceleration is automatic. However, at any time after a declaration of acceleration with respect to the debt securities has been made, but before a judgment or decree for payment of the money due has been obtained by the trustee, the holders of not less than a majority in principal amount of the outstanding debt securities may, by written notice to us and the trustee, rescind and annul the declaration and its consequences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deposited with the trustee all required payments of the principal of, and premium or Make-Whole Amount, if any, and interest on the debt securities, plus specified fees, expenses, disbursement and advances of the trustee; and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Events of Default with respect to the debt securities, other than the non-payment of principal of, or Make-Whole Amount, if any, or interest on the debt securities which has become due solely by the declaration of acceleration, have been cured or waived as provided in the Indenture. (</w:t>
      </w:r>
      <w:r>
        <w:rPr>
          <w:rFonts w:ascii="Times New Roman;Times;serif" w:hAnsi="Times New Roman;Times;serif"/>
          <w:b w:val="false"/>
          <w:i/>
          <w:caps w:val="false"/>
          <w:smallCaps w:val="false"/>
          <w:color w:val="000000"/>
          <w:spacing w:val="4"/>
          <w:sz w:val="20"/>
        </w:rPr>
        <w:t>Section 502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a majority in principal amount of the debt securities of any series may waive any past default with respect to such series and its consequences, except a default: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of, or premium, if any, or interest payable on any debt security of that series; or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respect of a covenant or provision contained in the Indenture that cannot be modified or amended without the consent of the holder of each debt security of the affected series. (</w:t>
      </w:r>
      <w:r>
        <w:rPr>
          <w:rFonts w:ascii="Times New Roman;Times;serif" w:hAnsi="Times New Roman;Times;serif"/>
          <w:b w:val="false"/>
          <w:i/>
          <w:caps w:val="false"/>
          <w:smallCaps w:val="false"/>
          <w:color w:val="000000"/>
          <w:spacing w:val="4"/>
          <w:sz w:val="20"/>
        </w:rPr>
        <w:t>Section 513</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trustee will be required to give notice to the holders of the debt securities within 90 days of the occurrence of a default under the Indenture unless the default has been cured or waived; provided, however, that the trustee may withhold notice to the holders of the debt securities of any default, except a default in the payment of the principal of, or premium or Make-Whole Amount, if any, or interest on the debt securities, if and so long as specified responsible officers of the trustee determine in good faith that the withholding of the notice is in the interest of the holders. (</w:t>
      </w:r>
      <w:r>
        <w:rPr>
          <w:rFonts w:ascii="Times New Roman;Times;serif" w:hAnsi="Times New Roman;Times;serif"/>
          <w:b w:val="false"/>
          <w:i/>
          <w:caps w:val="false"/>
          <w:smallCaps w:val="false"/>
          <w:color w:val="000000"/>
          <w:spacing w:val="4"/>
          <w:sz w:val="20"/>
        </w:rPr>
        <w:t>Section 601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provides that no holder of debt securities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debt securities, as well as an offer of indemnity reasonably satisfactory to it. This provision will not prevent, however, any holder of debt securities from instituting suit for the payment of the principal of, and premium or Make-Whole Amount, if any, and interest on the debt securities on the due date thereof. (</w:t>
      </w:r>
      <w:r>
        <w:rPr>
          <w:rFonts w:ascii="Times New Roman;Times;serif" w:hAnsi="Times New Roman;Times;serif"/>
          <w:b w:val="false"/>
          <w:i/>
          <w:caps w:val="false"/>
          <w:smallCaps w:val="false"/>
          <w:color w:val="000000"/>
          <w:spacing w:val="4"/>
          <w:sz w:val="20"/>
        </w:rPr>
        <w:t>Sections 507 and 508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provisions in the Indenture relating to its duties in case of default, the trustee is under no obligation to exercise any of its rights or powers under the Indenture at the request or direction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debt securities then outstanding under the Indenture, unless the holders have offered to the trustee reasonable security or indemnity. (</w:t>
      </w:r>
      <w:r>
        <w:rPr>
          <w:rFonts w:ascii="Times New Roman;Times;serif" w:hAnsi="Times New Roman;Times;serif"/>
          <w:b w:val="false"/>
          <w:i/>
          <w:caps w:val="false"/>
          <w:smallCaps w:val="false"/>
          <w:color w:val="000000"/>
          <w:spacing w:val="4"/>
          <w:sz w:val="20"/>
        </w:rPr>
        <w:t>Section 602</w:t>
      </w:r>
      <w:r>
        <w:rPr>
          <w:rFonts w:ascii="Times New Roman;Times;serif" w:hAnsi="Times New Roman;Times;serif"/>
          <w:b w:val="false"/>
          <w:i w:val="false"/>
          <w:caps w:val="false"/>
          <w:smallCaps w:val="false"/>
          <w:color w:val="000000"/>
          <w:spacing w:val="4"/>
          <w:sz w:val="20"/>
        </w:rPr>
        <w:t>). The holders of not less than a majority in principal amount of the outstanding debt securities have the right to direct the time, method and place of conducting any proceeding for any remedy available to the trustee or exercising any trust or power conferred upon the trustee. However, the trustee may refuse to follow any direction which is in conflict with any law or the Indenture, which may involve the trustee in personal liability or which may be unduly prejudicial to the holders of debt securities not joining therein and the trustee may take any other action it deems proper and not inconsistent with the direction given. (</w:t>
      </w:r>
      <w:r>
        <w:rPr>
          <w:rFonts w:ascii="Times New Roman;Times;serif" w:hAnsi="Times New Roman;Times;serif"/>
          <w:b w:val="false"/>
          <w:i/>
          <w:caps w:val="false"/>
          <w:smallCaps w:val="false"/>
          <w:color w:val="000000"/>
          <w:spacing w:val="4"/>
          <w:sz w:val="20"/>
        </w:rPr>
        <w:t>Section 512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r>
        <w:rPr>
          <w:rFonts w:ascii="Times New Roman;Times;serif" w:hAnsi="Times New Roman;Times;serif"/>
          <w:b w:val="false"/>
          <w:i/>
          <w:caps w:val="false"/>
          <w:smallCaps w:val="false"/>
          <w:color w:val="000000"/>
          <w:spacing w:val="4"/>
          <w:sz w:val="20"/>
        </w:rPr>
        <w:t>Section 1011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permitted under the Indenture to discharge specific obligations to the holders of the debt securities that have not already been delivered to the trustee for cancellation by irrevocably depositing with the trustee, in trust, funds in the currency in which the debt securities are payable in an amount sufficient to pay the entire indebtedness on the debt securities in respect of principal, and premium or Make-Whole Amount, if any, and interest to the date of the deposit, if the debt securities have become due and payable, or to the stated Maturity Date or redemption date, as the case may be. (</w:t>
      </w:r>
      <w:r>
        <w:rPr>
          <w:rFonts w:ascii="Times New Roman;Times;serif" w:hAnsi="Times New Roman;Times;serif"/>
          <w:b w:val="false"/>
          <w:i/>
          <w:caps w:val="false"/>
          <w:smallCaps w:val="false"/>
          <w:color w:val="000000"/>
          <w:spacing w:val="4"/>
          <w:sz w:val="20"/>
        </w:rPr>
        <w:t>Section 401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provides that we may elect either: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be discharged from any and all obligations with respect to the debt securities other than the obligations to register the transfer or exchange of the debt securities, to replace temporary or mutilated, destroyed, lost or stolen debt securities, to maintain an office or agency in respect of the debt securities and to hold moneys for payment in trust (“defeasance”); or </w:t>
      </w:r>
      <w:r>
        <mc:AlternateContent>
          <mc:Choice Requires="wps">
            <w:drawing>
              <wp:anchor behindDoc="0" distT="7112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our obligations with respect to the debt securities and any other covenant, and any omission to comply with these obligations shall not constitute an Event of Default with respect to the debt securities (“covenant defeasance”); </w:t>
      </w:r>
      <w:r>
        <mc:AlternateContent>
          <mc:Choice Requires="wps">
            <w:drawing>
              <wp:anchor behindDoc="0" distT="7112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either case upon the irrevocable deposit by us with the trustee, in trust, of an amount, in the currency in which the debt securities are payable at stated maturity, or Government Obligations, or both, applicable to the debt securities which through the scheduled payment of principal and interest in accordance with their terms will provide money in an amount sufficient without reinvestment to pay the principal of, and premium or Make-Whole Amount, if any, and interest on the debt securities on the scheduled due dates therefor. (</w:t>
      </w:r>
      <w:r>
        <w:rPr>
          <w:rFonts w:ascii="Times New Roman;Times;serif" w:hAnsi="Times New Roman;Times;serif"/>
          <w:b w:val="false"/>
          <w:i/>
          <w:caps w:val="false"/>
          <w:smallCaps w:val="false"/>
          <w:color w:val="000000"/>
          <w:spacing w:val="4"/>
          <w:sz w:val="20"/>
        </w:rPr>
        <w:t>Sections 1402 and 1404</w:t>
      </w:r>
      <w:r>
        <w:rPr>
          <w:rFonts w:ascii="Times New Roman;Times;serif" w:hAnsi="Times New Roman;Times;serif"/>
          <w:b w:val="false"/>
          <w:i w:val="false"/>
          <w:caps w:val="false"/>
          <w:smallCaps w:val="false"/>
          <w:color w:val="000000"/>
          <w:spacing w:val="4"/>
          <w:sz w:val="20"/>
        </w:rPr>
        <w:t xml:space="preserve">). If either of these options are available to us with respect to a specific series of debt securities, we will indicate it in the prospectus supplement relating to that series of debt securities. Unless the prospectus supplement relating to that series of debt securities provides otherwise, the terms of the defeasance option and the covenant defeasance option will be as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trust may only be established if, among other things, we have delivered to the trustee an opinion of counsel, as specified in the Indenture, to the effect that the holders of the debt securities will not recognize income, gain or loss for federal income tax purposes as a result of the defeasance or covenant defeasance and will be subject to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or the IRS, or a change in applicable federal income tax law occurring after the date of the Indenture. (</w:t>
      </w:r>
      <w:r>
        <w:rPr>
          <w:rFonts w:ascii="Times New Roman;Times;serif" w:hAnsi="Times New Roman;Times;serif"/>
          <w:b w:val="false"/>
          <w:i/>
          <w:caps w:val="false"/>
          <w:smallCaps w:val="false"/>
          <w:color w:val="000000"/>
          <w:spacing w:val="4"/>
          <w:sz w:val="20"/>
        </w:rPr>
        <w:t>Section 1404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Government Obligations</w:t>
      </w:r>
      <w:r>
        <w:rPr>
          <w:rFonts w:ascii="Times New Roman;Times;serif" w:hAnsi="Times New Roman;Times;serif"/>
          <w:b w:val="false"/>
          <w:i w:val="false"/>
          <w:caps w:val="false"/>
          <w:smallCaps w:val="false"/>
          <w:color w:val="000000"/>
          <w:spacing w:val="4"/>
          <w:sz w:val="20"/>
        </w:rPr>
        <w:t xml:space="preserve">” means securities that are: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United States of America for the payment of which its full faith and credit is pledged; or </w:t>
      </w:r>
      <w:r>
        <mc:AlternateContent>
          <mc:Choice Requires="wps">
            <w:drawing>
              <wp:anchor behindDoc="0" distT="7112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a person controlled or supervised by and acting as an agency or instrumentality of the United States of America, the payment of which is unconditionally guaranteed as a full faith and credit obligation by the United States of America; </w:t>
      </w:r>
      <w:r>
        <mc:AlternateContent>
          <mc:Choice Requires="wps">
            <w:drawing>
              <wp:anchor behindDoc="0" distT="7112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provided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if after we have deposited funds or Government Obligations to effect defeasance or covenant defeasance with respect to any series of debt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a debt security of such series is entitled to, and does, elect pursuant to the Indenture or the terms of that debt security to receive payment in a currency, currency unit or composite currency other than that in which such deposit has been made in respect of such debt security, or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Conversion Event (as defined below) occurs in respect of the currency, currency unit or composite currency in which such deposit has been made, the indebtedness represented by that debt security shall be deemed to have been, and will be, fully discharged and satisfied through the payment of the principal of (and premium, if any) and interest on that debt security as they become due out of the proceeds yielded by converting the amount so deposited in respect of that debt security into a currency, currency unit or composite currency in which that debt security becomes payable as a result of such election or such Conversion Event based upon the applicable market exchange rate. (</w:t>
      </w:r>
      <w:r>
        <w:rPr>
          <w:rFonts w:ascii="Times New Roman;Times;serif" w:hAnsi="Times New Roman;Times;serif"/>
          <w:b w:val="false"/>
          <w:i/>
          <w:caps w:val="false"/>
          <w:smallCaps w:val="false"/>
          <w:color w:val="000000"/>
          <w:spacing w:val="4"/>
          <w:sz w:val="20"/>
        </w:rPr>
        <w:t>Section 1405</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Conversion Event</w:t>
      </w:r>
      <w:r>
        <w:rPr>
          <w:rFonts w:ascii="Times New Roman;Times;serif" w:hAnsi="Times New Roman;Times;serif"/>
          <w:b w:val="false"/>
          <w:i w:val="false"/>
          <w:caps w:val="false"/>
          <w:smallCaps w:val="false"/>
          <w:color w:val="000000"/>
          <w:spacing w:val="4"/>
          <w:sz w:val="20"/>
        </w:rPr>
        <w:t xml:space="preserve">” means the cessation of use of (a) a currency, currency unit or composite currency both by the government of the country which issued such currency and for the settlement of transactions by a central bank or other public institutions of or within the international banking community, (b) the ECU both within the European Monetary System and for the settlement of transactions by public institutions of or within the European Community or (c) any currency unit (or composite currency) other than the ECU for the purposes for which it was established. All payments of principal of (and premium, if any) and interest on any debt security that is payable in a foreign currency that ceases to be used by its government of issuance shall be made in U.S. dollars.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effect covenant defeasance with respect to any debt securities and these debt securities are declared due and payable because of the occurrence of any Event of Default other than the Event of Default described in clause (4) under “— Events of Default, Notice and Waiver” with respect to Sections 1006 to 1010, inclusive, of the Indenture, which sections would no longer be applicable to the debt securities as a result of the covenant defeasance, or described in clause (7) under “— Events of Default, Notice and Waiver” with respect to any other covenant as to which there has been covenant defeasance, the amount in the currency in which the debt securities are payable, and Government Obligations on deposit with the trustee, will be sufficient to pay amounts due on the debt securities at the time of their stated maturity but may not be sufficient to pay amounts due on the debt securities at the time of the acceleration resulting from the Default. We would remain liable, however, to make payment of the amounts due at the time of acceleration.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describe further the provisions, if any, permitting defeasance or covenant defeasance, including any modifications to the provisions described above with respect to the debt securities of a particular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provides that there may be more than one trustee with respect to one or more series of debt securities. Any trustee under the Indenture may resign or be removed with respect to one or more series of debt securities, and a successor trustee may be appointed to act with respect to that series. (</w:t>
      </w:r>
      <w:r>
        <w:rPr>
          <w:rFonts w:ascii="Times New Roman;Times;serif" w:hAnsi="Times New Roman;Times;serif"/>
          <w:b w:val="false"/>
          <w:i/>
          <w:caps w:val="false"/>
          <w:smallCaps w:val="false"/>
          <w:color w:val="000000"/>
          <w:spacing w:val="4"/>
          <w:sz w:val="20"/>
        </w:rPr>
        <w:t>Section 608</w:t>
      </w:r>
      <w:r>
        <w:rPr>
          <w:rFonts w:ascii="Times New Roman;Times;serif" w:hAnsi="Times New Roman;Times;serif"/>
          <w:b w:val="false"/>
          <w:i w:val="false"/>
          <w:caps w:val="false"/>
          <w:smallCaps w:val="false"/>
          <w:color w:val="000000"/>
          <w:spacing w:val="4"/>
          <w:sz w:val="20"/>
        </w:rPr>
        <w:t>). If two or more persons are acting as trustee with respect to different series of debt securities, each trustee will administer separate trusts under the Indenture, and, except as otherwise indicated by the Indenture, any action to be taken by a trustee with respect to one or more series of debt securities may be taken only by the trustee for that series. (</w:t>
      </w:r>
      <w:r>
        <w:rPr>
          <w:rFonts w:ascii="Times New Roman;Times;serif" w:hAnsi="Times New Roman;Times;serif"/>
          <w:b w:val="false"/>
          <w:i/>
          <w:caps w:val="false"/>
          <w:smallCaps w:val="false"/>
          <w:color w:val="000000"/>
          <w:spacing w:val="4"/>
          <w:sz w:val="20"/>
        </w:rPr>
        <w:t>Section 609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that will be deposited with, or on behalf of, a depositary identified in the applicable prospectus supplement relating to such series. Global securities may be issued in either registered or bearer form and in either temporary or permanent form. The specific terms of the depositary arrangement with respect to a series of global securities will be described in the applicable prospectus supplement relating to that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governed by, and construed in accordance with, the laws of the State of New York, and once issued the debt securities will be as well.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sUFI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material U.S. federal income tax consequences of the purchase, ownership and disposition of debt securities issued by us, but does not purport to be a complete analysis of all potential tax effects. Supplemental U.S. federal income tax considerations relevant to holders of debt securities offered by this prospectus may be provided in the prospectus supplement that relates to those debt securities. The effects of other U.S. federal tax laws, such as estate and gift tax laws, and any applicable state, local or foreign tax laws are not discussed. This discussion is based on the Internal Revenue Code of 1986, as amended, or the Code, the Treasury regulations promulgated thereunder, or the Treasury Regulations,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debt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discussion is limited to holders who hold the debt securities as “capital assets” within the meaning of Section 1221 of the Code (generally, property held for investment). In addition, this discussion is limited to persons purchasing the debt securities for cash at original issue and at their original “issue price” within the meaning of Section 1273 of the Code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debt securities is sold to the public for cash). This discussion does not address all U.S. 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former long-term residents of the United States;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debt securities as part of a hedge, straddle or other risk reduction strategy or as part of a conversion transaction or other integrated investment;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or regulated investment companies;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“foreign 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partnerships or other entities or arrangements treated as partnerships for U.S. federal income tax purposes (and investors therein);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debt securities under the constructive sale provisions of the Code; and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debt securities being taken into account in an applicable financial statement (as defined in the Code).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treated as a partnership for U.S. federal income tax purposes holds the debt securities, the tax treatment of a partner in the partnership will depend on the status of the partner, the activities of the partnership and certain determinations made at the partner level. Accordingly, partnerships holding the debt securities and the partners in such partnerships should consult their tax advisors regarding the U.S. federal income tax consequences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 DISPOSITION OF THE DEBT SECURITIES ARISING UNDER OTHER U.S. FEDERAL TAX LAWS (INCLUDING ESTATE AND GIFT TAX LAWS), UNDER THE LAWS OF ANY STATE, LOCAL OR NON-U.S. TAXING JURISDICTION OR UNDER ANY APPLICABLE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a debt security that, for U.S. federal income tax purposes, is or is treated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635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635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635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a debt security generally will be taxable to a U.S. Holder as ordinary income at the time such interest is received or accrued, in accordance with such U.S. Holder’s method of tax accounting for U.S. federal income tax purposes. It is expected, and this discussion assumes, that the debt securities will be issued without original issue discount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recognize gain or loss on the sale, exchange, 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subject to information reporting and backup withholding when such holder receives payments on a debt security or receives proceeds from the sale or other taxable disposition of a debt security (including a redemption or retirement of a debt security). Certain U.S. Holders are exempt from backup withholding, including corporations and certain tax-exempt organizations. A U.S. Holder will be subject to backup withholding if such holder is not otherwise exempt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furnish the holder’s taxpayer identification number, which for an individual is ordinarily his or her social security number;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furnishes an incorrect taxpayer identification number; </w:t>
      </w:r>
      <w:r>
        <mc:AlternateContent>
          <mc:Choice Requires="wps">
            <w:drawing>
              <wp:anchor behindDoc="0" distT="635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withholding agent is notified by the IRS that the holder previously failed to properly report payments of interest or dividends; or </w:t>
      </w:r>
      <w:r>
        <mc:AlternateContent>
          <mc:Choice Requires="wps">
            <w:drawing>
              <wp:anchor behindDoc="0" distT="635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certify under penalties of perjury that the holder has furnished a correct taxpayer identification number and that the IRS has not notified the holder that the holder is subject to backup withholding. </w:t>
      </w:r>
      <w:r>
        <mc:AlternateContent>
          <mc:Choice Requires="wps">
            <w:drawing>
              <wp:anchor behindDoc="0" distT="635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Non-U.S.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a debt security that is neither a U.S. Holder nor an entity treated as a partnership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a debt security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our capital or profits;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related to us through actual or constructive stock ownership; and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applicable Treasury Regulations) and certain conditions are satisfied.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interest generally will be subject to U.S. federal income tax at the regular rates. A Non-U.S. Holder that is a corporation also may be subject to a branch profits tax at a rate of 30% (or such lower rate specified by an applicable income tax treaty) on such effectively connected interest, as adjusted for certain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U.S. federal income tax 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 Tax Consequences Applicable to Non-U.S. Holders — Payments of Interest”) unless: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or </w:t>
      </w:r>
      <w:r>
        <mc:AlternateContent>
          <mc:Choice Requires="wps">
            <w:drawing>
              <wp:anchor behindDoc="0" distT="6858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w:t>
      </w:r>
      <w:r>
        <mc:AlternateContent>
          <mc:Choice Requires="wps">
            <w:drawing>
              <wp:anchor behindDoc="0" distT="6858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generally will be subject to U.S. federal income tax on a net income basis at the regular rates. A Non-U.S. Holder that is a foreign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second bullet point above will be subject to U.S. federal income tax at a rate of 30% (or such lower rate specified by an applicable income tax treaty) on gain realized upon the sale, exchange, redemption, retirement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any applicable income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interest generally will not be subject to backup withholding, provided the applicable withholding agent does not have actual knowledge or reason to know the holder is a United States person and the holder certifies its non-U.S. status as described above under “— Tax Consequences Applicable to Non-U.S. Holders — Payments of Interest.” However, information returns are required to be filed with the IRS in connection with any interest paid to the Non-U.S. Holder, regardless of whether any tax was actually withheld. In addition, proceeds of the sale or other taxable disposition of a debt security (including a retirement or redemption of the debt security)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debt security paid outside the United States and conducted through a non-U.S. office of a non-U.S. broker generally will not be subject to backup withholding or information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financial institutions and certain other non-U.S. entities. Specifically, a 30% withholding tax may be imposed on payments of interest on, or (subject to the proposed Treasury Regulations discussed below) gross proceeds from the sale or other disposition of, a debt security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interest on a debt security. While withholding under FATCA would have applied also to payments of gross proceeds from the sale or other disposition of a debt security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investors should consult their tax advisors regarding the potential application of withholding under FATCA to their investment in the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sLEMA"/>
      <w:bookmarkEnd w:id="21"/>
      <w:r>
        <w:rPr>
          <w:rFonts w:ascii="calibri;arial;sans-serif" w:hAnsi="calibri;arial;sans-serif"/>
          <w:b w:val="false"/>
          <w:i w:val="false"/>
          <w:caps w:val="false"/>
          <w:smallCaps w:val="false"/>
          <w:color w:val="000000"/>
          <w:sz w:val="16"/>
        </w:rPr>
        <w:t>​</w:t>
      </w:r>
      <w:bookmarkStart w:id="22" w:name="sEXP"/>
      <w:bookmarkEnd w:id="22"/>
      <w:r>
        <w:rPr>
          <w:rFonts w:ascii="calibri;arial;sans-serif" w:hAnsi="calibri;arial;sans-serif"/>
          <w:b w:val="false"/>
          <w:i w:val="false"/>
          <w:caps w:val="false"/>
          <w:smallCaps w:val="false"/>
          <w:color w:val="000000"/>
          <w:sz w:val="16"/>
        </w:rPr>
        <w:t>​</w:t>
      </w:r>
      <w:bookmarkStart w:id="23" w:name="sDOC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 prospectus supplement, the validity of each issue of the debt securities offered will be passed upon for us by Latham &amp; Watkins LLP, Los Angeles, California and Barnes &amp; Thornburg LLP, Indianapolis, Indiana.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the consolidated financial statements and schedule of Simon Property Group, L.P., included in its </w:t>
      </w:r>
      <w:hyperlink r:id="rId6">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and the effectiveness of Simon Property Group, L.P.’s internal control over financial reporting as of December 31, 2024, as set forth in their reports, which are incorporated by reference in this prospectus and elsewhere in the registration statement. These financial statements and schedule are incorporated by reference in reliance on Ernst &amp; Young LLP’s reports, given on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COMMISSION POSITION 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INDEMNIFICATION FOR SECURITIES ACT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partnership agreement and the articles of incorporation and bylaws of Simon Property, we will indemnify any of our officers or directors who is made or threatened to be made a party to any action, suit or proceeding by reason of the fact that he or she was an officer or director to the fullest extent permitted by Indiana law. Insofar as indemnification for liabilities arising under the Securities Act may be permitted to our directors, officers and persons controlling pursuant to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sIOIW"/>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INFORMATION WE FILE WITH THE SEC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documents are considered part of this prospectus;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disclose important information to you by referring you to those documents; and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that we file with the SEC will automatically update and supersede the information in this prospectus and any information that was previously incorporated in this prospectus.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Exchange Act filing number is 001-36110.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is considered to be part of this prospectus and later information that we file with the SEC will automatically update and supersede this information. We incorporate by reference the following documents and any future filings we make with the SEC under Section 13(a), 13(c), 14 or 15(d) of the Exchange Act (other than documents and information deemed to have been furnished and not filed in accordance with SEC rules) until we have sold all of the securities to which this prospectus relates or the applicable offering of securities is otherwise terminated: </w:t>
      </w:r>
    </w:p>
    <w:p>
      <w:pPr>
        <w:pStyle w:val="TextBody"/>
        <w:bidi w:val="0"/>
        <w:spacing w:lineRule="atLeast" w:line="240" w:before="120" w:after="0"/>
        <w:ind w:left="1993" w:right="0" w:hanging="0"/>
        <w:jc w:val="left"/>
        <w:rPr/>
      </w:pPr>
      <w:hyperlink r:id="rId7">
        <w:r>
          <w:rPr>
            <w:rStyle w:val="InternetLink"/>
          </w:rPr>
          <w:t>our 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8">
        <w:r>
          <w:rPr>
            <w:rStyle w:val="InternetLink"/>
          </w:rPr>
          <w:t>March 31, 2025</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June 30, 2025</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September 30, 2025</w:t>
        </w:r>
      </w:hyperlink>
      <w:r>
        <w:rPr>
          <w:rFonts w:ascii="Times New Roman;Times;serif" w:hAnsi="Times New Roman;Times;serif"/>
          <w:b w:val="false"/>
          <w:i w:val="false"/>
          <w:caps w:val="false"/>
          <w:smallCaps w:val="false"/>
          <w:color w:val="000000"/>
          <w:spacing w:val="4"/>
          <w:sz w:val="20"/>
        </w:rPr>
        <w: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May 15, 2025</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August 19,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receive a free copy of any of the documents incorporated by reference in this prospectus (other than exhibits, unless they are specifically incorporated by reference in the document), call or write us at the following address: Simon Property Group, 225 West Washington Street, Indianapolis, Indiana 46204, Attention: Investor Relations (317) 685-7330.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83"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000" w:after="283"/>
        <w:jc w:val="center"/>
        <w:rPr>
          <w:caps w:val="false"/>
          <w:smallCaps w:val="false"/>
          <w:color w:val="000000"/>
        </w:rPr>
      </w:pPr>
      <w:r>
        <w:rPr>
          <w:caps w:val="false"/>
          <w:smallCaps w:val="false"/>
          <w:color w:val="000000"/>
        </w:rPr>
        <w:drawing>
          <wp:inline distT="0" distB="0" distL="0" distR="0">
            <wp:extent cx="2476500" cy="981075"/>
            <wp:effectExtent l="0" t="0" r="0" b="0"/>
            <wp:docPr id="16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 descr=""/>
                    <pic:cNvPicPr>
                      <a:picLocks noChangeAspect="1" noChangeArrowheads="1"/>
                    </pic:cNvPicPr>
                  </pic:nvPicPr>
                  <pic:blipFill>
                    <a:blip r:embed="rId13"/>
                    <a:stretch>
                      <a:fillRect/>
                    </a:stretch>
                  </pic:blipFill>
                  <pic:spPr bwMode="auto">
                    <a:xfrm>
                      <a:off x="0" y="0"/>
                      <a:ext cx="2476500" cy="9810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231"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SIMON PROPERTY GROUP,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Notes due 2032</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11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05"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60" w:before="192"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J.P. Morgan </w:t>
      </w:r>
    </w:p>
    <w:p>
      <w:pPr>
        <w:pStyle w:val="TextBody"/>
        <w:bidi w:val="0"/>
        <w:spacing w:lineRule="atLeast" w:line="360" w:before="6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Mizuho </w:t>
      </w:r>
    </w:p>
    <w:p>
      <w:pPr>
        <w:pStyle w:val="TextBody"/>
        <w:bidi w:val="0"/>
        <w:spacing w:lineRule="atLeast" w:line="360" w:before="6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PNC Capital Markets LLC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before="174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22344/000110465926019419/spg-20251231x10k.htm" TargetMode="External"/><Relationship Id="rId4" Type="http://schemas.openxmlformats.org/officeDocument/2006/relationships/hyperlink" Target="https://www.sec.gov/ix?doc=/Archives/edgar/data/1022344/000110465926019419/spg-20251231x10k.htm" TargetMode="External"/><Relationship Id="rId5" Type="http://schemas.openxmlformats.org/officeDocument/2006/relationships/image" Target="media/image1.jpeg"/><Relationship Id="rId6" Type="http://schemas.openxmlformats.org/officeDocument/2006/relationships/hyperlink" Target="https://www.sec.gov/ix?doc=/Archives/edgar/data/1022344/000155837025001271/spg-20241231x10k.htm" TargetMode="External"/><Relationship Id="rId7" Type="http://schemas.openxmlformats.org/officeDocument/2006/relationships/hyperlink" Target="https://www.sec.gov/ix?doc=/Archives/edgar/data/1022344/000155837025001271/spg-20241231x10k.htm" TargetMode="External"/><Relationship Id="rId8" Type="http://schemas.openxmlformats.org/officeDocument/2006/relationships/hyperlink" Target="https://www.sec.gov/ix?doc=/Archives/edgar/data/1022344/000155837025007380/spg-20250331x10q.htm" TargetMode="External"/><Relationship Id="rId9" Type="http://schemas.openxmlformats.org/officeDocument/2006/relationships/hyperlink" Target="https://www.sec.gov/ix?doc=/Archives/edgar/data/1022344/000155837025010639/spg-20250630x10q.htm" TargetMode="External"/><Relationship Id="rId10" Type="http://schemas.openxmlformats.org/officeDocument/2006/relationships/hyperlink" Target="https://www.sec.gov/ix?doc=/Archives/edgar/data/1022344/000110465925107395/spg-20250930x10q.htm" TargetMode="External"/><Relationship Id="rId11" Type="http://schemas.openxmlformats.org/officeDocument/2006/relationships/hyperlink" Target="https://www.sec.gov/ix?doc=/Archives/edgar/data/1022344/000110465925049284/tm2515129d1_8k.htm" TargetMode="External"/><Relationship Id="rId12" Type="http://schemas.openxmlformats.org/officeDocument/2006/relationships/hyperlink" Target="https://www.sec.gov/ix?doc=/Archives/edgar/data/1022344/000110465925080255/tm2523714d1_8k.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30242</Words>
  <Characters>156819</Characters>
  <CharactersWithSpaces>188447</CharactersWithSpaces>
  <Paragraphs>1593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