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5240"/>
        <w:spacing w:after="0"/>
        <w:rPr>
          <w:sz w:val="20"/>
          <w:szCs w:val="20"/>
          <w:color w:val="auto"/>
        </w:rPr>
      </w:pPr>
      <w:r>
        <w:rPr>
          <w:rFonts w:ascii="Arial" w:cs="Arial" w:eastAsia="Arial" w:hAnsi="Arial"/>
          <w:sz w:val="22"/>
          <w:szCs w:val="22"/>
          <w:b w:val="1"/>
          <w:bCs w:val="1"/>
          <w:color w:val="auto"/>
        </w:rPr>
        <w:t>FORM 15</w:t>
      </w:r>
    </w:p>
    <w:p>
      <w:pPr>
        <w:spacing w:after="0" w:line="212" w:lineRule="exact"/>
        <w:rPr>
          <w:sz w:val="24"/>
          <w:szCs w:val="24"/>
          <w:color w:val="auto"/>
        </w:rPr>
      </w:pPr>
    </w:p>
    <w:p>
      <w:pPr>
        <w:ind w:left="780"/>
        <w:spacing w:after="0"/>
        <w:rPr>
          <w:sz w:val="20"/>
          <w:szCs w:val="20"/>
          <w:color w:val="auto"/>
        </w:rPr>
      </w:pPr>
      <w:r>
        <w:rPr>
          <w:rFonts w:ascii="Arial" w:cs="Arial" w:eastAsia="Arial" w:hAnsi="Arial"/>
          <w:sz w:val="22"/>
          <w:szCs w:val="22"/>
          <w:color w:val="auto"/>
        </w:rPr>
        <w:t>CERTIFICATION AND NOTICE OF TERMINATION OF REGISTRATION UNDER SECTION 12(g) OF THE</w:t>
      </w:r>
    </w:p>
    <w:p>
      <w:pPr>
        <w:jc w:val="center"/>
        <w:spacing w:after="0" w:line="238" w:lineRule="auto"/>
        <w:rPr>
          <w:sz w:val="20"/>
          <w:szCs w:val="20"/>
          <w:color w:val="auto"/>
        </w:rPr>
      </w:pPr>
      <w:r>
        <w:rPr>
          <w:rFonts w:ascii="Arial" w:cs="Arial" w:eastAsia="Arial" w:hAnsi="Arial"/>
          <w:sz w:val="22"/>
          <w:szCs w:val="22"/>
          <w:color w:val="auto"/>
        </w:rPr>
        <w:t>SECURITIES EXCHANGE ACT OF 1934 OR SUSPENSION OF DUTY TO FILE REPORTS UNDER</w:t>
      </w:r>
    </w:p>
    <w:p>
      <w:pPr>
        <w:jc w:val="center"/>
        <w:spacing w:after="0"/>
        <w:rPr>
          <w:sz w:val="20"/>
          <w:szCs w:val="20"/>
          <w:color w:val="auto"/>
        </w:rPr>
      </w:pPr>
      <w:r>
        <w:rPr>
          <w:rFonts w:ascii="Arial" w:cs="Arial" w:eastAsia="Arial" w:hAnsi="Arial"/>
          <w:sz w:val="22"/>
          <w:szCs w:val="22"/>
          <w:color w:val="auto"/>
        </w:rPr>
        <w:t>SECTIONS 13 AND 15(d) OF THE SECURITIES EXCHANGE ACT OF 1934.</w:t>
      </w:r>
    </w:p>
    <w:p>
      <w:pPr>
        <w:spacing w:after="0" w:line="188" w:lineRule="exact"/>
        <w:rPr>
          <w:sz w:val="24"/>
          <w:szCs w:val="24"/>
          <w:color w:val="auto"/>
        </w:rPr>
      </w:pPr>
    </w:p>
    <w:p>
      <w:pPr>
        <w:jc w:val="right"/>
        <w:spacing w:after="0"/>
        <w:rPr>
          <w:sz w:val="20"/>
          <w:szCs w:val="20"/>
          <w:color w:val="auto"/>
        </w:rPr>
      </w:pPr>
      <w:r>
        <w:rPr>
          <w:rFonts w:ascii="Arial" w:cs="Arial" w:eastAsia="Arial" w:hAnsi="Arial"/>
          <w:sz w:val="22"/>
          <w:szCs w:val="22"/>
          <w:color w:val="auto"/>
        </w:rPr>
        <w:t>Commission File Number: 33-98136</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CPG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105 Eisenhower Parkway, Roseland, New Jersey 07068, (973) 228-6111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7.25% Notes due October 21, 2007</w:t>
      </w:r>
    </w:p>
    <w:p>
      <w:pPr>
        <w:jc w:val="center"/>
        <w:spacing w:after="0" w:line="238" w:lineRule="auto"/>
        <w:rPr>
          <w:sz w:val="20"/>
          <w:szCs w:val="20"/>
          <w:color w:val="auto"/>
        </w:rPr>
      </w:pPr>
      <w:r>
        <w:rPr>
          <w:rFonts w:ascii="Arial" w:cs="Arial" w:eastAsia="Arial" w:hAnsi="Arial"/>
          <w:sz w:val="22"/>
          <w:szCs w:val="22"/>
          <w:color w:val="auto"/>
        </w:rPr>
        <w:t>3.5% Notes due March 15, 2009</w:t>
      </w:r>
    </w:p>
    <w:p>
      <w:pPr>
        <w:jc w:val="center"/>
        <w:spacing w:after="0" w:line="230" w:lineRule="auto"/>
        <w:rPr>
          <w:sz w:val="20"/>
          <w:szCs w:val="20"/>
          <w:color w:val="auto"/>
        </w:rPr>
      </w:pPr>
      <w:r>
        <w:rPr>
          <w:rFonts w:ascii="Arial" w:cs="Arial" w:eastAsia="Arial" w:hAnsi="Arial"/>
          <w:sz w:val="22"/>
          <w:szCs w:val="22"/>
          <w:color w:val="auto"/>
        </w:rPr>
        <w:t>8.625% Notes due August 17, 2009</w:t>
      </w:r>
    </w:p>
    <w:p>
      <w:pPr>
        <w:jc w:val="center"/>
        <w:spacing w:after="0" w:line="231" w:lineRule="auto"/>
        <w:rPr>
          <w:sz w:val="20"/>
          <w:szCs w:val="20"/>
          <w:color w:val="auto"/>
        </w:rPr>
      </w:pPr>
      <w:r>
        <w:rPr>
          <w:rFonts w:ascii="Arial" w:cs="Arial" w:eastAsia="Arial" w:hAnsi="Arial"/>
          <w:sz w:val="22"/>
          <w:szCs w:val="22"/>
          <w:color w:val="auto"/>
        </w:rPr>
        <w:t>8.25% Notes due February 1, 2011</w:t>
      </w:r>
    </w:p>
    <w:p>
      <w:pPr>
        <w:jc w:val="center"/>
        <w:spacing w:after="0" w:line="231" w:lineRule="auto"/>
        <w:rPr>
          <w:sz w:val="20"/>
          <w:szCs w:val="20"/>
          <w:color w:val="auto"/>
        </w:rPr>
      </w:pPr>
      <w:r>
        <w:rPr>
          <w:rFonts w:ascii="Arial" w:cs="Arial" w:eastAsia="Arial" w:hAnsi="Arial"/>
          <w:sz w:val="22"/>
          <w:szCs w:val="22"/>
          <w:color w:val="auto"/>
        </w:rPr>
        <w:t>6.875% Notes due June 15, 2012</w:t>
      </w:r>
    </w:p>
    <w:p>
      <w:pPr>
        <w:jc w:val="center"/>
        <w:ind w:right="60"/>
        <w:spacing w:after="0" w:line="230" w:lineRule="auto"/>
        <w:rPr>
          <w:sz w:val="20"/>
          <w:szCs w:val="20"/>
          <w:color w:val="auto"/>
        </w:rPr>
      </w:pPr>
      <w:r>
        <w:rPr>
          <w:rFonts w:ascii="Arial" w:cs="Arial" w:eastAsia="Arial" w:hAnsi="Arial"/>
          <w:sz w:val="22"/>
          <w:szCs w:val="22"/>
          <w:color w:val="auto"/>
        </w:rPr>
        <w:t>6.00% Notes due January 15,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2480945</wp:posOffset>
            </wp:positionH>
            <wp:positionV relativeFrom="paragraph">
              <wp:posOffset>-22225</wp:posOffset>
            </wp:positionV>
            <wp:extent cx="2294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9425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color w:val="auto"/>
        </w:rPr>
        <w:t>(Title of each class of securities covered by this Form)</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(Titles of all other classes of securities for which a duty to file reports under section 13(a) or 15(d) remains)</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right="20" w:firstLine="594"/>
        <w:spacing w:after="0" w:line="251" w:lineRule="auto"/>
        <w:rPr>
          <w:sz w:val="20"/>
          <w:szCs w:val="20"/>
          <w:color w:val="auto"/>
        </w:rPr>
      </w:pPr>
      <w:r>
        <w:rPr>
          <w:rFonts w:ascii="Arial" w:cs="Arial" w:eastAsia="Arial" w:hAnsi="Arial"/>
          <w:sz w:val="22"/>
          <w:szCs w:val="22"/>
          <w:color w:val="auto"/>
        </w:rPr>
        <w:t>Please place an X in the box(es) to designate the appropriate rule provision(s) relied upon to terminate or suspend the duty to file reports:</w:t>
      </w:r>
    </w:p>
    <w:p>
      <w:pPr>
        <w:spacing w:after="0" w:line="173" w:lineRule="exact"/>
        <w:rPr>
          <w:sz w:val="24"/>
          <w:szCs w:val="24"/>
          <w:color w:val="auto"/>
        </w:rPr>
      </w:pPr>
    </w:p>
    <w:tbl>
      <w:tblPr>
        <w:tblLayout w:type="fixed"/>
        <w:tblInd w:w="1160" w:type="dxa"/>
        <w:tblCellMar>
          <w:top w:w="0" w:type="dxa"/>
          <w:left w:w="0" w:type="dxa"/>
          <w:bottom w:w="0" w:type="dxa"/>
          <w:right w:w="0" w:type="dxa"/>
        </w:tblCellMar>
      </w:tblPr>
      <w:tr>
        <w:trPr>
          <w:trHeight w:val="275"/>
        </w:trPr>
        <w:tc>
          <w:tcPr>
            <w:tcW w:w="2280" w:type="dxa"/>
            <w:vAlign w:val="bottom"/>
          </w:tcPr>
          <w:p>
            <w:pPr>
              <w:spacing w:after="0"/>
              <w:rPr>
                <w:sz w:val="20"/>
                <w:szCs w:val="20"/>
                <w:color w:val="auto"/>
              </w:rPr>
            </w:pPr>
            <w:r>
              <w:rPr>
                <w:rFonts w:ascii="Arial" w:cs="Arial" w:eastAsia="Arial" w:hAnsi="Arial"/>
                <w:sz w:val="22"/>
                <w:szCs w:val="22"/>
                <w:color w:val="auto"/>
              </w:rPr>
              <w:t>Rule 12g-4(a)(1)(i)</w:t>
            </w:r>
          </w:p>
        </w:tc>
        <w:tc>
          <w:tcPr>
            <w:tcW w:w="760" w:type="dxa"/>
            <w:vAlign w:val="bottom"/>
          </w:tcPr>
          <w:p>
            <w:pPr>
              <w:jc w:val="right"/>
              <w:spacing w:after="0"/>
              <w:rPr>
                <w:sz w:val="20"/>
                <w:szCs w:val="20"/>
                <w:color w:val="auto"/>
              </w:rPr>
            </w:pPr>
            <w:r>
              <w:rPr>
                <w:rFonts w:ascii="Arial" w:cs="Arial" w:eastAsia="Arial" w:hAnsi="Arial"/>
                <w:sz w:val="22"/>
                <w:szCs w:val="22"/>
                <w:color w:val="auto"/>
              </w:rPr>
              <w:t>[</w:t>
            </w:r>
          </w:p>
        </w:tc>
        <w:tc>
          <w:tcPr>
            <w:tcW w:w="840" w:type="dxa"/>
            <w:vAlign w:val="bottom"/>
          </w:tcPr>
          <w:p>
            <w:pPr>
              <w:jc w:val="right"/>
              <w:ind w:right="552"/>
              <w:spacing w:after="0"/>
              <w:rPr>
                <w:sz w:val="20"/>
                <w:szCs w:val="20"/>
                <w:color w:val="auto"/>
              </w:rPr>
            </w:pPr>
            <w:r>
              <w:rPr>
                <w:rFonts w:ascii="Arial" w:cs="Arial" w:eastAsia="Arial" w:hAnsi="Arial"/>
                <w:sz w:val="22"/>
                <w:szCs w:val="22"/>
                <w:color w:val="auto"/>
              </w:rPr>
              <w:t>]</w:t>
            </w:r>
          </w:p>
        </w:tc>
        <w:tc>
          <w:tcPr>
            <w:tcW w:w="2980" w:type="dxa"/>
            <w:vAlign w:val="bottom"/>
          </w:tcPr>
          <w:p>
            <w:pPr>
              <w:ind w:left="680"/>
              <w:spacing w:after="0"/>
              <w:rPr>
                <w:sz w:val="20"/>
                <w:szCs w:val="20"/>
                <w:color w:val="auto"/>
              </w:rPr>
            </w:pPr>
            <w:r>
              <w:rPr>
                <w:rFonts w:ascii="Arial" w:cs="Arial" w:eastAsia="Arial" w:hAnsi="Arial"/>
                <w:sz w:val="22"/>
                <w:szCs w:val="22"/>
                <w:color w:val="auto"/>
              </w:rPr>
              <w:t>Rule 12h-3(b)(1)(i)</w:t>
            </w:r>
          </w:p>
        </w:tc>
        <w:tc>
          <w:tcPr>
            <w:tcW w:w="920" w:type="dxa"/>
            <w:vAlign w:val="bottom"/>
            <w:gridSpan w:val="2"/>
          </w:tcPr>
          <w:p>
            <w:pPr>
              <w:ind w:left="560"/>
              <w:spacing w:after="0"/>
              <w:rPr>
                <w:sz w:val="20"/>
                <w:szCs w:val="20"/>
                <w:color w:val="auto"/>
              </w:rPr>
            </w:pPr>
            <w:r>
              <w:rPr>
                <w:rFonts w:ascii="Arial" w:cs="Arial" w:eastAsia="Arial" w:hAnsi="Arial"/>
                <w:sz w:val="22"/>
                <w:szCs w:val="22"/>
                <w:color w:val="auto"/>
              </w:rPr>
              <w:t>[X ]</w:t>
            </w:r>
          </w:p>
        </w:tc>
      </w:tr>
      <w:tr>
        <w:trPr>
          <w:trHeight w:val="486"/>
        </w:trPr>
        <w:tc>
          <w:tcPr>
            <w:tcW w:w="2280" w:type="dxa"/>
            <w:vAlign w:val="bottom"/>
          </w:tcPr>
          <w:p>
            <w:pPr>
              <w:spacing w:after="0"/>
              <w:rPr>
                <w:sz w:val="20"/>
                <w:szCs w:val="20"/>
                <w:color w:val="auto"/>
              </w:rPr>
            </w:pPr>
            <w:r>
              <w:rPr>
                <w:rFonts w:ascii="Arial" w:cs="Arial" w:eastAsia="Arial" w:hAnsi="Arial"/>
                <w:sz w:val="22"/>
                <w:szCs w:val="22"/>
                <w:color w:val="auto"/>
              </w:rPr>
              <w:t>Rule 12g-4(a)(1)(ii)</w:t>
            </w:r>
          </w:p>
        </w:tc>
        <w:tc>
          <w:tcPr>
            <w:tcW w:w="760" w:type="dxa"/>
            <w:vAlign w:val="bottom"/>
          </w:tcPr>
          <w:p>
            <w:pPr>
              <w:jc w:val="right"/>
              <w:spacing w:after="0"/>
              <w:rPr>
                <w:sz w:val="20"/>
                <w:szCs w:val="20"/>
                <w:color w:val="auto"/>
              </w:rPr>
            </w:pPr>
            <w:r>
              <w:rPr>
                <w:rFonts w:ascii="Arial" w:cs="Arial" w:eastAsia="Arial" w:hAnsi="Arial"/>
                <w:sz w:val="22"/>
                <w:szCs w:val="22"/>
                <w:color w:val="auto"/>
              </w:rPr>
              <w:t>[</w:t>
            </w:r>
          </w:p>
        </w:tc>
        <w:tc>
          <w:tcPr>
            <w:tcW w:w="840" w:type="dxa"/>
            <w:vAlign w:val="bottom"/>
          </w:tcPr>
          <w:p>
            <w:pPr>
              <w:jc w:val="right"/>
              <w:ind w:right="552"/>
              <w:spacing w:after="0"/>
              <w:rPr>
                <w:sz w:val="20"/>
                <w:szCs w:val="20"/>
                <w:color w:val="auto"/>
              </w:rPr>
            </w:pPr>
            <w:r>
              <w:rPr>
                <w:rFonts w:ascii="Arial" w:cs="Arial" w:eastAsia="Arial" w:hAnsi="Arial"/>
                <w:sz w:val="22"/>
                <w:szCs w:val="22"/>
                <w:color w:val="auto"/>
              </w:rPr>
              <w:t>]</w:t>
            </w:r>
          </w:p>
        </w:tc>
        <w:tc>
          <w:tcPr>
            <w:tcW w:w="2980" w:type="dxa"/>
            <w:vAlign w:val="bottom"/>
          </w:tcPr>
          <w:p>
            <w:pPr>
              <w:ind w:left="680"/>
              <w:spacing w:after="0"/>
              <w:rPr>
                <w:sz w:val="20"/>
                <w:szCs w:val="20"/>
                <w:color w:val="auto"/>
              </w:rPr>
            </w:pPr>
            <w:r>
              <w:rPr>
                <w:rFonts w:ascii="Arial" w:cs="Arial" w:eastAsia="Arial" w:hAnsi="Arial"/>
                <w:sz w:val="22"/>
                <w:szCs w:val="22"/>
                <w:color w:val="auto"/>
              </w:rPr>
              <w:t>Rule 12h-3(b)(1)(ii)</w:t>
            </w:r>
          </w:p>
        </w:tc>
        <w:tc>
          <w:tcPr>
            <w:tcW w:w="740" w:type="dxa"/>
            <w:vAlign w:val="bottom"/>
          </w:tcPr>
          <w:p>
            <w:pPr>
              <w:ind w:left="560"/>
              <w:spacing w:after="0"/>
              <w:rPr>
                <w:sz w:val="20"/>
                <w:szCs w:val="20"/>
                <w:color w:val="auto"/>
              </w:rPr>
            </w:pPr>
            <w:r>
              <w:rPr>
                <w:rFonts w:ascii="Arial" w:cs="Arial" w:eastAsia="Arial" w:hAnsi="Arial"/>
                <w:sz w:val="22"/>
                <w:szCs w:val="22"/>
                <w:color w:val="auto"/>
              </w:rPr>
              <w:t>[</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86"/>
        </w:trPr>
        <w:tc>
          <w:tcPr>
            <w:tcW w:w="2280" w:type="dxa"/>
            <w:vAlign w:val="bottom"/>
          </w:tcPr>
          <w:p>
            <w:pPr>
              <w:spacing w:after="0"/>
              <w:rPr>
                <w:sz w:val="20"/>
                <w:szCs w:val="20"/>
                <w:color w:val="auto"/>
              </w:rPr>
            </w:pPr>
            <w:r>
              <w:rPr>
                <w:rFonts w:ascii="Arial" w:cs="Arial" w:eastAsia="Arial" w:hAnsi="Arial"/>
                <w:sz w:val="22"/>
                <w:szCs w:val="22"/>
                <w:color w:val="auto"/>
              </w:rPr>
              <w:t>Rule 12g-4(a)(2)(i)</w:t>
            </w:r>
          </w:p>
        </w:tc>
        <w:tc>
          <w:tcPr>
            <w:tcW w:w="760" w:type="dxa"/>
            <w:vAlign w:val="bottom"/>
          </w:tcPr>
          <w:p>
            <w:pPr>
              <w:jc w:val="right"/>
              <w:spacing w:after="0"/>
              <w:rPr>
                <w:sz w:val="20"/>
                <w:szCs w:val="20"/>
                <w:color w:val="auto"/>
              </w:rPr>
            </w:pPr>
            <w:r>
              <w:rPr>
                <w:rFonts w:ascii="Arial" w:cs="Arial" w:eastAsia="Arial" w:hAnsi="Arial"/>
                <w:sz w:val="22"/>
                <w:szCs w:val="22"/>
                <w:color w:val="auto"/>
              </w:rPr>
              <w:t>[</w:t>
            </w:r>
          </w:p>
        </w:tc>
        <w:tc>
          <w:tcPr>
            <w:tcW w:w="840" w:type="dxa"/>
            <w:vAlign w:val="bottom"/>
          </w:tcPr>
          <w:p>
            <w:pPr>
              <w:jc w:val="right"/>
              <w:ind w:right="552"/>
              <w:spacing w:after="0"/>
              <w:rPr>
                <w:sz w:val="20"/>
                <w:szCs w:val="20"/>
                <w:color w:val="auto"/>
              </w:rPr>
            </w:pPr>
            <w:r>
              <w:rPr>
                <w:rFonts w:ascii="Arial" w:cs="Arial" w:eastAsia="Arial" w:hAnsi="Arial"/>
                <w:sz w:val="22"/>
                <w:szCs w:val="22"/>
                <w:color w:val="auto"/>
              </w:rPr>
              <w:t>]</w:t>
            </w:r>
          </w:p>
        </w:tc>
        <w:tc>
          <w:tcPr>
            <w:tcW w:w="2980" w:type="dxa"/>
            <w:vAlign w:val="bottom"/>
          </w:tcPr>
          <w:p>
            <w:pPr>
              <w:ind w:left="680"/>
              <w:spacing w:after="0"/>
              <w:rPr>
                <w:sz w:val="20"/>
                <w:szCs w:val="20"/>
                <w:color w:val="auto"/>
              </w:rPr>
            </w:pPr>
            <w:r>
              <w:rPr>
                <w:rFonts w:ascii="Arial" w:cs="Arial" w:eastAsia="Arial" w:hAnsi="Arial"/>
                <w:sz w:val="22"/>
                <w:szCs w:val="22"/>
                <w:color w:val="auto"/>
              </w:rPr>
              <w:t>Rule 12h-3(b)(2)(i)</w:t>
            </w:r>
          </w:p>
        </w:tc>
        <w:tc>
          <w:tcPr>
            <w:tcW w:w="740" w:type="dxa"/>
            <w:vAlign w:val="bottom"/>
          </w:tcPr>
          <w:p>
            <w:pPr>
              <w:ind w:left="560"/>
              <w:spacing w:after="0"/>
              <w:rPr>
                <w:sz w:val="20"/>
                <w:szCs w:val="20"/>
                <w:color w:val="auto"/>
              </w:rPr>
            </w:pPr>
            <w:r>
              <w:rPr>
                <w:rFonts w:ascii="Arial" w:cs="Arial" w:eastAsia="Arial" w:hAnsi="Arial"/>
                <w:sz w:val="22"/>
                <w:szCs w:val="22"/>
                <w:color w:val="auto"/>
              </w:rPr>
              <w:t>[</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86"/>
        </w:trPr>
        <w:tc>
          <w:tcPr>
            <w:tcW w:w="2280" w:type="dxa"/>
            <w:vAlign w:val="bottom"/>
          </w:tcPr>
          <w:p>
            <w:pPr>
              <w:spacing w:after="0"/>
              <w:rPr>
                <w:sz w:val="20"/>
                <w:szCs w:val="20"/>
                <w:color w:val="auto"/>
              </w:rPr>
            </w:pPr>
            <w:r>
              <w:rPr>
                <w:rFonts w:ascii="Arial" w:cs="Arial" w:eastAsia="Arial" w:hAnsi="Arial"/>
                <w:sz w:val="22"/>
                <w:szCs w:val="22"/>
                <w:color w:val="auto"/>
              </w:rPr>
              <w:t>Rule 12g-4(a)(2)(ii)</w:t>
            </w:r>
          </w:p>
        </w:tc>
        <w:tc>
          <w:tcPr>
            <w:tcW w:w="760" w:type="dxa"/>
            <w:vAlign w:val="bottom"/>
          </w:tcPr>
          <w:p>
            <w:pPr>
              <w:jc w:val="right"/>
              <w:spacing w:after="0"/>
              <w:rPr>
                <w:sz w:val="20"/>
                <w:szCs w:val="20"/>
                <w:color w:val="auto"/>
              </w:rPr>
            </w:pPr>
            <w:r>
              <w:rPr>
                <w:rFonts w:ascii="Arial" w:cs="Arial" w:eastAsia="Arial" w:hAnsi="Arial"/>
                <w:sz w:val="22"/>
                <w:szCs w:val="22"/>
                <w:color w:val="auto"/>
              </w:rPr>
              <w:t>[</w:t>
            </w:r>
          </w:p>
        </w:tc>
        <w:tc>
          <w:tcPr>
            <w:tcW w:w="840" w:type="dxa"/>
            <w:vAlign w:val="bottom"/>
          </w:tcPr>
          <w:p>
            <w:pPr>
              <w:jc w:val="right"/>
              <w:ind w:right="552"/>
              <w:spacing w:after="0"/>
              <w:rPr>
                <w:sz w:val="20"/>
                <w:szCs w:val="20"/>
                <w:color w:val="auto"/>
              </w:rPr>
            </w:pPr>
            <w:r>
              <w:rPr>
                <w:rFonts w:ascii="Arial" w:cs="Arial" w:eastAsia="Arial" w:hAnsi="Arial"/>
                <w:sz w:val="22"/>
                <w:szCs w:val="22"/>
                <w:color w:val="auto"/>
              </w:rPr>
              <w:t>]</w:t>
            </w:r>
          </w:p>
        </w:tc>
        <w:tc>
          <w:tcPr>
            <w:tcW w:w="2980" w:type="dxa"/>
            <w:vAlign w:val="bottom"/>
          </w:tcPr>
          <w:p>
            <w:pPr>
              <w:ind w:left="680"/>
              <w:spacing w:after="0"/>
              <w:rPr>
                <w:sz w:val="20"/>
                <w:szCs w:val="20"/>
                <w:color w:val="auto"/>
              </w:rPr>
            </w:pPr>
            <w:r>
              <w:rPr>
                <w:rFonts w:ascii="Arial" w:cs="Arial" w:eastAsia="Arial" w:hAnsi="Arial"/>
                <w:sz w:val="22"/>
                <w:szCs w:val="22"/>
                <w:color w:val="auto"/>
              </w:rPr>
              <w:t>Rule 12h-3(b)(2)(ii)</w:t>
            </w:r>
          </w:p>
        </w:tc>
        <w:tc>
          <w:tcPr>
            <w:tcW w:w="740" w:type="dxa"/>
            <w:vAlign w:val="bottom"/>
          </w:tcPr>
          <w:p>
            <w:pPr>
              <w:ind w:left="560"/>
              <w:spacing w:after="0"/>
              <w:rPr>
                <w:sz w:val="20"/>
                <w:szCs w:val="20"/>
                <w:color w:val="auto"/>
              </w:rPr>
            </w:pPr>
            <w:r>
              <w:rPr>
                <w:rFonts w:ascii="Arial" w:cs="Arial" w:eastAsia="Arial" w:hAnsi="Arial"/>
                <w:sz w:val="22"/>
                <w:szCs w:val="22"/>
                <w:color w:val="auto"/>
              </w:rPr>
              <w:t>[</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86"/>
        </w:trPr>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80" w:type="dxa"/>
            <w:vAlign w:val="bottom"/>
          </w:tcPr>
          <w:p>
            <w:pPr>
              <w:ind w:left="680"/>
              <w:spacing w:after="0"/>
              <w:rPr>
                <w:sz w:val="20"/>
                <w:szCs w:val="20"/>
                <w:color w:val="auto"/>
              </w:rPr>
            </w:pPr>
            <w:r>
              <w:rPr>
                <w:rFonts w:ascii="Arial" w:cs="Arial" w:eastAsia="Arial" w:hAnsi="Arial"/>
                <w:sz w:val="22"/>
                <w:szCs w:val="22"/>
                <w:color w:val="auto"/>
              </w:rPr>
              <w:t>Rule 15d-6</w:t>
            </w:r>
          </w:p>
        </w:tc>
        <w:tc>
          <w:tcPr>
            <w:tcW w:w="740" w:type="dxa"/>
            <w:vAlign w:val="bottom"/>
          </w:tcPr>
          <w:p>
            <w:pPr>
              <w:ind w:left="560"/>
              <w:spacing w:after="0"/>
              <w:rPr>
                <w:sz w:val="20"/>
                <w:szCs w:val="20"/>
                <w:color w:val="auto"/>
              </w:rPr>
            </w:pPr>
            <w:r>
              <w:rPr>
                <w:rFonts w:ascii="Arial" w:cs="Arial" w:eastAsia="Arial" w:hAnsi="Arial"/>
                <w:sz w:val="22"/>
                <w:szCs w:val="22"/>
                <w:color w:val="auto"/>
              </w:rPr>
              <w:t>[</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00" w:lineRule="exact"/>
        <w:rPr>
          <w:sz w:val="24"/>
          <w:szCs w:val="24"/>
          <w:color w:val="auto"/>
        </w:rPr>
      </w:pPr>
    </w:p>
    <w:p>
      <w:pPr>
        <w:spacing w:after="0" w:line="228" w:lineRule="exact"/>
        <w:rPr>
          <w:sz w:val="24"/>
          <w:szCs w:val="24"/>
          <w:color w:val="auto"/>
        </w:rPr>
      </w:pPr>
    </w:p>
    <w:p>
      <w:pPr>
        <w:ind w:left="600"/>
        <w:spacing w:after="0"/>
        <w:rPr>
          <w:sz w:val="20"/>
          <w:szCs w:val="20"/>
          <w:color w:val="auto"/>
        </w:rPr>
      </w:pPr>
      <w:r>
        <w:rPr>
          <w:rFonts w:ascii="Arial" w:cs="Arial" w:eastAsia="Arial" w:hAnsi="Arial"/>
          <w:sz w:val="22"/>
          <w:szCs w:val="22"/>
          <w:color w:val="auto"/>
        </w:rPr>
        <w:t>Approximate number of holders of record as of the certification or notice date:</w:t>
      </w:r>
    </w:p>
    <w:p>
      <w:pPr>
        <w:spacing w:after="0" w:line="196" w:lineRule="exact"/>
        <w:rPr>
          <w:sz w:val="24"/>
          <w:szCs w:val="24"/>
          <w:color w:val="auto"/>
        </w:rPr>
      </w:pPr>
    </w:p>
    <w:tbl>
      <w:tblPr>
        <w:tblLayout w:type="fixed"/>
        <w:tblInd w:w="1200" w:type="dxa"/>
        <w:tblCellMar>
          <w:top w:w="0" w:type="dxa"/>
          <w:left w:w="0" w:type="dxa"/>
          <w:bottom w:w="0" w:type="dxa"/>
          <w:right w:w="0" w:type="dxa"/>
        </w:tblCellMar>
      </w:tblPr>
      <w:tr>
        <w:trPr>
          <w:trHeight w:val="253"/>
        </w:trPr>
        <w:tc>
          <w:tcPr>
            <w:tcW w:w="1820" w:type="dxa"/>
            <w:vAlign w:val="bottom"/>
          </w:tcPr>
          <w:p>
            <w:pPr>
              <w:spacing w:after="0"/>
              <w:rPr>
                <w:sz w:val="20"/>
                <w:szCs w:val="20"/>
                <w:color w:val="auto"/>
              </w:rPr>
            </w:pPr>
            <w:r>
              <w:rPr>
                <w:rFonts w:ascii="Arial" w:cs="Arial" w:eastAsia="Arial" w:hAnsi="Arial"/>
                <w:sz w:val="22"/>
                <w:szCs w:val="22"/>
                <w:color w:val="auto"/>
              </w:rPr>
              <w:t>7.25% Notes</w:t>
            </w:r>
          </w:p>
        </w:tc>
        <w:tc>
          <w:tcPr>
            <w:tcW w:w="1480" w:type="dxa"/>
            <w:vAlign w:val="bottom"/>
          </w:tcPr>
          <w:p>
            <w:pPr>
              <w:jc w:val="center"/>
              <w:ind w:left="472"/>
              <w:spacing w:after="0"/>
              <w:rPr>
                <w:sz w:val="20"/>
                <w:szCs w:val="20"/>
                <w:color w:val="auto"/>
              </w:rPr>
            </w:pPr>
            <w:r>
              <w:rPr>
                <w:rFonts w:ascii="Arial" w:cs="Arial" w:eastAsia="Arial" w:hAnsi="Arial"/>
                <w:sz w:val="22"/>
                <w:szCs w:val="22"/>
                <w:color w:val="auto"/>
                <w:w w:val="87"/>
              </w:rPr>
              <w:t>32 holders</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3.5% Notes</w:t>
            </w:r>
          </w:p>
        </w:tc>
        <w:tc>
          <w:tcPr>
            <w:tcW w:w="148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7"/>
              </w:rPr>
              <w:t>20 holders</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8.625% Notes</w:t>
            </w:r>
          </w:p>
        </w:tc>
        <w:tc>
          <w:tcPr>
            <w:tcW w:w="1480" w:type="dxa"/>
            <w:vAlign w:val="bottom"/>
          </w:tcPr>
          <w:p>
            <w:pPr>
              <w:jc w:val="center"/>
              <w:ind w:left="492"/>
              <w:spacing w:after="0" w:line="243" w:lineRule="exact"/>
              <w:rPr>
                <w:sz w:val="20"/>
                <w:szCs w:val="20"/>
                <w:color w:val="auto"/>
              </w:rPr>
            </w:pPr>
            <w:r>
              <w:rPr>
                <w:rFonts w:ascii="Arial" w:cs="Arial" w:eastAsia="Arial" w:hAnsi="Arial"/>
                <w:sz w:val="22"/>
                <w:szCs w:val="22"/>
                <w:color w:val="auto"/>
                <w:w w:val="88"/>
              </w:rPr>
              <w:t>5 holders</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8.25% Notes</w:t>
            </w:r>
          </w:p>
        </w:tc>
        <w:tc>
          <w:tcPr>
            <w:tcW w:w="148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7"/>
              </w:rPr>
              <w:t>22 holders</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6.875% Notes</w:t>
            </w:r>
          </w:p>
        </w:tc>
        <w:tc>
          <w:tcPr>
            <w:tcW w:w="1480" w:type="dxa"/>
            <w:vAlign w:val="bottom"/>
          </w:tcPr>
          <w:p>
            <w:pPr>
              <w:jc w:val="center"/>
              <w:ind w:left="472"/>
              <w:spacing w:after="0" w:line="243" w:lineRule="exact"/>
              <w:rPr>
                <w:sz w:val="20"/>
                <w:szCs w:val="20"/>
                <w:color w:val="auto"/>
              </w:rPr>
            </w:pPr>
            <w:r>
              <w:rPr>
                <w:rFonts w:ascii="Arial" w:cs="Arial" w:eastAsia="Arial" w:hAnsi="Arial"/>
                <w:sz w:val="22"/>
                <w:szCs w:val="22"/>
                <w:color w:val="auto"/>
                <w:w w:val="87"/>
              </w:rPr>
              <w:t>17 holders</w:t>
            </w:r>
          </w:p>
        </w:tc>
      </w:tr>
      <w:tr>
        <w:trPr>
          <w:trHeight w:val="275"/>
        </w:trPr>
        <w:tc>
          <w:tcPr>
            <w:tcW w:w="1820" w:type="dxa"/>
            <w:vAlign w:val="bottom"/>
          </w:tcPr>
          <w:p>
            <w:pPr>
              <w:spacing w:after="0"/>
              <w:rPr>
                <w:sz w:val="20"/>
                <w:szCs w:val="20"/>
                <w:color w:val="auto"/>
              </w:rPr>
            </w:pPr>
            <w:r>
              <w:rPr>
                <w:rFonts w:ascii="Arial" w:cs="Arial" w:eastAsia="Arial" w:hAnsi="Arial"/>
                <w:sz w:val="22"/>
                <w:szCs w:val="22"/>
                <w:color w:val="auto"/>
              </w:rPr>
              <w:t>6.00% Notes</w:t>
            </w:r>
          </w:p>
        </w:tc>
        <w:tc>
          <w:tcPr>
            <w:tcW w:w="1480" w:type="dxa"/>
            <w:vAlign w:val="bottom"/>
          </w:tcPr>
          <w:p>
            <w:pPr>
              <w:jc w:val="center"/>
              <w:ind w:left="472"/>
              <w:spacing w:after="0"/>
              <w:rPr>
                <w:sz w:val="20"/>
                <w:szCs w:val="20"/>
                <w:color w:val="auto"/>
              </w:rPr>
            </w:pPr>
            <w:r>
              <w:rPr>
                <w:rFonts w:ascii="Arial" w:cs="Arial" w:eastAsia="Arial" w:hAnsi="Arial"/>
                <w:sz w:val="22"/>
                <w:szCs w:val="22"/>
                <w:color w:val="auto"/>
                <w:w w:val="87"/>
              </w:rPr>
              <w:t>12 holders</w:t>
            </w:r>
          </w:p>
        </w:tc>
      </w:tr>
    </w:tbl>
    <w:p>
      <w:pPr>
        <w:spacing w:after="0" w:line="200" w:lineRule="exact"/>
        <w:rPr>
          <w:sz w:val="24"/>
          <w:szCs w:val="24"/>
          <w:color w:val="auto"/>
        </w:rPr>
      </w:pPr>
    </w:p>
    <w:p>
      <w:pPr>
        <w:spacing w:after="0" w:line="228" w:lineRule="exact"/>
        <w:rPr>
          <w:sz w:val="24"/>
          <w:szCs w:val="24"/>
          <w:color w:val="auto"/>
        </w:rPr>
      </w:pPr>
    </w:p>
    <w:p>
      <w:pPr>
        <w:ind w:right="120" w:firstLine="594"/>
        <w:spacing w:after="0" w:line="251" w:lineRule="auto"/>
        <w:rPr>
          <w:sz w:val="20"/>
          <w:szCs w:val="20"/>
          <w:color w:val="auto"/>
        </w:rPr>
      </w:pPr>
      <w:r>
        <w:rPr>
          <w:rFonts w:ascii="Arial" w:cs="Arial" w:eastAsia="Arial" w:hAnsi="Arial"/>
          <w:sz w:val="22"/>
          <w:szCs w:val="22"/>
          <w:color w:val="auto"/>
        </w:rPr>
        <w:t>Pursuant to the requirements of the Securities Exchange Act of 1934, CPG Partners, L.P. has caused this certification/notice to be signed on its behalf by the undersigned duly authorized person.</w:t>
      </w:r>
    </w:p>
    <w:p>
      <w:pPr>
        <w:spacing w:after="0" w:line="173" w:lineRule="exact"/>
        <w:rPr>
          <w:sz w:val="24"/>
          <w:szCs w:val="24"/>
          <w:color w:val="auto"/>
        </w:rPr>
      </w:pPr>
    </w:p>
    <w:p>
      <w:pPr>
        <w:spacing w:after="0"/>
        <w:rPr>
          <w:sz w:val="20"/>
          <w:szCs w:val="20"/>
          <w:color w:val="auto"/>
        </w:rPr>
      </w:pPr>
      <w:r>
        <w:rPr>
          <w:rFonts w:ascii="Arial" w:cs="Arial" w:eastAsia="Arial" w:hAnsi="Arial"/>
          <w:sz w:val="22"/>
          <w:szCs w:val="22"/>
          <w:color w:val="auto"/>
        </w:rPr>
        <w:t>Date: March 6, 2006</w:t>
      </w:r>
    </w:p>
    <w:p>
      <w:pPr>
        <w:spacing w:after="0" w:line="206" w:lineRule="exact"/>
        <w:rPr>
          <w:sz w:val="24"/>
          <w:szCs w:val="24"/>
          <w:color w:val="auto"/>
        </w:rPr>
      </w:pPr>
    </w:p>
    <w:p>
      <w:pPr>
        <w:ind w:left="57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J. Clarke</w:t>
      </w:r>
    </w:p>
    <w:p>
      <w:pPr>
        <w:ind w:left="6040"/>
        <w:spacing w:after="0" w:line="238" w:lineRule="auto"/>
        <w:rPr>
          <w:sz w:val="20"/>
          <w:szCs w:val="20"/>
          <w:color w:val="auto"/>
        </w:rPr>
      </w:pPr>
      <w:r>
        <w:rPr>
          <w:rFonts w:ascii="Arial" w:cs="Arial" w:eastAsia="Arial" w:hAnsi="Arial"/>
          <w:sz w:val="22"/>
          <w:szCs w:val="22"/>
          <w:color w:val="auto"/>
        </w:rPr>
        <w:t>Name: Michael J. Clarke</w:t>
      </w:r>
    </w:p>
    <w:p>
      <w:pPr>
        <w:ind w:left="6040"/>
        <w:spacing w:after="0"/>
        <w:rPr>
          <w:sz w:val="20"/>
          <w:szCs w:val="20"/>
          <w:color w:val="auto"/>
        </w:rPr>
      </w:pPr>
      <w:r>
        <w:rPr>
          <w:rFonts w:ascii="Arial" w:cs="Arial" w:eastAsia="Arial" w:hAnsi="Arial"/>
          <w:sz w:val="22"/>
          <w:szCs w:val="22"/>
          <w:color w:val="auto"/>
        </w:rPr>
        <w:t>Title: President</w:t>
      </w:r>
    </w:p>
    <w:p>
      <w:pPr>
        <w:sectPr>
          <w:pgSz w:w="11900" w:h="16838" w:orient="portrait"/>
          <w:cols w:equalWidth="0" w:num="1">
            <w:col w:w="11420"/>
          </w:cols>
          <w:pgMar w:left="240" w:top="220" w:right="239" w:bottom="0" w:gutter="0" w:footer="0" w:header="0"/>
        </w:sectPr>
      </w:pPr>
    </w:p>
    <w:bookmarkStart w:id="1" w:name="page2"/>
    <w:bookmarkEnd w:id="1"/>
    <w:p>
      <w:pPr>
        <w:spacing w:after="0" w:line="238" w:lineRule="auto"/>
        <w:rPr>
          <w:sz w:val="20"/>
          <w:szCs w:val="20"/>
          <w:color w:val="auto"/>
        </w:rPr>
      </w:pPr>
      <w:r>
        <w:rPr>
          <w:rFonts w:ascii="Arial" w:cs="Arial" w:eastAsia="Arial" w:hAnsi="Arial"/>
          <w:sz w:val="22"/>
          <w:szCs w:val="22"/>
          <w:color w:val="auto"/>
        </w:rPr>
        <w:t>Instruction: This form is required by Rules 12g-4, 12h-3 and 15d-6 of the General Rules and Regulations under the Securities Exchange Act of 1934. The registrant shall file with the Commission three copies of Form 15, one of which shall be manually signed. It may be signed by an officer of the registrant, by counsel or by any other duly authorized person. The name and title of the person signing the form shall be typed or printed under the signature.</w:t>
      </w:r>
    </w:p>
    <w:sectPr>
      <w:pgSz w:w="11900" w:h="16838" w:orient="portrait"/>
      <w:cols w:equalWidth="0" w:num="1">
        <w:col w:w="11400"/>
      </w:cols>
      <w:pgMar w:left="240" w:top="57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2019-12-12T11:48:34Z</dcterms:created>
  <dcterms:modified xsi:type="dcterms:W3CDTF">2019-12-12T11:48:34Z</dcterms:modified>
</cp:coreProperties>
</file>