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144780</wp:posOffset>
            </wp:positionV>
            <wp:extent cx="7259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9320" cy="34290"/>
                    </a:xfrm>
                    <a:prstGeom prst="rect">
                      <a:avLst/>
                    </a:prstGeom>
                    <a:noFill/>
                  </pic:spPr>
                </pic:pic>
              </a:graphicData>
            </a:graphic>
          </wp:anchor>
        </w:drawing>
        <w:t>UNITED STATES</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120650</wp:posOffset>
            </wp:positionV>
            <wp:extent cx="219964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99640" cy="34290"/>
                    </a:xfrm>
                    <a:prstGeom prst="rect">
                      <a:avLst/>
                    </a:prstGeom>
                    <a:noFill/>
                  </pic:spPr>
                </pic:pic>
              </a:graphicData>
            </a:graphic>
          </wp:anchor>
        </w:drawing>
      </w:r>
    </w:p>
    <w:p>
      <w:pPr>
        <w:spacing w:after="0" w:line="378"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10-Q</w:t>
      </w:r>
    </w:p>
    <w:p>
      <w:pPr>
        <w:spacing w:after="0" w:line="232" w:lineRule="exact"/>
        <w:rPr>
          <w:sz w:val="24"/>
          <w:szCs w:val="24"/>
          <w:color w:val="auto"/>
        </w:rPr>
      </w:pPr>
    </w:p>
    <w:p>
      <w:pPr>
        <w:ind w:left="3600" w:right="2160" w:hanging="1177"/>
        <w:spacing w:after="0" w:line="274" w:lineRule="auto"/>
        <w:tabs>
          <w:tab w:leader="none" w:pos="2557" w:val="left"/>
        </w:tabs>
        <w:numPr>
          <w:ilvl w:val="0"/>
          <w:numId w:val="1"/>
        </w:numPr>
        <w:rPr>
          <w:rFonts w:ascii="Arial" w:cs="Arial" w:eastAsia="Arial" w:hAnsi="Arial"/>
          <w:sz w:val="21"/>
          <w:szCs w:val="21"/>
          <w:color w:val="auto"/>
        </w:rPr>
      </w:pPr>
      <w:r>
        <w:rPr>
          <w:rFonts w:ascii="Arial" w:cs="Arial" w:eastAsia="Arial" w:hAnsi="Arial"/>
          <w:sz w:val="21"/>
          <w:szCs w:val="21"/>
          <w:color w:val="auto"/>
        </w:rPr>
        <w:t>X ] QUARTERLY REPORT PURSUANT TO SECTION 13 OR 15(d) OF THE SECURITIES EXCHANGE ACT OF 1934</w:t>
      </w:r>
    </w:p>
    <w:p>
      <w:pPr>
        <w:spacing w:after="0" w:line="145"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For the quarterly period ended March 31, 2005</w:t>
      </w:r>
    </w:p>
    <w:p>
      <w:pPr>
        <w:spacing w:after="0" w:line="212" w:lineRule="exact"/>
        <w:rPr>
          <w:sz w:val="24"/>
          <w:szCs w:val="24"/>
          <w:color w:val="auto"/>
        </w:rPr>
      </w:pPr>
    </w:p>
    <w:p>
      <w:pPr>
        <w:jc w:val="center"/>
        <w:ind w:right="-279"/>
        <w:spacing w:after="0"/>
        <w:rPr>
          <w:sz w:val="20"/>
          <w:szCs w:val="20"/>
          <w:color w:val="auto"/>
        </w:rPr>
      </w:pPr>
      <w:r>
        <w:rPr>
          <w:rFonts w:ascii="Arial" w:cs="Arial" w:eastAsia="Arial" w:hAnsi="Arial"/>
          <w:sz w:val="22"/>
          <w:szCs w:val="22"/>
          <w:color w:val="auto"/>
        </w:rPr>
        <w:t>or</w:t>
      </w:r>
    </w:p>
    <w:p>
      <w:pPr>
        <w:spacing w:after="0" w:line="206" w:lineRule="exact"/>
        <w:rPr>
          <w:sz w:val="24"/>
          <w:szCs w:val="24"/>
          <w:color w:val="auto"/>
        </w:rPr>
      </w:pPr>
    </w:p>
    <w:p>
      <w:pPr>
        <w:ind w:left="3600" w:right="2240" w:hanging="1083"/>
        <w:spacing w:after="0" w:line="274" w:lineRule="auto"/>
        <w:tabs>
          <w:tab w:leader="none" w:pos="2651" w:val="left"/>
        </w:tabs>
        <w:numPr>
          <w:ilvl w:val="0"/>
          <w:numId w:val="2"/>
        </w:numPr>
        <w:rPr>
          <w:rFonts w:ascii="Arial" w:cs="Arial" w:eastAsia="Arial" w:hAnsi="Arial"/>
          <w:sz w:val="21"/>
          <w:szCs w:val="21"/>
          <w:color w:val="auto"/>
        </w:rPr>
      </w:pPr>
      <w:r>
        <w:rPr>
          <w:rFonts w:ascii="Arial" w:cs="Arial" w:eastAsia="Arial" w:hAnsi="Arial"/>
          <w:sz w:val="21"/>
          <w:szCs w:val="21"/>
          <w:color w:val="auto"/>
        </w:rPr>
        <w:t>] TRANSITION REPORT PURSUANT TO SECTION 13 OR 15(d) OF THE SECURITIES EXCHANGE ACT OF 1934</w:t>
      </w:r>
    </w:p>
    <w:p>
      <w:pPr>
        <w:spacing w:after="0" w:line="151" w:lineRule="exact"/>
        <w:rPr>
          <w:sz w:val="24"/>
          <w:szCs w:val="24"/>
          <w:color w:val="auto"/>
        </w:rPr>
      </w:pPr>
    </w:p>
    <w:p>
      <w:pPr>
        <w:ind w:left="3320"/>
        <w:spacing w:after="0"/>
        <w:rPr>
          <w:sz w:val="20"/>
          <w:szCs w:val="20"/>
          <w:color w:val="auto"/>
        </w:rPr>
      </w:pPr>
      <w:r>
        <w:rPr>
          <w:rFonts w:ascii="Arial" w:cs="Arial" w:eastAsia="Arial" w:hAnsi="Arial"/>
          <w:sz w:val="22"/>
          <w:szCs w:val="22"/>
          <w:color w:val="auto"/>
        </w:rPr>
        <w:t>For the transition period from __________ to _______.</w:t>
      </w:r>
    </w:p>
    <w:p>
      <w:pPr>
        <w:spacing w:after="0" w:line="200" w:lineRule="exact"/>
        <w:rPr>
          <w:sz w:val="24"/>
          <w:szCs w:val="24"/>
          <w:color w:val="auto"/>
        </w:rPr>
      </w:pPr>
    </w:p>
    <w:p>
      <w:pPr>
        <w:ind w:left="4320"/>
        <w:spacing w:after="0"/>
        <w:rPr>
          <w:sz w:val="20"/>
          <w:szCs w:val="20"/>
          <w:color w:val="auto"/>
        </w:rPr>
      </w:pPr>
      <w:r>
        <w:rPr>
          <w:rFonts w:ascii="Arial" w:cs="Arial" w:eastAsia="Arial" w:hAnsi="Arial"/>
          <w:sz w:val="22"/>
          <w:szCs w:val="22"/>
          <w:b w:val="1"/>
          <w:bCs w:val="1"/>
          <w:color w:val="auto"/>
        </w:rPr>
        <w:t>Commission File No. 33-98136</w:t>
      </w:r>
    </w:p>
    <w:p>
      <w:pPr>
        <w:spacing w:after="0" w:line="206" w:lineRule="exact"/>
        <w:rPr>
          <w:sz w:val="24"/>
          <w:szCs w:val="24"/>
          <w:color w:val="auto"/>
        </w:rPr>
      </w:pPr>
    </w:p>
    <w:p>
      <w:pPr>
        <w:ind w:left="4660"/>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4"/>
          <w:szCs w:val="24"/>
          <w:color w:val="auto"/>
        </w:rPr>
      </w:pPr>
    </w:p>
    <w:p>
      <w:pPr>
        <w:jc w:val="center"/>
        <w:ind w:right="-279"/>
        <w:spacing w:after="0"/>
        <w:rPr>
          <w:sz w:val="20"/>
          <w:szCs w:val="20"/>
          <w:color w:val="auto"/>
        </w:rPr>
      </w:pPr>
      <w:r>
        <w:rPr>
          <w:rFonts w:ascii="Arial" w:cs="Arial" w:eastAsia="Arial" w:hAnsi="Arial"/>
          <w:sz w:val="22"/>
          <w:szCs w:val="22"/>
          <w:i w:val="1"/>
          <w:iCs w:val="1"/>
          <w:color w:val="auto"/>
        </w:rPr>
        <w:t>(Exact name of registrant as specified in its charter)</w:t>
      </w:r>
    </w:p>
    <w:p>
      <w:pPr>
        <w:spacing w:after="0" w:line="178" w:lineRule="exact"/>
        <w:rPr>
          <w:sz w:val="24"/>
          <w:szCs w:val="24"/>
          <w:color w:val="auto"/>
        </w:rPr>
      </w:pPr>
    </w:p>
    <w:tbl>
      <w:tblPr>
        <w:tblLayout w:type="fixed"/>
        <w:tblInd w:w="1440" w:type="dxa"/>
        <w:tblCellMar>
          <w:top w:w="0" w:type="dxa"/>
          <w:left w:w="0" w:type="dxa"/>
          <w:bottom w:w="0" w:type="dxa"/>
          <w:right w:w="0" w:type="dxa"/>
        </w:tblCellMar>
      </w:tblPr>
      <w:tr>
        <w:trPr>
          <w:trHeight w:val="253"/>
        </w:trPr>
        <w:tc>
          <w:tcPr>
            <w:tcW w:w="4580" w:type="dxa"/>
            <w:vAlign w:val="bottom"/>
          </w:tcPr>
          <w:p>
            <w:pPr>
              <w:jc w:val="center"/>
              <w:ind w:right="1632"/>
              <w:spacing w:after="0"/>
              <w:rPr>
                <w:sz w:val="20"/>
                <w:szCs w:val="20"/>
                <w:color w:val="auto"/>
              </w:rPr>
            </w:pPr>
            <w:r>
              <w:rPr>
                <w:rFonts w:ascii="Arial" w:cs="Arial" w:eastAsia="Arial" w:hAnsi="Arial"/>
                <w:sz w:val="22"/>
                <w:szCs w:val="22"/>
                <w:b w:val="1"/>
                <w:bCs w:val="1"/>
                <w:color w:val="auto"/>
                <w:w w:val="91"/>
              </w:rPr>
              <w:t>Delaware</w:t>
            </w:r>
          </w:p>
        </w:tc>
        <w:tc>
          <w:tcPr>
            <w:tcW w:w="3360" w:type="dxa"/>
            <w:vAlign w:val="bottom"/>
          </w:tcPr>
          <w:p>
            <w:pPr>
              <w:jc w:val="center"/>
              <w:ind w:left="1632"/>
              <w:spacing w:after="0"/>
              <w:rPr>
                <w:sz w:val="20"/>
                <w:szCs w:val="20"/>
                <w:color w:val="auto"/>
              </w:rPr>
            </w:pPr>
            <w:r>
              <w:rPr>
                <w:rFonts w:ascii="Arial" w:cs="Arial" w:eastAsia="Arial" w:hAnsi="Arial"/>
                <w:sz w:val="22"/>
                <w:szCs w:val="22"/>
                <w:b w:val="1"/>
                <w:bCs w:val="1"/>
                <w:color w:val="auto"/>
                <w:w w:val="90"/>
              </w:rPr>
              <w:t>22-3258100</w:t>
            </w:r>
          </w:p>
        </w:tc>
      </w:tr>
      <w:tr>
        <w:trPr>
          <w:trHeight w:val="243"/>
        </w:trPr>
        <w:tc>
          <w:tcPr>
            <w:tcW w:w="4580" w:type="dxa"/>
            <w:vAlign w:val="bottom"/>
          </w:tcPr>
          <w:p>
            <w:pPr>
              <w:jc w:val="center"/>
              <w:ind w:right="1632"/>
              <w:spacing w:after="0" w:line="243" w:lineRule="exact"/>
              <w:rPr>
                <w:sz w:val="20"/>
                <w:szCs w:val="20"/>
                <w:color w:val="auto"/>
              </w:rPr>
            </w:pPr>
            <w:r>
              <w:rPr>
                <w:rFonts w:ascii="Arial" w:cs="Arial" w:eastAsia="Arial" w:hAnsi="Arial"/>
                <w:sz w:val="22"/>
                <w:szCs w:val="22"/>
                <w:color w:val="auto"/>
                <w:w w:val="90"/>
              </w:rPr>
              <w:t>(State or other jurisdiction</w:t>
            </w:r>
          </w:p>
        </w:tc>
        <w:tc>
          <w:tcPr>
            <w:tcW w:w="3360" w:type="dxa"/>
            <w:vAlign w:val="bottom"/>
          </w:tcPr>
          <w:p>
            <w:pPr>
              <w:jc w:val="center"/>
              <w:ind w:left="1632"/>
              <w:spacing w:after="0" w:line="243" w:lineRule="exact"/>
              <w:rPr>
                <w:sz w:val="20"/>
                <w:szCs w:val="20"/>
                <w:color w:val="auto"/>
              </w:rPr>
            </w:pPr>
            <w:r>
              <w:rPr>
                <w:rFonts w:ascii="Arial" w:cs="Arial" w:eastAsia="Arial" w:hAnsi="Arial"/>
                <w:sz w:val="22"/>
                <w:szCs w:val="22"/>
                <w:color w:val="auto"/>
                <w:w w:val="90"/>
              </w:rPr>
              <w:t>(I.R.S. Employer</w:t>
            </w:r>
          </w:p>
        </w:tc>
      </w:tr>
      <w:tr>
        <w:trPr>
          <w:trHeight w:val="275"/>
        </w:trPr>
        <w:tc>
          <w:tcPr>
            <w:tcW w:w="4580" w:type="dxa"/>
            <w:vAlign w:val="bottom"/>
          </w:tcPr>
          <w:p>
            <w:pPr>
              <w:jc w:val="center"/>
              <w:ind w:right="1632"/>
              <w:spacing w:after="0"/>
              <w:rPr>
                <w:sz w:val="20"/>
                <w:szCs w:val="20"/>
                <w:color w:val="auto"/>
              </w:rPr>
            </w:pPr>
            <w:r>
              <w:rPr>
                <w:rFonts w:ascii="Arial" w:cs="Arial" w:eastAsia="Arial" w:hAnsi="Arial"/>
                <w:sz w:val="22"/>
                <w:szCs w:val="22"/>
                <w:color w:val="auto"/>
                <w:w w:val="91"/>
              </w:rPr>
              <w:t>of incorporation or organization)</w:t>
            </w:r>
          </w:p>
        </w:tc>
        <w:tc>
          <w:tcPr>
            <w:tcW w:w="3360" w:type="dxa"/>
            <w:vAlign w:val="bottom"/>
          </w:tcPr>
          <w:p>
            <w:pPr>
              <w:jc w:val="center"/>
              <w:ind w:left="1632"/>
              <w:spacing w:after="0"/>
              <w:rPr>
                <w:sz w:val="20"/>
                <w:szCs w:val="20"/>
                <w:color w:val="auto"/>
              </w:rPr>
            </w:pPr>
            <w:r>
              <w:rPr>
                <w:rFonts w:ascii="Arial" w:cs="Arial" w:eastAsia="Arial" w:hAnsi="Arial"/>
                <w:sz w:val="22"/>
                <w:szCs w:val="22"/>
                <w:color w:val="auto"/>
                <w:w w:val="94"/>
              </w:rPr>
              <w:t>Identification No.)</w:t>
            </w:r>
          </w:p>
        </w:tc>
      </w:tr>
    </w:tbl>
    <w:p>
      <w:pPr>
        <w:spacing w:after="0" w:line="200" w:lineRule="exact"/>
        <w:rPr>
          <w:sz w:val="24"/>
          <w:szCs w:val="24"/>
          <w:color w:val="auto"/>
        </w:rPr>
      </w:pPr>
    </w:p>
    <w:p>
      <w:pPr>
        <w:spacing w:after="0" w:line="222" w:lineRule="exact"/>
        <w:rPr>
          <w:sz w:val="24"/>
          <w:szCs w:val="24"/>
          <w:color w:val="auto"/>
        </w:rPr>
      </w:pPr>
    </w:p>
    <w:p>
      <w:pPr>
        <w:ind w:left="3200"/>
        <w:spacing w:after="0"/>
        <w:rPr>
          <w:sz w:val="20"/>
          <w:szCs w:val="20"/>
          <w:color w:val="auto"/>
        </w:rPr>
      </w:pPr>
      <w:r>
        <w:rPr>
          <w:rFonts w:ascii="Arial" w:cs="Arial" w:eastAsia="Arial" w:hAnsi="Arial"/>
          <w:sz w:val="22"/>
          <w:szCs w:val="22"/>
          <w:b w:val="1"/>
          <w:bCs w:val="1"/>
          <w:color w:val="auto"/>
        </w:rPr>
        <w:t>105 Eisenhower Parkway, Roseland, New Jersey 07068</w:t>
      </w:r>
    </w:p>
    <w:p>
      <w:pPr>
        <w:spacing w:after="0" w:line="14" w:lineRule="exact"/>
        <w:rPr>
          <w:sz w:val="24"/>
          <w:szCs w:val="24"/>
          <w:color w:val="auto"/>
        </w:rPr>
      </w:pPr>
    </w:p>
    <w:p>
      <w:pPr>
        <w:ind w:left="3580"/>
        <w:spacing w:after="0"/>
        <w:rPr>
          <w:sz w:val="20"/>
          <w:szCs w:val="20"/>
          <w:color w:val="auto"/>
        </w:rPr>
      </w:pPr>
      <w:r>
        <w:rPr>
          <w:rFonts w:ascii="Arial" w:cs="Arial" w:eastAsia="Arial" w:hAnsi="Arial"/>
          <w:sz w:val="22"/>
          <w:szCs w:val="22"/>
          <w:i w:val="1"/>
          <w:iCs w:val="1"/>
          <w:color w:val="auto"/>
        </w:rPr>
        <w:t>(Address of principal executive offices - zip code)</w:t>
      </w:r>
    </w:p>
    <w:p>
      <w:pPr>
        <w:spacing w:after="0" w:line="182"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(973) 228-6111</w:t>
      </w:r>
    </w:p>
    <w:p>
      <w:pPr>
        <w:spacing w:after="0" w:line="14" w:lineRule="exact"/>
        <w:rPr>
          <w:sz w:val="24"/>
          <w:szCs w:val="24"/>
          <w:color w:val="auto"/>
        </w:rPr>
      </w:pPr>
    </w:p>
    <w:p>
      <w:pPr>
        <w:jc w:val="center"/>
        <w:ind w:right="-279"/>
        <w:spacing w:after="0"/>
        <w:rPr>
          <w:sz w:val="20"/>
          <w:szCs w:val="20"/>
          <w:color w:val="auto"/>
        </w:rPr>
      </w:pPr>
      <w:r>
        <w:rPr>
          <w:rFonts w:ascii="Arial" w:cs="Arial" w:eastAsia="Arial" w:hAnsi="Arial"/>
          <w:sz w:val="22"/>
          <w:szCs w:val="22"/>
          <w:i w:val="1"/>
          <w:iCs w:val="1"/>
          <w:color w:val="auto"/>
        </w:rPr>
        <w:t>(Registrant's telephone number, including area code)</w:t>
      </w:r>
    </w:p>
    <w:p>
      <w:pPr>
        <w:spacing w:after="0" w:line="188" w:lineRule="exact"/>
        <w:rPr>
          <w:sz w:val="24"/>
          <w:szCs w:val="24"/>
          <w:color w:val="auto"/>
        </w:rPr>
      </w:pPr>
    </w:p>
    <w:p>
      <w:pPr>
        <w:spacing w:after="0" w:line="258" w:lineRule="auto"/>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1"/>
          <w:szCs w:val="21"/>
          <w:u w:val="single" w:color="auto"/>
          <w:color w:val="auto"/>
        </w:rPr>
        <w:t>X</w:t>
      </w:r>
      <w:r>
        <w:rPr>
          <w:rFonts w:ascii="Arial" w:cs="Arial" w:eastAsia="Arial" w:hAnsi="Arial"/>
          <w:sz w:val="21"/>
          <w:szCs w:val="21"/>
          <w:color w:val="auto"/>
        </w:rPr>
        <w:t xml:space="preserve">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5116195</wp:posOffset>
            </wp:positionH>
            <wp:positionV relativeFrom="paragraph">
              <wp:posOffset>-43180</wp:posOffset>
            </wp:positionV>
            <wp:extent cx="171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47"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is an accelerated filer.</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Yes___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647065</wp:posOffset>
            </wp:positionH>
            <wp:positionV relativeFrom="paragraph">
              <wp:posOffset>-29210</wp:posOffset>
            </wp:positionV>
            <wp:extent cx="2362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6220" cy="8890"/>
                    </a:xfrm>
                    <a:prstGeom prst="rect">
                      <a:avLst/>
                    </a:prstGeom>
                    <a:noFill/>
                  </pic:spPr>
                </pic:pic>
              </a:graphicData>
            </a:graphic>
          </wp:anchor>
        </w:drawing>
      </w:r>
    </w:p>
    <w:p>
      <w:pPr>
        <w:spacing w:after="0" w:line="168" w:lineRule="exact"/>
        <w:rPr>
          <w:sz w:val="24"/>
          <w:szCs w:val="24"/>
          <w:color w:val="auto"/>
        </w:rPr>
      </w:pPr>
    </w:p>
    <w:p>
      <w:pPr>
        <w:spacing w:after="0"/>
        <w:rPr>
          <w:sz w:val="20"/>
          <w:szCs w:val="20"/>
          <w:color w:val="auto"/>
        </w:rPr>
      </w:pPr>
      <w:r>
        <w:rPr>
          <w:rFonts w:ascii="Arial" w:cs="Arial" w:eastAsia="Arial" w:hAnsi="Arial"/>
          <w:sz w:val="22"/>
          <w:szCs w:val="22"/>
          <w:color w:val="auto"/>
        </w:rPr>
        <w:t>There are no outstanding shares of Common Stock or voting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59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400"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4400" w:type="dxa"/>
            <w:vAlign w:val="bottom"/>
          </w:tcPr>
          <w:p>
            <w:pPr>
              <w:spacing w:after="0"/>
              <w:rPr>
                <w:sz w:val="21"/>
                <w:szCs w:val="21"/>
                <w:color w:val="auto"/>
              </w:rPr>
            </w:pPr>
          </w:p>
        </w:tc>
        <w:tc>
          <w:tcPr>
            <w:tcW w:w="2980" w:type="dxa"/>
            <w:vAlign w:val="bottom"/>
          </w:tcPr>
          <w:p>
            <w:pPr>
              <w:jc w:val="center"/>
              <w:ind w:right="294"/>
              <w:spacing w:after="0"/>
              <w:rPr>
                <w:sz w:val="20"/>
                <w:szCs w:val="20"/>
                <w:color w:val="auto"/>
              </w:rPr>
            </w:pPr>
            <w:r>
              <w:rPr>
                <w:rFonts w:ascii="Arial" w:cs="Arial" w:eastAsia="Arial" w:hAnsi="Arial"/>
                <w:sz w:val="22"/>
                <w:szCs w:val="22"/>
                <w:b w:val="1"/>
                <w:bCs w:val="1"/>
                <w:color w:val="auto"/>
                <w:w w:val="90"/>
              </w:rPr>
              <w:t>CPG Partners, L.P.</w:t>
            </w: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1"/>
                <w:szCs w:val="21"/>
                <w:color w:val="auto"/>
              </w:rPr>
            </w:pPr>
          </w:p>
        </w:tc>
        <w:tc>
          <w:tcPr>
            <w:tcW w:w="2980" w:type="dxa"/>
            <w:vAlign w:val="bottom"/>
          </w:tcPr>
          <w:p>
            <w:pPr>
              <w:jc w:val="center"/>
              <w:ind w:right="274"/>
              <w:spacing w:after="0" w:line="243" w:lineRule="exact"/>
              <w:rPr>
                <w:sz w:val="20"/>
                <w:szCs w:val="20"/>
                <w:color w:val="auto"/>
              </w:rPr>
            </w:pPr>
            <w:r>
              <w:rPr>
                <w:rFonts w:ascii="Arial" w:cs="Arial" w:eastAsia="Arial" w:hAnsi="Arial"/>
                <w:sz w:val="22"/>
                <w:szCs w:val="22"/>
                <w:b w:val="1"/>
                <w:bCs w:val="1"/>
                <w:color w:val="auto"/>
                <w:w w:val="85"/>
              </w:rPr>
              <w:t>Consolidated Balance Sheets</w:t>
            </w: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4400" w:type="dxa"/>
            <w:vAlign w:val="bottom"/>
          </w:tcPr>
          <w:p>
            <w:pPr>
              <w:spacing w:after="0"/>
              <w:rPr>
                <w:sz w:val="24"/>
                <w:szCs w:val="24"/>
                <w:color w:val="auto"/>
              </w:rPr>
            </w:pPr>
          </w:p>
        </w:tc>
        <w:tc>
          <w:tcPr>
            <w:tcW w:w="2980" w:type="dxa"/>
            <w:vAlign w:val="bottom"/>
          </w:tcPr>
          <w:p>
            <w:pPr>
              <w:jc w:val="center"/>
              <w:ind w:right="294"/>
              <w:spacing w:after="0"/>
              <w:rPr>
                <w:sz w:val="20"/>
                <w:szCs w:val="20"/>
                <w:color w:val="auto"/>
              </w:rPr>
            </w:pPr>
            <w:r>
              <w:rPr>
                <w:rFonts w:ascii="Arial" w:cs="Arial" w:eastAsia="Arial" w:hAnsi="Arial"/>
                <w:sz w:val="22"/>
                <w:szCs w:val="22"/>
                <w:b w:val="1"/>
                <w:bCs w:val="1"/>
                <w:color w:val="auto"/>
                <w:w w:val="88"/>
              </w:rPr>
              <w:t>(In thousands)</w:t>
            </w: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4400" w:type="dxa"/>
            <w:vAlign w:val="bottom"/>
          </w:tcPr>
          <w:p>
            <w:pPr>
              <w:spacing w:after="0"/>
              <w:rPr>
                <w:sz w:val="24"/>
                <w:szCs w:val="24"/>
                <w:color w:val="auto"/>
              </w:rPr>
            </w:pPr>
          </w:p>
        </w:tc>
        <w:tc>
          <w:tcPr>
            <w:tcW w:w="2980" w:type="dxa"/>
            <w:vAlign w:val="bottom"/>
          </w:tcPr>
          <w:p>
            <w:pPr>
              <w:jc w:val="right"/>
              <w:ind w:right="154"/>
              <w:spacing w:after="0"/>
              <w:rPr>
                <w:sz w:val="20"/>
                <w:szCs w:val="20"/>
                <w:color w:val="auto"/>
              </w:rPr>
            </w:pPr>
            <w:r>
              <w:rPr>
                <w:rFonts w:ascii="Courier New" w:cs="Courier New" w:eastAsia="Courier New" w:hAnsi="Courier New"/>
                <w:sz w:val="12"/>
                <w:szCs w:val="12"/>
                <w:b w:val="1"/>
                <w:bCs w:val="1"/>
                <w:color w:val="auto"/>
              </w:rPr>
              <w:t>March 31,</w:t>
            </w:r>
          </w:p>
        </w:tc>
        <w:tc>
          <w:tcPr>
            <w:tcW w:w="13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December 31,</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2980" w:type="dxa"/>
            <w:vAlign w:val="bottom"/>
          </w:tcPr>
          <w:p>
            <w:pPr>
              <w:jc w:val="right"/>
              <w:ind w:right="154"/>
              <w:spacing w:after="0"/>
              <w:rPr>
                <w:sz w:val="20"/>
                <w:szCs w:val="20"/>
                <w:color w:val="auto"/>
              </w:rPr>
            </w:pPr>
            <w:r>
              <w:rPr>
                <w:rFonts w:ascii="Courier New" w:cs="Courier New" w:eastAsia="Courier New" w:hAnsi="Courier New"/>
                <w:sz w:val="12"/>
                <w:szCs w:val="12"/>
                <w:b w:val="1"/>
                <w:bCs w:val="1"/>
                <w:color w:val="auto"/>
              </w:rPr>
              <w:t>2005</w:t>
            </w:r>
          </w:p>
        </w:tc>
        <w:tc>
          <w:tcPr>
            <w:tcW w:w="580" w:type="dxa"/>
            <w:vAlign w:val="bottom"/>
          </w:tcPr>
          <w:p>
            <w:pPr>
              <w:spacing w:after="0"/>
              <w:rPr>
                <w:sz w:val="11"/>
                <w:szCs w:val="11"/>
                <w:color w:val="auto"/>
              </w:rPr>
            </w:pP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2004</w:t>
            </w:r>
          </w:p>
        </w:tc>
        <w:tc>
          <w:tcPr>
            <w:tcW w:w="0" w:type="dxa"/>
            <w:vAlign w:val="bottom"/>
          </w:tcPr>
          <w:p>
            <w:pPr>
              <w:spacing w:after="0"/>
              <w:rPr>
                <w:sz w:val="1"/>
                <w:szCs w:val="1"/>
                <w:color w:val="auto"/>
              </w:rPr>
            </w:pPr>
          </w:p>
        </w:tc>
      </w:tr>
      <w:tr>
        <w:trPr>
          <w:trHeight w:val="137"/>
        </w:trPr>
        <w:tc>
          <w:tcPr>
            <w:tcW w:w="4400" w:type="dxa"/>
            <w:vAlign w:val="bottom"/>
          </w:tcPr>
          <w:p>
            <w:pPr>
              <w:spacing w:after="0"/>
              <w:rPr>
                <w:sz w:val="11"/>
                <w:szCs w:val="11"/>
                <w:color w:val="auto"/>
              </w:rPr>
            </w:pPr>
          </w:p>
        </w:tc>
        <w:tc>
          <w:tcPr>
            <w:tcW w:w="2980" w:type="dxa"/>
            <w:vAlign w:val="bottom"/>
            <w:vMerge w:val="restart"/>
          </w:tcPr>
          <w:p>
            <w:pPr>
              <w:jc w:val="right"/>
              <w:ind w:right="94"/>
              <w:spacing w:after="0"/>
              <w:rPr>
                <w:sz w:val="20"/>
                <w:szCs w:val="20"/>
                <w:color w:val="auto"/>
              </w:rPr>
            </w:pPr>
            <w:r>
              <w:rPr>
                <w:rFonts w:ascii="Courier New" w:cs="Courier New" w:eastAsia="Courier New" w:hAnsi="Courier New"/>
                <w:sz w:val="12"/>
                <w:szCs w:val="12"/>
                <w:b w:val="1"/>
                <w:bCs w:val="1"/>
                <w:color w:val="auto"/>
              </w:rPr>
              <w:t>----------------</w:t>
            </w:r>
            <w:r>
              <w:rPr>
                <w:rFonts w:ascii="Courier New" w:cs="Courier New" w:eastAsia="Courier New" w:hAnsi="Courier New"/>
                <w:sz w:val="24"/>
                <w:szCs w:val="24"/>
                <w:b w:val="1"/>
                <w:bCs w:val="1"/>
                <w:i w:val="1"/>
                <w:iCs w:val="1"/>
                <w:color w:val="auto"/>
                <w:vertAlign w:val="subscript"/>
              </w:rPr>
              <w:t>(Unaudited)</w:t>
            </w:r>
          </w:p>
        </w:tc>
        <w:tc>
          <w:tcPr>
            <w:tcW w:w="13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52"/>
        </w:trPr>
        <w:tc>
          <w:tcPr>
            <w:tcW w:w="4400" w:type="dxa"/>
            <w:vAlign w:val="bottom"/>
            <w:vMerge w:val="restart"/>
          </w:tcPr>
          <w:p>
            <w:pPr>
              <w:spacing w:after="0"/>
              <w:rPr>
                <w:sz w:val="20"/>
                <w:szCs w:val="20"/>
                <w:color w:val="auto"/>
              </w:rPr>
            </w:pPr>
            <w:r>
              <w:rPr>
                <w:rFonts w:ascii="Courier New" w:cs="Courier New" w:eastAsia="Courier New" w:hAnsi="Courier New"/>
                <w:sz w:val="12"/>
                <w:szCs w:val="12"/>
                <w:b w:val="1"/>
                <w:bCs w:val="1"/>
                <w:color w:val="auto"/>
              </w:rPr>
              <w:t>Assets:</w:t>
            </w:r>
          </w:p>
        </w:tc>
        <w:tc>
          <w:tcPr>
            <w:tcW w:w="298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4400" w:type="dxa"/>
            <w:vAlign w:val="bottom"/>
            <w:vMerge w:val="continue"/>
          </w:tcPr>
          <w:p>
            <w:pPr>
              <w:spacing w:after="0"/>
              <w:rPr>
                <w:sz w:val="10"/>
                <w:szCs w:val="10"/>
                <w:color w:val="auto"/>
              </w:rPr>
            </w:pPr>
          </w:p>
        </w:tc>
        <w:tc>
          <w:tcPr>
            <w:tcW w:w="2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00" w:type="dxa"/>
            <w:vAlign w:val="bottom"/>
          </w:tcPr>
          <w:p>
            <w:pPr>
              <w:spacing w:after="0"/>
              <w:rPr>
                <w:sz w:val="20"/>
                <w:szCs w:val="20"/>
                <w:color w:val="auto"/>
              </w:rPr>
            </w:pPr>
            <w:r>
              <w:rPr>
                <w:rFonts w:ascii="Courier New" w:cs="Courier New" w:eastAsia="Courier New" w:hAnsi="Courier New"/>
                <w:sz w:val="12"/>
                <w:szCs w:val="12"/>
                <w:color w:val="auto"/>
              </w:rPr>
              <w:t>Rental properties:</w:t>
            </w:r>
          </w:p>
        </w:tc>
        <w:tc>
          <w:tcPr>
            <w:tcW w:w="2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81"/>
              </w:rPr>
              <w:t>Land.......................................................................</w:t>
            </w:r>
          </w:p>
        </w:tc>
        <w:tc>
          <w:tcPr>
            <w:tcW w:w="2980" w:type="dxa"/>
            <w:vAlign w:val="bottom"/>
          </w:tcPr>
          <w:p>
            <w:pPr>
              <w:jc w:val="right"/>
              <w:ind w:right="234"/>
              <w:spacing w:after="0"/>
              <w:rPr>
                <w:sz w:val="20"/>
                <w:szCs w:val="20"/>
                <w:color w:val="auto"/>
              </w:rPr>
            </w:pPr>
            <w:r>
              <w:rPr>
                <w:rFonts w:ascii="Courier New" w:cs="Courier New" w:eastAsia="Courier New" w:hAnsi="Courier New"/>
                <w:sz w:val="12"/>
                <w:szCs w:val="12"/>
                <w:b w:val="1"/>
                <w:bCs w:val="1"/>
                <w:color w:val="auto"/>
              </w:rPr>
              <w:t>$ 342,357</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354,514</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81"/>
              </w:rPr>
              <w:t>Depreciable property.......................................................</w:t>
            </w:r>
          </w:p>
        </w:tc>
        <w:tc>
          <w:tcPr>
            <w:tcW w:w="2980" w:type="dxa"/>
            <w:vAlign w:val="bottom"/>
          </w:tcPr>
          <w:p>
            <w:pPr>
              <w:jc w:val="right"/>
              <w:ind w:right="234"/>
              <w:spacing w:after="0"/>
              <w:rPr>
                <w:sz w:val="20"/>
                <w:szCs w:val="20"/>
                <w:color w:val="auto"/>
              </w:rPr>
            </w:pPr>
            <w:r>
              <w:rPr>
                <w:rFonts w:ascii="Courier New" w:cs="Courier New" w:eastAsia="Courier New" w:hAnsi="Courier New"/>
                <w:sz w:val="12"/>
                <w:szCs w:val="12"/>
                <w:b w:val="1"/>
                <w:bCs w:val="1"/>
                <w:color w:val="auto"/>
              </w:rPr>
              <w:t>1,958,215</w:t>
            </w:r>
          </w:p>
        </w:tc>
        <w:tc>
          <w:tcPr>
            <w:tcW w:w="58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1,919,605</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2980" w:type="dxa"/>
            <w:vAlign w:val="bottom"/>
          </w:tcPr>
          <w:p>
            <w:pPr>
              <w:jc w:val="right"/>
              <w:ind w:right="94"/>
              <w:spacing w:after="0"/>
              <w:rPr>
                <w:sz w:val="20"/>
                <w:szCs w:val="20"/>
                <w:color w:val="auto"/>
              </w:rPr>
            </w:pPr>
            <w:r>
              <w:rPr>
                <w:rFonts w:ascii="Courier New" w:cs="Courier New" w:eastAsia="Courier New" w:hAnsi="Courier New"/>
                <w:sz w:val="12"/>
                <w:szCs w:val="12"/>
                <w:b w:val="1"/>
                <w:bCs w:val="1"/>
                <w:color w:val="auto"/>
              </w:rPr>
              <w:t>----------------</w:t>
            </w:r>
          </w:p>
        </w:tc>
        <w:tc>
          <w:tcPr>
            <w:tcW w:w="13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76"/>
              </w:rPr>
              <w:t>Total rental property...........................................................</w:t>
            </w:r>
          </w:p>
        </w:tc>
        <w:tc>
          <w:tcPr>
            <w:tcW w:w="2980" w:type="dxa"/>
            <w:vAlign w:val="bottom"/>
          </w:tcPr>
          <w:p>
            <w:pPr>
              <w:jc w:val="right"/>
              <w:ind w:right="234"/>
              <w:spacing w:after="0"/>
              <w:rPr>
                <w:sz w:val="20"/>
                <w:szCs w:val="20"/>
                <w:color w:val="auto"/>
              </w:rPr>
            </w:pPr>
            <w:r>
              <w:rPr>
                <w:rFonts w:ascii="Courier New" w:cs="Courier New" w:eastAsia="Courier New" w:hAnsi="Courier New"/>
                <w:sz w:val="12"/>
                <w:szCs w:val="12"/>
                <w:b w:val="1"/>
                <w:bCs w:val="1"/>
                <w:color w:val="auto"/>
              </w:rPr>
              <w:t>2,300,572</w:t>
            </w:r>
          </w:p>
        </w:tc>
        <w:tc>
          <w:tcPr>
            <w:tcW w:w="58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2,274,119</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76"/>
              </w:rPr>
              <w:t>Accumulated depreciation........................................................</w:t>
            </w:r>
          </w:p>
        </w:tc>
        <w:tc>
          <w:tcPr>
            <w:tcW w:w="2980" w:type="dxa"/>
            <w:vAlign w:val="bottom"/>
          </w:tcPr>
          <w:p>
            <w:pPr>
              <w:jc w:val="right"/>
              <w:ind w:right="154"/>
              <w:spacing w:after="0"/>
              <w:rPr>
                <w:sz w:val="20"/>
                <w:szCs w:val="20"/>
                <w:color w:val="auto"/>
              </w:rPr>
            </w:pPr>
            <w:r>
              <w:rPr>
                <w:rFonts w:ascii="Courier New" w:cs="Courier New" w:eastAsia="Courier New" w:hAnsi="Courier New"/>
                <w:sz w:val="12"/>
                <w:szCs w:val="12"/>
                <w:b w:val="1"/>
                <w:bCs w:val="1"/>
                <w:color w:val="auto"/>
              </w:rPr>
              <w:t>(407,337)</w:t>
            </w:r>
          </w:p>
        </w:tc>
        <w:tc>
          <w:tcPr>
            <w:tcW w:w="5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(390,783)</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2980" w:type="dxa"/>
            <w:vAlign w:val="bottom"/>
          </w:tcPr>
          <w:p>
            <w:pPr>
              <w:jc w:val="right"/>
              <w:ind w:right="94"/>
              <w:spacing w:after="0"/>
              <w:rPr>
                <w:sz w:val="20"/>
                <w:szCs w:val="20"/>
                <w:color w:val="auto"/>
              </w:rPr>
            </w:pPr>
            <w:r>
              <w:rPr>
                <w:rFonts w:ascii="Courier New" w:cs="Courier New" w:eastAsia="Courier New" w:hAnsi="Courier New"/>
                <w:sz w:val="12"/>
                <w:szCs w:val="12"/>
                <w:b w:val="1"/>
                <w:bCs w:val="1"/>
                <w:color w:val="auto"/>
              </w:rPr>
              <w:t>----------------</w:t>
            </w:r>
          </w:p>
        </w:tc>
        <w:tc>
          <w:tcPr>
            <w:tcW w:w="13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76"/>
              </w:rPr>
              <w:t>Rental properties, net..........................................................</w:t>
            </w:r>
          </w:p>
        </w:tc>
        <w:tc>
          <w:tcPr>
            <w:tcW w:w="2980" w:type="dxa"/>
            <w:vAlign w:val="bottom"/>
          </w:tcPr>
          <w:p>
            <w:pPr>
              <w:jc w:val="right"/>
              <w:ind w:right="234"/>
              <w:spacing w:after="0"/>
              <w:rPr>
                <w:sz w:val="20"/>
                <w:szCs w:val="20"/>
                <w:color w:val="auto"/>
              </w:rPr>
            </w:pPr>
            <w:r>
              <w:rPr>
                <w:rFonts w:ascii="Courier New" w:cs="Courier New" w:eastAsia="Courier New" w:hAnsi="Courier New"/>
                <w:sz w:val="12"/>
                <w:szCs w:val="12"/>
                <w:b w:val="1"/>
                <w:bCs w:val="1"/>
                <w:color w:val="auto"/>
              </w:rPr>
              <w:t>1,893,235</w:t>
            </w:r>
          </w:p>
        </w:tc>
        <w:tc>
          <w:tcPr>
            <w:tcW w:w="58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1,883,336</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76"/>
              </w:rPr>
              <w:t>Cash and cash equivalents.......................................................</w:t>
            </w:r>
          </w:p>
        </w:tc>
        <w:tc>
          <w:tcPr>
            <w:tcW w:w="2980" w:type="dxa"/>
            <w:vAlign w:val="bottom"/>
          </w:tcPr>
          <w:p>
            <w:pPr>
              <w:jc w:val="right"/>
              <w:ind w:right="234"/>
              <w:spacing w:after="0"/>
              <w:rPr>
                <w:sz w:val="20"/>
                <w:szCs w:val="20"/>
                <w:color w:val="auto"/>
              </w:rPr>
            </w:pPr>
            <w:r>
              <w:rPr>
                <w:rFonts w:ascii="Courier New" w:cs="Courier New" w:eastAsia="Courier New" w:hAnsi="Courier New"/>
                <w:sz w:val="12"/>
                <w:szCs w:val="12"/>
                <w:b w:val="1"/>
                <w:bCs w:val="1"/>
                <w:color w:val="auto"/>
              </w:rPr>
              <w:t>24,453</w:t>
            </w:r>
          </w:p>
        </w:tc>
        <w:tc>
          <w:tcPr>
            <w:tcW w:w="58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33,362</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76"/>
              </w:rPr>
              <w:t>Restricted cash-escrows.........................................................</w:t>
            </w:r>
          </w:p>
        </w:tc>
        <w:tc>
          <w:tcPr>
            <w:tcW w:w="2980" w:type="dxa"/>
            <w:vAlign w:val="bottom"/>
          </w:tcPr>
          <w:p>
            <w:pPr>
              <w:jc w:val="right"/>
              <w:ind w:right="234"/>
              <w:spacing w:after="0"/>
              <w:rPr>
                <w:sz w:val="20"/>
                <w:szCs w:val="20"/>
                <w:color w:val="auto"/>
              </w:rPr>
            </w:pPr>
            <w:r>
              <w:rPr>
                <w:rFonts w:ascii="Courier New" w:cs="Courier New" w:eastAsia="Courier New" w:hAnsi="Courier New"/>
                <w:sz w:val="12"/>
                <w:szCs w:val="12"/>
                <w:b w:val="1"/>
                <w:bCs w:val="1"/>
                <w:color w:val="auto"/>
              </w:rPr>
              <w:t>28,231</w:t>
            </w:r>
          </w:p>
        </w:tc>
        <w:tc>
          <w:tcPr>
            <w:tcW w:w="58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27,418</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20"/>
                <w:szCs w:val="20"/>
                <w:color w:val="auto"/>
              </w:rPr>
            </w:pPr>
            <w:r>
              <w:rPr>
                <w:rFonts w:ascii="Courier New" w:cs="Courier New" w:eastAsia="Courier New" w:hAnsi="Courier New"/>
                <w:sz w:val="12"/>
                <w:szCs w:val="12"/>
                <w:color w:val="auto"/>
              </w:rPr>
              <w:t>Tenant accounts receivable (net of allowance for doubtful</w:t>
            </w:r>
          </w:p>
        </w:tc>
        <w:tc>
          <w:tcPr>
            <w:tcW w:w="2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77"/>
              </w:rPr>
              <w:t>accounts of $2,694 in 2005 and $2,242 in 2004)................................</w:t>
            </w:r>
          </w:p>
        </w:tc>
        <w:tc>
          <w:tcPr>
            <w:tcW w:w="2980" w:type="dxa"/>
            <w:vAlign w:val="bottom"/>
          </w:tcPr>
          <w:p>
            <w:pPr>
              <w:jc w:val="right"/>
              <w:ind w:right="234"/>
              <w:spacing w:after="0"/>
              <w:rPr>
                <w:sz w:val="20"/>
                <w:szCs w:val="20"/>
                <w:color w:val="auto"/>
              </w:rPr>
            </w:pPr>
            <w:r>
              <w:rPr>
                <w:rFonts w:ascii="Courier New" w:cs="Courier New" w:eastAsia="Courier New" w:hAnsi="Courier New"/>
                <w:sz w:val="12"/>
                <w:szCs w:val="12"/>
                <w:b w:val="1"/>
                <w:bCs w:val="1"/>
                <w:color w:val="auto"/>
              </w:rPr>
              <w:t>1,639</w:t>
            </w:r>
          </w:p>
        </w:tc>
        <w:tc>
          <w:tcPr>
            <w:tcW w:w="58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11,534</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76"/>
              </w:rPr>
              <w:t>Deferred rent receivable........................................................</w:t>
            </w:r>
          </w:p>
        </w:tc>
        <w:tc>
          <w:tcPr>
            <w:tcW w:w="2980" w:type="dxa"/>
            <w:vAlign w:val="bottom"/>
          </w:tcPr>
          <w:p>
            <w:pPr>
              <w:jc w:val="right"/>
              <w:ind w:right="234"/>
              <w:spacing w:after="0"/>
              <w:rPr>
                <w:sz w:val="20"/>
                <w:szCs w:val="20"/>
                <w:color w:val="auto"/>
              </w:rPr>
            </w:pPr>
            <w:r>
              <w:rPr>
                <w:rFonts w:ascii="Courier New" w:cs="Courier New" w:eastAsia="Courier New" w:hAnsi="Courier New"/>
                <w:sz w:val="12"/>
                <w:szCs w:val="12"/>
                <w:b w:val="1"/>
                <w:bCs w:val="1"/>
                <w:color w:val="auto"/>
              </w:rPr>
              <w:t>31,696</w:t>
            </w:r>
          </w:p>
        </w:tc>
        <w:tc>
          <w:tcPr>
            <w:tcW w:w="58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30,504</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76"/>
              </w:rPr>
              <w:t>Property held for sale..........................................................</w:t>
            </w:r>
          </w:p>
        </w:tc>
        <w:tc>
          <w:tcPr>
            <w:tcW w:w="2980" w:type="dxa"/>
            <w:vAlign w:val="bottom"/>
          </w:tcPr>
          <w:p>
            <w:pPr>
              <w:jc w:val="right"/>
              <w:ind w:right="234"/>
              <w:spacing w:after="0"/>
              <w:rPr>
                <w:sz w:val="20"/>
                <w:szCs w:val="20"/>
                <w:color w:val="auto"/>
              </w:rPr>
            </w:pPr>
            <w:r>
              <w:rPr>
                <w:rFonts w:ascii="Courier New" w:cs="Courier New" w:eastAsia="Courier New" w:hAnsi="Courier New"/>
                <w:sz w:val="12"/>
                <w:szCs w:val="12"/>
                <w:b w:val="1"/>
                <w:bCs w:val="1"/>
                <w:color w:val="auto"/>
              </w:rPr>
              <w:t>-</w:t>
            </w:r>
          </w:p>
        </w:tc>
        <w:tc>
          <w:tcPr>
            <w:tcW w:w="58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3,500</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76"/>
              </w:rPr>
              <w:t>Investments in unconsolidated affiliates........................................</w:t>
            </w:r>
          </w:p>
        </w:tc>
        <w:tc>
          <w:tcPr>
            <w:tcW w:w="2980" w:type="dxa"/>
            <w:vAlign w:val="bottom"/>
          </w:tcPr>
          <w:p>
            <w:pPr>
              <w:jc w:val="right"/>
              <w:ind w:right="234"/>
              <w:spacing w:after="0"/>
              <w:rPr>
                <w:sz w:val="20"/>
                <w:szCs w:val="20"/>
                <w:color w:val="auto"/>
              </w:rPr>
            </w:pPr>
            <w:r>
              <w:rPr>
                <w:rFonts w:ascii="Courier New" w:cs="Courier New" w:eastAsia="Courier New" w:hAnsi="Courier New"/>
                <w:sz w:val="12"/>
                <w:szCs w:val="12"/>
                <w:b w:val="1"/>
                <w:bCs w:val="1"/>
                <w:color w:val="auto"/>
              </w:rPr>
              <w:t>146,984</w:t>
            </w:r>
          </w:p>
        </w:tc>
        <w:tc>
          <w:tcPr>
            <w:tcW w:w="58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149,631</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76"/>
              </w:rPr>
              <w:t>Notes receivable-related parties................................................</w:t>
            </w:r>
          </w:p>
        </w:tc>
        <w:tc>
          <w:tcPr>
            <w:tcW w:w="2980" w:type="dxa"/>
            <w:vAlign w:val="bottom"/>
          </w:tcPr>
          <w:p>
            <w:pPr>
              <w:jc w:val="right"/>
              <w:ind w:right="234"/>
              <w:spacing w:after="0"/>
              <w:rPr>
                <w:sz w:val="20"/>
                <w:szCs w:val="20"/>
                <w:color w:val="auto"/>
              </w:rPr>
            </w:pPr>
            <w:r>
              <w:rPr>
                <w:rFonts w:ascii="Courier New" w:cs="Courier New" w:eastAsia="Courier New" w:hAnsi="Courier New"/>
                <w:sz w:val="12"/>
                <w:szCs w:val="12"/>
                <w:b w:val="1"/>
                <w:bCs w:val="1"/>
                <w:color w:val="auto"/>
              </w:rPr>
              <w:t>19,241</w:t>
            </w:r>
          </w:p>
        </w:tc>
        <w:tc>
          <w:tcPr>
            <w:tcW w:w="58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14,184</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76"/>
              </w:rPr>
              <w:t>Deferred costs, net.............................................................</w:t>
            </w:r>
          </w:p>
        </w:tc>
        <w:tc>
          <w:tcPr>
            <w:tcW w:w="2980" w:type="dxa"/>
            <w:vAlign w:val="bottom"/>
          </w:tcPr>
          <w:p>
            <w:pPr>
              <w:jc w:val="right"/>
              <w:ind w:right="234"/>
              <w:spacing w:after="0"/>
              <w:rPr>
                <w:sz w:val="20"/>
                <w:szCs w:val="20"/>
                <w:color w:val="auto"/>
              </w:rPr>
            </w:pPr>
            <w:r>
              <w:rPr>
                <w:rFonts w:ascii="Courier New" w:cs="Courier New" w:eastAsia="Courier New" w:hAnsi="Courier New"/>
                <w:sz w:val="12"/>
                <w:szCs w:val="12"/>
                <w:b w:val="1"/>
                <w:bCs w:val="1"/>
                <w:color w:val="auto"/>
              </w:rPr>
              <w:t>19,758</w:t>
            </w:r>
          </w:p>
        </w:tc>
        <w:tc>
          <w:tcPr>
            <w:tcW w:w="58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17,082</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76"/>
              </w:rPr>
              <w:t>Other assets....................................................................</w:t>
            </w:r>
          </w:p>
        </w:tc>
        <w:tc>
          <w:tcPr>
            <w:tcW w:w="2980" w:type="dxa"/>
            <w:vAlign w:val="bottom"/>
          </w:tcPr>
          <w:p>
            <w:pPr>
              <w:jc w:val="right"/>
              <w:ind w:right="234"/>
              <w:spacing w:after="0"/>
              <w:rPr>
                <w:sz w:val="20"/>
                <w:szCs w:val="20"/>
                <w:color w:val="auto"/>
              </w:rPr>
            </w:pPr>
            <w:r>
              <w:rPr>
                <w:rFonts w:ascii="Courier New" w:cs="Courier New" w:eastAsia="Courier New" w:hAnsi="Courier New"/>
                <w:sz w:val="12"/>
                <w:szCs w:val="12"/>
                <w:b w:val="1"/>
                <w:bCs w:val="1"/>
                <w:color w:val="auto"/>
              </w:rPr>
              <w:t>26,252</w:t>
            </w:r>
          </w:p>
        </w:tc>
        <w:tc>
          <w:tcPr>
            <w:tcW w:w="58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22,047</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2980" w:type="dxa"/>
            <w:vAlign w:val="bottom"/>
          </w:tcPr>
          <w:p>
            <w:pPr>
              <w:jc w:val="right"/>
              <w:ind w:right="94"/>
              <w:spacing w:after="0"/>
              <w:rPr>
                <w:sz w:val="20"/>
                <w:szCs w:val="20"/>
                <w:color w:val="auto"/>
              </w:rPr>
            </w:pPr>
            <w:r>
              <w:rPr>
                <w:rFonts w:ascii="Courier New" w:cs="Courier New" w:eastAsia="Courier New" w:hAnsi="Courier New"/>
                <w:sz w:val="12"/>
                <w:szCs w:val="12"/>
                <w:b w:val="1"/>
                <w:bCs w:val="1"/>
                <w:color w:val="auto"/>
              </w:rPr>
              <w:t>----------------</w:t>
            </w:r>
          </w:p>
        </w:tc>
        <w:tc>
          <w:tcPr>
            <w:tcW w:w="13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w w:val="76"/>
              </w:rPr>
              <w:t>Total assets....................................................................</w:t>
            </w:r>
          </w:p>
        </w:tc>
        <w:tc>
          <w:tcPr>
            <w:tcW w:w="2980" w:type="dxa"/>
            <w:vAlign w:val="bottom"/>
          </w:tcPr>
          <w:p>
            <w:pPr>
              <w:jc w:val="right"/>
              <w:ind w:right="234"/>
              <w:spacing w:after="0"/>
              <w:rPr>
                <w:sz w:val="20"/>
                <w:szCs w:val="20"/>
                <w:color w:val="auto"/>
              </w:rPr>
            </w:pPr>
            <w:r>
              <w:rPr>
                <w:rFonts w:ascii="Courier New" w:cs="Courier New" w:eastAsia="Courier New" w:hAnsi="Courier New"/>
                <w:sz w:val="12"/>
                <w:szCs w:val="12"/>
                <w:b w:val="1"/>
                <w:bCs w:val="1"/>
                <w:color w:val="auto"/>
              </w:rPr>
              <w:t>$ 2,191,489</w:t>
            </w:r>
          </w:p>
        </w:tc>
        <w:tc>
          <w:tcPr>
            <w:tcW w:w="58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$2,192,598</w:t>
            </w:r>
          </w:p>
        </w:tc>
        <w:tc>
          <w:tcPr>
            <w:tcW w:w="0" w:type="dxa"/>
            <w:vAlign w:val="bottom"/>
          </w:tcPr>
          <w:p>
            <w:pPr>
              <w:spacing w:after="0"/>
              <w:rPr>
                <w:sz w:val="1"/>
                <w:szCs w:val="1"/>
                <w:color w:val="auto"/>
              </w:rPr>
            </w:pPr>
          </w:p>
        </w:tc>
      </w:tr>
      <w:tr>
        <w:trPr>
          <w:trHeight w:val="137"/>
        </w:trPr>
        <w:tc>
          <w:tcPr>
            <w:tcW w:w="4400" w:type="dxa"/>
            <w:vAlign w:val="bottom"/>
          </w:tcPr>
          <w:p>
            <w:pPr>
              <w:spacing w:after="0"/>
              <w:rPr>
                <w:sz w:val="11"/>
                <w:szCs w:val="11"/>
                <w:color w:val="auto"/>
              </w:rPr>
            </w:pPr>
          </w:p>
        </w:tc>
        <w:tc>
          <w:tcPr>
            <w:tcW w:w="2980" w:type="dxa"/>
            <w:vAlign w:val="bottom"/>
          </w:tcPr>
          <w:p>
            <w:pPr>
              <w:jc w:val="right"/>
              <w:ind w:right="94"/>
              <w:spacing w:after="0"/>
              <w:rPr>
                <w:sz w:val="20"/>
                <w:szCs w:val="20"/>
                <w:color w:val="auto"/>
              </w:rPr>
            </w:pPr>
            <w:r>
              <w:rPr>
                <w:rFonts w:ascii="Courier New" w:cs="Courier New" w:eastAsia="Courier New" w:hAnsi="Courier New"/>
                <w:sz w:val="12"/>
                <w:szCs w:val="12"/>
                <w:b w:val="1"/>
                <w:bCs w:val="1"/>
                <w:color w:val="auto"/>
              </w:rPr>
              <w:t>================</w:t>
            </w:r>
          </w:p>
        </w:tc>
        <w:tc>
          <w:tcPr>
            <w:tcW w:w="13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4400" w:type="dxa"/>
            <w:vAlign w:val="bottom"/>
          </w:tcPr>
          <w:p>
            <w:pPr>
              <w:spacing w:after="0"/>
              <w:rPr>
                <w:sz w:val="20"/>
                <w:szCs w:val="20"/>
                <w:color w:val="auto"/>
              </w:rPr>
            </w:pPr>
            <w:r>
              <w:rPr>
                <w:rFonts w:ascii="Courier New" w:cs="Courier New" w:eastAsia="Courier New" w:hAnsi="Courier New"/>
                <w:sz w:val="12"/>
                <w:szCs w:val="12"/>
                <w:b w:val="1"/>
                <w:bCs w:val="1"/>
                <w:color w:val="auto"/>
              </w:rPr>
              <w:t>Liabilities and partners' capital:</w:t>
            </w:r>
          </w:p>
        </w:tc>
        <w:tc>
          <w:tcPr>
            <w:tcW w:w="2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400" w:type="dxa"/>
            <w:vAlign w:val="bottom"/>
          </w:tcPr>
          <w:p>
            <w:pPr>
              <w:spacing w:after="0"/>
              <w:rPr>
                <w:sz w:val="20"/>
                <w:szCs w:val="20"/>
                <w:color w:val="auto"/>
              </w:rPr>
            </w:pPr>
            <w:r>
              <w:rPr>
                <w:rFonts w:ascii="Courier New" w:cs="Courier New" w:eastAsia="Courier New" w:hAnsi="Courier New"/>
                <w:sz w:val="12"/>
                <w:szCs w:val="12"/>
                <w:color w:val="auto"/>
              </w:rPr>
              <w:t>Liabilities:</w:t>
            </w:r>
          </w:p>
        </w:tc>
        <w:tc>
          <w:tcPr>
            <w:tcW w:w="2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81"/>
              </w:rPr>
              <w:t>Unsecured bank debt........................................................</w:t>
            </w:r>
          </w:p>
        </w:tc>
        <w:tc>
          <w:tcPr>
            <w:tcW w:w="2980" w:type="dxa"/>
            <w:vAlign w:val="bottom"/>
          </w:tcPr>
          <w:p>
            <w:pPr>
              <w:jc w:val="right"/>
              <w:ind w:right="234"/>
              <w:spacing w:after="0"/>
              <w:rPr>
                <w:sz w:val="20"/>
                <w:szCs w:val="20"/>
                <w:color w:val="auto"/>
              </w:rPr>
            </w:pPr>
            <w:r>
              <w:rPr>
                <w:rFonts w:ascii="Courier New" w:cs="Courier New" w:eastAsia="Courier New" w:hAnsi="Courier New"/>
                <w:sz w:val="12"/>
                <w:szCs w:val="12"/>
                <w:b w:val="1"/>
                <w:bCs w:val="1"/>
                <w:color w:val="auto"/>
              </w:rPr>
              <w:t>$ 60,225</w:t>
            </w:r>
          </w:p>
        </w:tc>
        <w:tc>
          <w:tcPr>
            <w:tcW w:w="5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84,835</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81"/>
              </w:rPr>
              <w:t>Unsecured public notes.....................................................</w:t>
            </w:r>
          </w:p>
        </w:tc>
        <w:tc>
          <w:tcPr>
            <w:tcW w:w="2980" w:type="dxa"/>
            <w:vAlign w:val="bottom"/>
          </w:tcPr>
          <w:p>
            <w:pPr>
              <w:jc w:val="right"/>
              <w:ind w:right="234"/>
              <w:spacing w:after="0"/>
              <w:rPr>
                <w:sz w:val="20"/>
                <w:szCs w:val="20"/>
                <w:color w:val="auto"/>
              </w:rPr>
            </w:pPr>
            <w:r>
              <w:rPr>
                <w:rFonts w:ascii="Courier New" w:cs="Courier New" w:eastAsia="Courier New" w:hAnsi="Courier New"/>
                <w:sz w:val="12"/>
                <w:szCs w:val="12"/>
                <w:b w:val="1"/>
                <w:bCs w:val="1"/>
                <w:color w:val="auto"/>
              </w:rPr>
              <w:t>721,982</w:t>
            </w:r>
          </w:p>
        </w:tc>
        <w:tc>
          <w:tcPr>
            <w:tcW w:w="58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721,849</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81"/>
              </w:rPr>
              <w:t>Mortgage debt..............................................................</w:t>
            </w:r>
          </w:p>
        </w:tc>
        <w:tc>
          <w:tcPr>
            <w:tcW w:w="2980" w:type="dxa"/>
            <w:vAlign w:val="bottom"/>
          </w:tcPr>
          <w:p>
            <w:pPr>
              <w:jc w:val="right"/>
              <w:ind w:right="234"/>
              <w:spacing w:after="0"/>
              <w:rPr>
                <w:sz w:val="20"/>
                <w:szCs w:val="20"/>
                <w:color w:val="auto"/>
              </w:rPr>
            </w:pPr>
            <w:r>
              <w:rPr>
                <w:rFonts w:ascii="Courier New" w:cs="Courier New" w:eastAsia="Courier New" w:hAnsi="Courier New"/>
                <w:sz w:val="12"/>
                <w:szCs w:val="12"/>
                <w:b w:val="1"/>
                <w:bCs w:val="1"/>
                <w:color w:val="auto"/>
              </w:rPr>
              <w:t>314,234</w:t>
            </w:r>
          </w:p>
        </w:tc>
        <w:tc>
          <w:tcPr>
            <w:tcW w:w="58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316,354</w:t>
            </w:r>
          </w:p>
        </w:tc>
        <w:tc>
          <w:tcPr>
            <w:tcW w:w="0" w:type="dxa"/>
            <w:vAlign w:val="bottom"/>
          </w:tcPr>
          <w:p>
            <w:pPr>
              <w:spacing w:after="0"/>
              <w:rPr>
                <w:sz w:val="1"/>
                <w:szCs w:val="1"/>
                <w:color w:val="auto"/>
              </w:rPr>
            </w:pPr>
          </w:p>
        </w:tc>
      </w:tr>
      <w:tr>
        <w:trPr>
          <w:trHeight w:val="137"/>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81"/>
              </w:rPr>
              <w:t>Notes payable-related party................................................</w:t>
            </w:r>
          </w:p>
        </w:tc>
        <w:tc>
          <w:tcPr>
            <w:tcW w:w="2980" w:type="dxa"/>
            <w:vAlign w:val="bottom"/>
          </w:tcPr>
          <w:p>
            <w:pPr>
              <w:jc w:val="right"/>
              <w:ind w:right="234"/>
              <w:spacing w:after="0"/>
              <w:rPr>
                <w:sz w:val="20"/>
                <w:szCs w:val="20"/>
                <w:color w:val="auto"/>
              </w:rPr>
            </w:pPr>
            <w:r>
              <w:rPr>
                <w:rFonts w:ascii="Courier New" w:cs="Courier New" w:eastAsia="Courier New" w:hAnsi="Courier New"/>
                <w:sz w:val="12"/>
                <w:szCs w:val="12"/>
                <w:b w:val="1"/>
                <w:bCs w:val="1"/>
                <w:color w:val="auto"/>
              </w:rPr>
              <w:t>318,098</w:t>
            </w:r>
          </w:p>
        </w:tc>
        <w:tc>
          <w:tcPr>
            <w:tcW w:w="58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300,260</w:t>
            </w:r>
          </w:p>
        </w:tc>
        <w:tc>
          <w:tcPr>
            <w:tcW w:w="0" w:type="dxa"/>
            <w:vAlign w:val="bottom"/>
          </w:tcPr>
          <w:p>
            <w:pPr>
              <w:spacing w:after="0"/>
              <w:rPr>
                <w:sz w:val="1"/>
                <w:szCs w:val="1"/>
                <w:color w:val="auto"/>
              </w:rPr>
            </w:pPr>
          </w:p>
        </w:tc>
      </w:tr>
    </w:tbl>
    <w:p>
      <w:pPr>
        <w:sectPr>
          <w:pgSz w:w="11900" w:h="16839" w:orient="portrait"/>
          <w:cols w:equalWidth="0" w:num="1">
            <w:col w:w="11160"/>
          </w:cols>
          <w:pgMar w:left="240" w:top="450" w:right="49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Construction payables......................................................</w:t>
            </w:r>
          </w:p>
        </w:tc>
        <w:tc>
          <w:tcPr>
            <w:tcW w:w="142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11,652</w:t>
            </w:r>
          </w:p>
        </w:tc>
        <w:tc>
          <w:tcPr>
            <w:tcW w:w="13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14,654</w:t>
            </w:r>
          </w:p>
        </w:tc>
      </w:tr>
      <w:tr>
        <w:trPr>
          <w:trHeight w:val="135"/>
        </w:trPr>
        <w:tc>
          <w:tcPr>
            <w:tcW w:w="5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Accounts payable and accrued expenses......................................</w:t>
            </w:r>
          </w:p>
        </w:tc>
        <w:tc>
          <w:tcPr>
            <w:tcW w:w="142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65,660</w:t>
            </w:r>
          </w:p>
        </w:tc>
        <w:tc>
          <w:tcPr>
            <w:tcW w:w="13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59,158</w:t>
            </w:r>
          </w:p>
        </w:tc>
      </w:tr>
      <w:tr>
        <w:trPr>
          <w:trHeight w:val="135"/>
        </w:trPr>
        <w:tc>
          <w:tcPr>
            <w:tcW w:w="5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Other liabilities..........................................................</w:t>
            </w:r>
          </w:p>
        </w:tc>
        <w:tc>
          <w:tcPr>
            <w:tcW w:w="142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18,480</w:t>
            </w:r>
          </w:p>
        </w:tc>
        <w:tc>
          <w:tcPr>
            <w:tcW w:w="13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23,281</w:t>
            </w:r>
          </w:p>
        </w:tc>
      </w:tr>
      <w:tr>
        <w:trPr>
          <w:trHeight w:val="135"/>
        </w:trPr>
        <w:tc>
          <w:tcPr>
            <w:tcW w:w="5960" w:type="dxa"/>
            <w:vAlign w:val="bottom"/>
          </w:tcPr>
          <w:p>
            <w:pPr>
              <w:spacing w:after="0"/>
              <w:rPr>
                <w:sz w:val="11"/>
                <w:szCs w:val="11"/>
                <w:color w:val="auto"/>
              </w:rPr>
            </w:pPr>
          </w:p>
        </w:tc>
        <w:tc>
          <w:tcPr>
            <w:tcW w:w="142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w:t>
            </w:r>
          </w:p>
        </w:tc>
        <w:tc>
          <w:tcPr>
            <w:tcW w:w="13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960" w:type="dxa"/>
            <w:vAlign w:val="bottom"/>
          </w:tcPr>
          <w:p>
            <w:pPr>
              <w:jc w:val="right"/>
              <w:ind w:right="59"/>
              <w:spacing w:after="0"/>
              <w:rPr>
                <w:sz w:val="20"/>
                <w:szCs w:val="20"/>
                <w:color w:val="auto"/>
              </w:rPr>
            </w:pPr>
            <w:r>
              <w:rPr>
                <w:rFonts w:ascii="Courier New" w:cs="Courier New" w:eastAsia="Courier New" w:hAnsi="Courier New"/>
                <w:sz w:val="12"/>
                <w:szCs w:val="12"/>
                <w:b w:val="1"/>
                <w:bCs w:val="1"/>
                <w:color w:val="auto"/>
              </w:rPr>
              <w:t>Total liabilities...............................................................</w:t>
            </w:r>
          </w:p>
        </w:tc>
        <w:tc>
          <w:tcPr>
            <w:tcW w:w="142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1,510,331</w:t>
            </w:r>
          </w:p>
        </w:tc>
        <w:tc>
          <w:tcPr>
            <w:tcW w:w="13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1,520,391</w:t>
            </w:r>
          </w:p>
        </w:tc>
      </w:tr>
      <w:tr>
        <w:trPr>
          <w:trHeight w:val="137"/>
        </w:trPr>
        <w:tc>
          <w:tcPr>
            <w:tcW w:w="5960" w:type="dxa"/>
            <w:vAlign w:val="bottom"/>
          </w:tcPr>
          <w:p>
            <w:pPr>
              <w:spacing w:after="0"/>
              <w:rPr>
                <w:sz w:val="11"/>
                <w:szCs w:val="11"/>
                <w:color w:val="auto"/>
              </w:rPr>
            </w:pPr>
          </w:p>
        </w:tc>
        <w:tc>
          <w:tcPr>
            <w:tcW w:w="142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w:t>
            </w:r>
          </w:p>
        </w:tc>
        <w:tc>
          <w:tcPr>
            <w:tcW w:w="13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70"/>
        </w:trPr>
        <w:tc>
          <w:tcPr>
            <w:tcW w:w="5960" w:type="dxa"/>
            <w:vAlign w:val="bottom"/>
          </w:tcPr>
          <w:p>
            <w:pPr>
              <w:spacing w:after="0"/>
              <w:rPr>
                <w:sz w:val="20"/>
                <w:szCs w:val="20"/>
                <w:color w:val="auto"/>
              </w:rPr>
            </w:pPr>
            <w:r>
              <w:rPr>
                <w:rFonts w:ascii="Courier New" w:cs="Courier New" w:eastAsia="Courier New" w:hAnsi="Courier New"/>
                <w:sz w:val="12"/>
                <w:szCs w:val="12"/>
                <w:b w:val="1"/>
                <w:bCs w:val="1"/>
                <w:color w:val="auto"/>
              </w:rPr>
              <w:t>Commitments and contingencies</w:t>
            </w:r>
          </w:p>
        </w:tc>
        <w:tc>
          <w:tcPr>
            <w:tcW w:w="14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68"/>
        </w:trPr>
        <w:tc>
          <w:tcPr>
            <w:tcW w:w="5960" w:type="dxa"/>
            <w:vAlign w:val="bottom"/>
          </w:tcPr>
          <w:p>
            <w:pPr>
              <w:spacing w:after="0"/>
              <w:rPr>
                <w:sz w:val="20"/>
                <w:szCs w:val="20"/>
                <w:color w:val="auto"/>
              </w:rPr>
            </w:pPr>
            <w:r>
              <w:rPr>
                <w:rFonts w:ascii="Courier New" w:cs="Courier New" w:eastAsia="Courier New" w:hAnsi="Courier New"/>
                <w:sz w:val="12"/>
                <w:szCs w:val="12"/>
                <w:b w:val="1"/>
                <w:bCs w:val="1"/>
                <w:color w:val="auto"/>
              </w:rPr>
              <w:t>Partners' capital:</w:t>
            </w:r>
          </w:p>
        </w:tc>
        <w:tc>
          <w:tcPr>
            <w:tcW w:w="14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35"/>
        </w:trPr>
        <w:tc>
          <w:tcPr>
            <w:tcW w:w="5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General partner units outstanding, 44,206 in 2005 and 2004......................</w:t>
            </w:r>
          </w:p>
        </w:tc>
        <w:tc>
          <w:tcPr>
            <w:tcW w:w="142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535,830</w:t>
            </w:r>
          </w:p>
        </w:tc>
        <w:tc>
          <w:tcPr>
            <w:tcW w:w="13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528,613</w:t>
            </w:r>
          </w:p>
        </w:tc>
      </w:tr>
      <w:tr>
        <w:trPr>
          <w:trHeight w:val="135"/>
        </w:trPr>
        <w:tc>
          <w:tcPr>
            <w:tcW w:w="5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Limited partners' units outstanding, 8,164 in 2005 and 2004.....................</w:t>
            </w:r>
          </w:p>
        </w:tc>
        <w:tc>
          <w:tcPr>
            <w:tcW w:w="142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145,676</w:t>
            </w:r>
          </w:p>
        </w:tc>
        <w:tc>
          <w:tcPr>
            <w:tcW w:w="13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144,343</w:t>
            </w:r>
          </w:p>
        </w:tc>
      </w:tr>
      <w:tr>
        <w:trPr>
          <w:trHeight w:val="135"/>
        </w:trPr>
        <w:tc>
          <w:tcPr>
            <w:tcW w:w="5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Accumulated other comprehensive loss ...........................................</w:t>
            </w:r>
          </w:p>
        </w:tc>
        <w:tc>
          <w:tcPr>
            <w:tcW w:w="142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(348)</w:t>
            </w:r>
          </w:p>
        </w:tc>
        <w:tc>
          <w:tcPr>
            <w:tcW w:w="1380" w:type="dxa"/>
            <w:vAlign w:val="bottom"/>
          </w:tcPr>
          <w:p>
            <w:pPr>
              <w:jc w:val="right"/>
              <w:spacing w:after="0"/>
              <w:rPr>
                <w:sz w:val="20"/>
                <w:szCs w:val="20"/>
                <w:color w:val="auto"/>
              </w:rPr>
            </w:pPr>
            <w:r>
              <w:rPr>
                <w:rFonts w:ascii="Courier New" w:cs="Courier New" w:eastAsia="Courier New" w:hAnsi="Courier New"/>
                <w:sz w:val="12"/>
                <w:szCs w:val="12"/>
                <w:color w:val="auto"/>
              </w:rPr>
              <w:t>(749)</w:t>
            </w:r>
          </w:p>
        </w:tc>
      </w:tr>
      <w:tr>
        <w:trPr>
          <w:trHeight w:val="135"/>
        </w:trPr>
        <w:tc>
          <w:tcPr>
            <w:tcW w:w="5960" w:type="dxa"/>
            <w:vAlign w:val="bottom"/>
          </w:tcPr>
          <w:p>
            <w:pPr>
              <w:spacing w:after="0"/>
              <w:rPr>
                <w:sz w:val="11"/>
                <w:szCs w:val="11"/>
                <w:color w:val="auto"/>
              </w:rPr>
            </w:pPr>
          </w:p>
        </w:tc>
        <w:tc>
          <w:tcPr>
            <w:tcW w:w="142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w:t>
            </w:r>
          </w:p>
        </w:tc>
        <w:tc>
          <w:tcPr>
            <w:tcW w:w="13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960" w:type="dxa"/>
            <w:vAlign w:val="bottom"/>
          </w:tcPr>
          <w:p>
            <w:pPr>
              <w:jc w:val="right"/>
              <w:ind w:right="59"/>
              <w:spacing w:after="0"/>
              <w:rPr>
                <w:sz w:val="20"/>
                <w:szCs w:val="20"/>
                <w:color w:val="auto"/>
              </w:rPr>
            </w:pPr>
            <w:r>
              <w:rPr>
                <w:rFonts w:ascii="Courier New" w:cs="Courier New" w:eastAsia="Courier New" w:hAnsi="Courier New"/>
                <w:sz w:val="12"/>
                <w:szCs w:val="12"/>
                <w:b w:val="1"/>
                <w:bCs w:val="1"/>
                <w:color w:val="auto"/>
              </w:rPr>
              <w:t>Total partners' capital.........................................................</w:t>
            </w:r>
          </w:p>
        </w:tc>
        <w:tc>
          <w:tcPr>
            <w:tcW w:w="142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681,158</w:t>
            </w:r>
          </w:p>
        </w:tc>
        <w:tc>
          <w:tcPr>
            <w:tcW w:w="13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672,207</w:t>
            </w:r>
          </w:p>
        </w:tc>
      </w:tr>
      <w:tr>
        <w:trPr>
          <w:trHeight w:val="135"/>
        </w:trPr>
        <w:tc>
          <w:tcPr>
            <w:tcW w:w="5960" w:type="dxa"/>
            <w:vAlign w:val="bottom"/>
          </w:tcPr>
          <w:p>
            <w:pPr>
              <w:spacing w:after="0"/>
              <w:rPr>
                <w:sz w:val="11"/>
                <w:szCs w:val="11"/>
                <w:color w:val="auto"/>
              </w:rPr>
            </w:pPr>
          </w:p>
        </w:tc>
        <w:tc>
          <w:tcPr>
            <w:tcW w:w="142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w:t>
            </w:r>
          </w:p>
        </w:tc>
        <w:tc>
          <w:tcPr>
            <w:tcW w:w="13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960" w:type="dxa"/>
            <w:vAlign w:val="bottom"/>
          </w:tcPr>
          <w:p>
            <w:pPr>
              <w:jc w:val="right"/>
              <w:ind w:right="59"/>
              <w:spacing w:after="0"/>
              <w:rPr>
                <w:sz w:val="20"/>
                <w:szCs w:val="20"/>
                <w:color w:val="auto"/>
              </w:rPr>
            </w:pPr>
            <w:r>
              <w:rPr>
                <w:rFonts w:ascii="Courier New" w:cs="Courier New" w:eastAsia="Courier New" w:hAnsi="Courier New"/>
                <w:sz w:val="12"/>
                <w:szCs w:val="12"/>
                <w:b w:val="1"/>
                <w:bCs w:val="1"/>
                <w:color w:val="auto"/>
              </w:rPr>
              <w:t>Total liabilities and partners' capital.........................................</w:t>
            </w:r>
          </w:p>
        </w:tc>
        <w:tc>
          <w:tcPr>
            <w:tcW w:w="142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$ 2,191,489</w:t>
            </w:r>
          </w:p>
        </w:tc>
        <w:tc>
          <w:tcPr>
            <w:tcW w:w="13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$2,192,598</w:t>
            </w:r>
          </w:p>
        </w:tc>
      </w:tr>
      <w:tr>
        <w:trPr>
          <w:trHeight w:val="137"/>
        </w:trPr>
        <w:tc>
          <w:tcPr>
            <w:tcW w:w="5960" w:type="dxa"/>
            <w:vAlign w:val="bottom"/>
          </w:tcPr>
          <w:p>
            <w:pPr>
              <w:spacing w:after="0"/>
              <w:rPr>
                <w:sz w:val="11"/>
                <w:szCs w:val="11"/>
                <w:color w:val="auto"/>
              </w:rPr>
            </w:pPr>
          </w:p>
        </w:tc>
        <w:tc>
          <w:tcPr>
            <w:tcW w:w="142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w:t>
            </w:r>
          </w:p>
        </w:tc>
        <w:tc>
          <w:tcPr>
            <w:tcW w:w="13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accompanying notes are an integral part of the financial statements.</w:t>
      </w:r>
    </w:p>
    <w:p>
      <w:pPr>
        <w:spacing w:after="0" w:line="200"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CPG Partners, L.P.</w:t>
      </w:r>
    </w:p>
    <w:tbl>
      <w:tblPr>
        <w:tblLayout w:type="fixed"/>
        <w:tblInd w:w="0" w:type="dxa"/>
        <w:tblCellMar>
          <w:top w:w="0" w:type="dxa"/>
          <w:left w:w="0" w:type="dxa"/>
          <w:bottom w:w="0" w:type="dxa"/>
          <w:right w:w="0" w:type="dxa"/>
        </w:tblCellMar>
      </w:tblPr>
      <w:tr>
        <w:trPr>
          <w:trHeight w:val="233"/>
        </w:trPr>
        <w:tc>
          <w:tcPr>
            <w:tcW w:w="8260" w:type="dxa"/>
            <w:vAlign w:val="bottom"/>
            <w:gridSpan w:val="3"/>
          </w:tcPr>
          <w:p>
            <w:pPr>
              <w:jc w:val="center"/>
              <w:ind w:left="3095"/>
              <w:spacing w:after="0" w:line="233" w:lineRule="exact"/>
              <w:rPr>
                <w:sz w:val="20"/>
                <w:szCs w:val="20"/>
                <w:color w:val="auto"/>
              </w:rPr>
            </w:pPr>
            <w:r>
              <w:rPr>
                <w:rFonts w:ascii="Arial" w:cs="Arial" w:eastAsia="Arial" w:hAnsi="Arial"/>
                <w:sz w:val="22"/>
                <w:szCs w:val="22"/>
                <w:b w:val="1"/>
                <w:bCs w:val="1"/>
                <w:color w:val="auto"/>
                <w:w w:val="87"/>
              </w:rPr>
              <w:t>Consolidated Statements of Income</w:t>
            </w:r>
          </w:p>
        </w:tc>
      </w:tr>
      <w:tr>
        <w:trPr>
          <w:trHeight w:val="249"/>
        </w:trPr>
        <w:tc>
          <w:tcPr>
            <w:tcW w:w="8260" w:type="dxa"/>
            <w:vAlign w:val="bottom"/>
            <w:gridSpan w:val="3"/>
          </w:tcPr>
          <w:p>
            <w:pPr>
              <w:jc w:val="center"/>
              <w:ind w:left="3095"/>
              <w:spacing w:after="0" w:line="249" w:lineRule="exact"/>
              <w:rPr>
                <w:sz w:val="20"/>
                <w:szCs w:val="20"/>
                <w:color w:val="auto"/>
              </w:rPr>
            </w:pPr>
            <w:r>
              <w:rPr>
                <w:rFonts w:ascii="Arial" w:cs="Arial" w:eastAsia="Arial" w:hAnsi="Arial"/>
                <w:sz w:val="22"/>
                <w:szCs w:val="22"/>
                <w:b w:val="1"/>
                <w:bCs w:val="1"/>
                <w:color w:val="auto"/>
                <w:w w:val="90"/>
              </w:rPr>
              <w:t>for the Three Months Ended March 31, 2005 and 2004</w:t>
            </w:r>
          </w:p>
        </w:tc>
      </w:tr>
      <w:tr>
        <w:trPr>
          <w:trHeight w:val="237"/>
        </w:trPr>
        <w:tc>
          <w:tcPr>
            <w:tcW w:w="5180" w:type="dxa"/>
            <w:vAlign w:val="bottom"/>
          </w:tcPr>
          <w:p>
            <w:pPr>
              <w:spacing w:after="0"/>
              <w:rPr>
                <w:sz w:val="20"/>
                <w:szCs w:val="20"/>
                <w:color w:val="auto"/>
              </w:rPr>
            </w:pPr>
          </w:p>
        </w:tc>
        <w:tc>
          <w:tcPr>
            <w:tcW w:w="1820" w:type="dxa"/>
            <w:vAlign w:val="bottom"/>
          </w:tcPr>
          <w:p>
            <w:pPr>
              <w:jc w:val="center"/>
              <w:ind w:right="678"/>
              <w:spacing w:after="0" w:line="237" w:lineRule="exact"/>
              <w:rPr>
                <w:sz w:val="20"/>
                <w:szCs w:val="20"/>
                <w:color w:val="auto"/>
              </w:rPr>
            </w:pPr>
            <w:r>
              <w:rPr>
                <w:rFonts w:ascii="Arial" w:cs="Arial" w:eastAsia="Arial" w:hAnsi="Arial"/>
                <w:sz w:val="22"/>
                <w:szCs w:val="22"/>
                <w:b w:val="1"/>
                <w:bCs w:val="1"/>
                <w:i w:val="1"/>
                <w:iCs w:val="1"/>
                <w:color w:val="auto"/>
                <w:w w:val="88"/>
              </w:rPr>
              <w:t>(Unaudited)</w:t>
            </w:r>
          </w:p>
        </w:tc>
        <w:tc>
          <w:tcPr>
            <w:tcW w:w="1260" w:type="dxa"/>
            <w:vAlign w:val="bottom"/>
          </w:tcPr>
          <w:p>
            <w:pPr>
              <w:spacing w:after="0"/>
              <w:rPr>
                <w:sz w:val="20"/>
                <w:szCs w:val="20"/>
                <w:color w:val="auto"/>
              </w:rPr>
            </w:pPr>
          </w:p>
        </w:tc>
      </w:tr>
      <w:tr>
        <w:trPr>
          <w:trHeight w:val="281"/>
        </w:trPr>
        <w:tc>
          <w:tcPr>
            <w:tcW w:w="8260" w:type="dxa"/>
            <w:vAlign w:val="bottom"/>
            <w:gridSpan w:val="3"/>
          </w:tcPr>
          <w:p>
            <w:pPr>
              <w:jc w:val="center"/>
              <w:ind w:left="3095"/>
              <w:spacing w:after="0"/>
              <w:rPr>
                <w:sz w:val="20"/>
                <w:szCs w:val="20"/>
                <w:color w:val="auto"/>
              </w:rPr>
            </w:pPr>
            <w:r>
              <w:rPr>
                <w:rFonts w:ascii="Arial" w:cs="Arial" w:eastAsia="Arial" w:hAnsi="Arial"/>
                <w:sz w:val="22"/>
                <w:szCs w:val="22"/>
                <w:b w:val="1"/>
                <w:bCs w:val="1"/>
                <w:color w:val="auto"/>
                <w:w w:val="88"/>
              </w:rPr>
              <w:t>(In thousands, except per unit data)</w:t>
            </w:r>
          </w:p>
        </w:tc>
      </w:tr>
      <w:tr>
        <w:trPr>
          <w:trHeight w:val="469"/>
        </w:trPr>
        <w:tc>
          <w:tcPr>
            <w:tcW w:w="5180" w:type="dxa"/>
            <w:vAlign w:val="bottom"/>
          </w:tcPr>
          <w:p>
            <w:pPr>
              <w:spacing w:after="0"/>
              <w:rPr>
                <w:sz w:val="24"/>
                <w:szCs w:val="24"/>
                <w:color w:val="auto"/>
              </w:rPr>
            </w:pPr>
          </w:p>
        </w:tc>
        <w:tc>
          <w:tcPr>
            <w:tcW w:w="1820" w:type="dxa"/>
            <w:vAlign w:val="bottom"/>
          </w:tcPr>
          <w:p>
            <w:pPr>
              <w:jc w:val="right"/>
              <w:ind w:right="358"/>
              <w:spacing w:after="0"/>
              <w:rPr>
                <w:sz w:val="20"/>
                <w:szCs w:val="20"/>
                <w:color w:val="auto"/>
              </w:rPr>
            </w:pPr>
            <w:r>
              <w:rPr>
                <w:rFonts w:ascii="Courier New" w:cs="Courier New" w:eastAsia="Courier New" w:hAnsi="Courier New"/>
                <w:sz w:val="12"/>
                <w:szCs w:val="12"/>
                <w:b w:val="1"/>
                <w:bCs w:val="1"/>
                <w:color w:val="auto"/>
              </w:rPr>
              <w:t>2005</w:t>
            </w:r>
          </w:p>
        </w:tc>
        <w:tc>
          <w:tcPr>
            <w:tcW w:w="12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2004</w:t>
            </w:r>
          </w:p>
        </w:tc>
      </w:tr>
      <w:tr>
        <w:trPr>
          <w:trHeight w:val="137"/>
        </w:trPr>
        <w:tc>
          <w:tcPr>
            <w:tcW w:w="5180" w:type="dxa"/>
            <w:vAlign w:val="bottom"/>
          </w:tcPr>
          <w:p>
            <w:pPr>
              <w:spacing w:after="0"/>
              <w:rPr>
                <w:sz w:val="11"/>
                <w:szCs w:val="11"/>
                <w:color w:val="auto"/>
              </w:rPr>
            </w:pPr>
          </w:p>
        </w:tc>
        <w:tc>
          <w:tcPr>
            <w:tcW w:w="182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5180" w:type="dxa"/>
            <w:vAlign w:val="bottom"/>
          </w:tcPr>
          <w:p>
            <w:pPr>
              <w:spacing w:after="0"/>
              <w:rPr>
                <w:sz w:val="20"/>
                <w:szCs w:val="20"/>
                <w:color w:val="auto"/>
              </w:rPr>
            </w:pPr>
            <w:r>
              <w:rPr>
                <w:rFonts w:ascii="Courier New" w:cs="Courier New" w:eastAsia="Courier New" w:hAnsi="Courier New"/>
                <w:sz w:val="12"/>
                <w:szCs w:val="12"/>
                <w:b w:val="1"/>
                <w:bCs w:val="1"/>
                <w:color w:val="auto"/>
              </w:rPr>
              <w:t>Revenues:</w:t>
            </w:r>
          </w:p>
        </w:tc>
        <w:tc>
          <w:tcPr>
            <w:tcW w:w="18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135"/>
        </w:trPr>
        <w:tc>
          <w:tcPr>
            <w:tcW w:w="5180" w:type="dxa"/>
            <w:vAlign w:val="bottom"/>
          </w:tcPr>
          <w:p>
            <w:pPr>
              <w:jc w:val="right"/>
              <w:spacing w:after="0"/>
              <w:rPr>
                <w:sz w:val="20"/>
                <w:szCs w:val="20"/>
                <w:color w:val="auto"/>
              </w:rPr>
            </w:pPr>
            <w:r>
              <w:rPr>
                <w:rFonts w:ascii="Courier New" w:cs="Courier New" w:eastAsia="Courier New" w:hAnsi="Courier New"/>
                <w:sz w:val="12"/>
                <w:szCs w:val="12"/>
                <w:color w:val="auto"/>
                <w:w w:val="98"/>
              </w:rPr>
              <w:t>Base rent................................................................</w:t>
            </w:r>
          </w:p>
        </w:tc>
        <w:tc>
          <w:tcPr>
            <w:tcW w:w="1820" w:type="dxa"/>
            <w:vAlign w:val="bottom"/>
          </w:tcPr>
          <w:p>
            <w:pPr>
              <w:jc w:val="right"/>
              <w:ind w:right="298"/>
              <w:spacing w:after="0"/>
              <w:rPr>
                <w:sz w:val="20"/>
                <w:szCs w:val="20"/>
                <w:color w:val="auto"/>
              </w:rPr>
            </w:pPr>
            <w:r>
              <w:rPr>
                <w:rFonts w:ascii="Courier New" w:cs="Courier New" w:eastAsia="Courier New" w:hAnsi="Courier New"/>
                <w:sz w:val="12"/>
                <w:szCs w:val="12"/>
                <w:b w:val="1"/>
                <w:bCs w:val="1"/>
                <w:color w:val="auto"/>
              </w:rPr>
              <w:t>$71,310</w:t>
            </w:r>
          </w:p>
        </w:tc>
        <w:tc>
          <w:tcPr>
            <w:tcW w:w="12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$65,434</w:t>
            </w:r>
          </w:p>
        </w:tc>
      </w:tr>
      <w:tr>
        <w:trPr>
          <w:trHeight w:val="135"/>
        </w:trPr>
        <w:tc>
          <w:tcPr>
            <w:tcW w:w="5180" w:type="dxa"/>
            <w:vAlign w:val="bottom"/>
          </w:tcPr>
          <w:p>
            <w:pPr>
              <w:jc w:val="right"/>
              <w:spacing w:after="0"/>
              <w:rPr>
                <w:sz w:val="20"/>
                <w:szCs w:val="20"/>
                <w:color w:val="auto"/>
              </w:rPr>
            </w:pPr>
            <w:r>
              <w:rPr>
                <w:rFonts w:ascii="Courier New" w:cs="Courier New" w:eastAsia="Courier New" w:hAnsi="Courier New"/>
                <w:sz w:val="12"/>
                <w:szCs w:val="12"/>
                <w:color w:val="auto"/>
                <w:w w:val="98"/>
              </w:rPr>
              <w:t>Percentage rent..........................................................</w:t>
            </w:r>
          </w:p>
        </w:tc>
        <w:tc>
          <w:tcPr>
            <w:tcW w:w="1820" w:type="dxa"/>
            <w:vAlign w:val="bottom"/>
          </w:tcPr>
          <w:p>
            <w:pPr>
              <w:jc w:val="right"/>
              <w:ind w:right="298"/>
              <w:spacing w:after="0"/>
              <w:rPr>
                <w:sz w:val="20"/>
                <w:szCs w:val="20"/>
                <w:color w:val="auto"/>
              </w:rPr>
            </w:pPr>
            <w:r>
              <w:rPr>
                <w:rFonts w:ascii="Courier New" w:cs="Courier New" w:eastAsia="Courier New" w:hAnsi="Courier New"/>
                <w:sz w:val="12"/>
                <w:szCs w:val="12"/>
                <w:b w:val="1"/>
                <w:bCs w:val="1"/>
                <w:color w:val="auto"/>
              </w:rPr>
              <w:t>5,267</w:t>
            </w:r>
          </w:p>
        </w:tc>
        <w:tc>
          <w:tcPr>
            <w:tcW w:w="12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4,777</w:t>
            </w:r>
          </w:p>
        </w:tc>
      </w:tr>
      <w:tr>
        <w:trPr>
          <w:trHeight w:val="135"/>
        </w:trPr>
        <w:tc>
          <w:tcPr>
            <w:tcW w:w="5180" w:type="dxa"/>
            <w:vAlign w:val="bottom"/>
          </w:tcPr>
          <w:p>
            <w:pPr>
              <w:jc w:val="right"/>
              <w:spacing w:after="0"/>
              <w:rPr>
                <w:sz w:val="20"/>
                <w:szCs w:val="20"/>
                <w:color w:val="auto"/>
              </w:rPr>
            </w:pPr>
            <w:r>
              <w:rPr>
                <w:rFonts w:ascii="Courier New" w:cs="Courier New" w:eastAsia="Courier New" w:hAnsi="Courier New"/>
                <w:sz w:val="12"/>
                <w:szCs w:val="12"/>
                <w:color w:val="auto"/>
                <w:w w:val="98"/>
              </w:rPr>
              <w:t>Expense reimbursements...................................................</w:t>
            </w:r>
          </w:p>
        </w:tc>
        <w:tc>
          <w:tcPr>
            <w:tcW w:w="1820" w:type="dxa"/>
            <w:vAlign w:val="bottom"/>
          </w:tcPr>
          <w:p>
            <w:pPr>
              <w:jc w:val="right"/>
              <w:ind w:right="298"/>
              <w:spacing w:after="0"/>
              <w:rPr>
                <w:sz w:val="20"/>
                <w:szCs w:val="20"/>
                <w:color w:val="auto"/>
              </w:rPr>
            </w:pPr>
            <w:r>
              <w:rPr>
                <w:rFonts w:ascii="Courier New" w:cs="Courier New" w:eastAsia="Courier New" w:hAnsi="Courier New"/>
                <w:sz w:val="12"/>
                <w:szCs w:val="12"/>
                <w:b w:val="1"/>
                <w:bCs w:val="1"/>
                <w:color w:val="auto"/>
              </w:rPr>
              <w:t>22,309</w:t>
            </w:r>
          </w:p>
        </w:tc>
        <w:tc>
          <w:tcPr>
            <w:tcW w:w="12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20,660</w:t>
            </w:r>
          </w:p>
        </w:tc>
      </w:tr>
      <w:tr>
        <w:trPr>
          <w:trHeight w:val="135"/>
        </w:trPr>
        <w:tc>
          <w:tcPr>
            <w:tcW w:w="5180" w:type="dxa"/>
            <w:vAlign w:val="bottom"/>
          </w:tcPr>
          <w:p>
            <w:pPr>
              <w:jc w:val="right"/>
              <w:spacing w:after="0"/>
              <w:rPr>
                <w:sz w:val="20"/>
                <w:szCs w:val="20"/>
                <w:color w:val="auto"/>
              </w:rPr>
            </w:pPr>
            <w:r>
              <w:rPr>
                <w:rFonts w:ascii="Courier New" w:cs="Courier New" w:eastAsia="Courier New" w:hAnsi="Courier New"/>
                <w:sz w:val="12"/>
                <w:szCs w:val="12"/>
                <w:color w:val="auto"/>
                <w:w w:val="98"/>
              </w:rPr>
              <w:t>Other income.............................................................</w:t>
            </w:r>
          </w:p>
        </w:tc>
        <w:tc>
          <w:tcPr>
            <w:tcW w:w="1820" w:type="dxa"/>
            <w:vAlign w:val="bottom"/>
          </w:tcPr>
          <w:p>
            <w:pPr>
              <w:jc w:val="right"/>
              <w:ind w:right="298"/>
              <w:spacing w:after="0"/>
              <w:rPr>
                <w:sz w:val="20"/>
                <w:szCs w:val="20"/>
                <w:color w:val="auto"/>
              </w:rPr>
            </w:pPr>
            <w:r>
              <w:rPr>
                <w:rFonts w:ascii="Courier New" w:cs="Courier New" w:eastAsia="Courier New" w:hAnsi="Courier New"/>
                <w:sz w:val="12"/>
                <w:szCs w:val="12"/>
                <w:b w:val="1"/>
                <w:bCs w:val="1"/>
                <w:color w:val="auto"/>
              </w:rPr>
              <w:t>3,888</w:t>
            </w:r>
          </w:p>
        </w:tc>
        <w:tc>
          <w:tcPr>
            <w:tcW w:w="12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1,911</w:t>
            </w:r>
          </w:p>
        </w:tc>
      </w:tr>
      <w:tr>
        <w:trPr>
          <w:trHeight w:val="135"/>
        </w:trPr>
        <w:tc>
          <w:tcPr>
            <w:tcW w:w="5180" w:type="dxa"/>
            <w:vAlign w:val="bottom"/>
          </w:tcPr>
          <w:p>
            <w:pPr>
              <w:spacing w:after="0"/>
              <w:rPr>
                <w:sz w:val="11"/>
                <w:szCs w:val="11"/>
                <w:color w:val="auto"/>
              </w:rPr>
            </w:pPr>
          </w:p>
        </w:tc>
        <w:tc>
          <w:tcPr>
            <w:tcW w:w="182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1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w w:val="98"/>
              </w:rPr>
              <w:t>Total revenues...........................................................</w:t>
            </w:r>
          </w:p>
        </w:tc>
        <w:tc>
          <w:tcPr>
            <w:tcW w:w="1820" w:type="dxa"/>
            <w:vAlign w:val="bottom"/>
          </w:tcPr>
          <w:p>
            <w:pPr>
              <w:jc w:val="right"/>
              <w:ind w:right="298"/>
              <w:spacing w:after="0"/>
              <w:rPr>
                <w:sz w:val="20"/>
                <w:szCs w:val="20"/>
                <w:color w:val="auto"/>
              </w:rPr>
            </w:pPr>
            <w:r>
              <w:rPr>
                <w:rFonts w:ascii="Courier New" w:cs="Courier New" w:eastAsia="Courier New" w:hAnsi="Courier New"/>
                <w:sz w:val="12"/>
                <w:szCs w:val="12"/>
                <w:b w:val="1"/>
                <w:bCs w:val="1"/>
                <w:color w:val="auto"/>
              </w:rPr>
              <w:t>102,774</w:t>
            </w:r>
          </w:p>
        </w:tc>
        <w:tc>
          <w:tcPr>
            <w:tcW w:w="12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92,782</w:t>
            </w:r>
          </w:p>
        </w:tc>
      </w:tr>
      <w:tr>
        <w:trPr>
          <w:trHeight w:val="137"/>
        </w:trPr>
        <w:tc>
          <w:tcPr>
            <w:tcW w:w="5180" w:type="dxa"/>
            <w:vAlign w:val="bottom"/>
          </w:tcPr>
          <w:p>
            <w:pPr>
              <w:spacing w:after="0"/>
              <w:rPr>
                <w:sz w:val="11"/>
                <w:szCs w:val="11"/>
                <w:color w:val="auto"/>
              </w:rPr>
            </w:pPr>
          </w:p>
        </w:tc>
        <w:tc>
          <w:tcPr>
            <w:tcW w:w="182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5180" w:type="dxa"/>
            <w:vAlign w:val="bottom"/>
          </w:tcPr>
          <w:p>
            <w:pPr>
              <w:spacing w:after="0"/>
              <w:rPr>
                <w:sz w:val="20"/>
                <w:szCs w:val="20"/>
                <w:color w:val="auto"/>
              </w:rPr>
            </w:pPr>
            <w:r>
              <w:rPr>
                <w:rFonts w:ascii="Courier New" w:cs="Courier New" w:eastAsia="Courier New" w:hAnsi="Courier New"/>
                <w:sz w:val="12"/>
                <w:szCs w:val="12"/>
                <w:b w:val="1"/>
                <w:bCs w:val="1"/>
                <w:color w:val="auto"/>
              </w:rPr>
              <w:t>Expenses:</w:t>
            </w:r>
          </w:p>
        </w:tc>
        <w:tc>
          <w:tcPr>
            <w:tcW w:w="18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135"/>
        </w:trPr>
        <w:tc>
          <w:tcPr>
            <w:tcW w:w="5180" w:type="dxa"/>
            <w:vAlign w:val="bottom"/>
          </w:tcPr>
          <w:p>
            <w:pPr>
              <w:jc w:val="right"/>
              <w:spacing w:after="0"/>
              <w:rPr>
                <w:sz w:val="20"/>
                <w:szCs w:val="20"/>
                <w:color w:val="auto"/>
              </w:rPr>
            </w:pPr>
            <w:r>
              <w:rPr>
                <w:rFonts w:ascii="Courier New" w:cs="Courier New" w:eastAsia="Courier New" w:hAnsi="Courier New"/>
                <w:sz w:val="12"/>
                <w:szCs w:val="12"/>
                <w:color w:val="auto"/>
                <w:w w:val="98"/>
              </w:rPr>
              <w:t>Operating and maintenance................................................</w:t>
            </w:r>
          </w:p>
        </w:tc>
        <w:tc>
          <w:tcPr>
            <w:tcW w:w="1820" w:type="dxa"/>
            <w:vAlign w:val="bottom"/>
          </w:tcPr>
          <w:p>
            <w:pPr>
              <w:jc w:val="right"/>
              <w:ind w:right="298"/>
              <w:spacing w:after="0"/>
              <w:rPr>
                <w:sz w:val="20"/>
                <w:szCs w:val="20"/>
                <w:color w:val="auto"/>
              </w:rPr>
            </w:pPr>
            <w:r>
              <w:rPr>
                <w:rFonts w:ascii="Courier New" w:cs="Courier New" w:eastAsia="Courier New" w:hAnsi="Courier New"/>
                <w:sz w:val="12"/>
                <w:szCs w:val="12"/>
                <w:b w:val="1"/>
                <w:bCs w:val="1"/>
                <w:color w:val="auto"/>
              </w:rPr>
              <w:t>26,025</w:t>
            </w:r>
          </w:p>
        </w:tc>
        <w:tc>
          <w:tcPr>
            <w:tcW w:w="12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24,962</w:t>
            </w:r>
          </w:p>
        </w:tc>
      </w:tr>
      <w:tr>
        <w:trPr>
          <w:trHeight w:val="135"/>
        </w:trPr>
        <w:tc>
          <w:tcPr>
            <w:tcW w:w="5180" w:type="dxa"/>
            <w:vAlign w:val="bottom"/>
          </w:tcPr>
          <w:p>
            <w:pPr>
              <w:jc w:val="right"/>
              <w:spacing w:after="0"/>
              <w:rPr>
                <w:sz w:val="20"/>
                <w:szCs w:val="20"/>
                <w:color w:val="auto"/>
              </w:rPr>
            </w:pPr>
            <w:r>
              <w:rPr>
                <w:rFonts w:ascii="Courier New" w:cs="Courier New" w:eastAsia="Courier New" w:hAnsi="Courier New"/>
                <w:sz w:val="12"/>
                <w:szCs w:val="12"/>
                <w:color w:val="auto"/>
                <w:w w:val="98"/>
              </w:rPr>
              <w:t>Depreciation and amortization............................................</w:t>
            </w:r>
          </w:p>
        </w:tc>
        <w:tc>
          <w:tcPr>
            <w:tcW w:w="1820" w:type="dxa"/>
            <w:vAlign w:val="bottom"/>
          </w:tcPr>
          <w:p>
            <w:pPr>
              <w:jc w:val="right"/>
              <w:ind w:right="298"/>
              <w:spacing w:after="0"/>
              <w:rPr>
                <w:sz w:val="20"/>
                <w:szCs w:val="20"/>
                <w:color w:val="auto"/>
              </w:rPr>
            </w:pPr>
            <w:r>
              <w:rPr>
                <w:rFonts w:ascii="Courier New" w:cs="Courier New" w:eastAsia="Courier New" w:hAnsi="Courier New"/>
                <w:sz w:val="12"/>
                <w:szCs w:val="12"/>
                <w:b w:val="1"/>
                <w:bCs w:val="1"/>
                <w:color w:val="auto"/>
              </w:rPr>
              <w:t>18,950</w:t>
            </w:r>
          </w:p>
        </w:tc>
        <w:tc>
          <w:tcPr>
            <w:tcW w:w="12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17,665</w:t>
            </w:r>
          </w:p>
        </w:tc>
      </w:tr>
      <w:tr>
        <w:trPr>
          <w:trHeight w:val="135"/>
        </w:trPr>
        <w:tc>
          <w:tcPr>
            <w:tcW w:w="5180" w:type="dxa"/>
            <w:vAlign w:val="bottom"/>
          </w:tcPr>
          <w:p>
            <w:pPr>
              <w:jc w:val="right"/>
              <w:spacing w:after="0"/>
              <w:rPr>
                <w:sz w:val="20"/>
                <w:szCs w:val="20"/>
                <w:color w:val="auto"/>
              </w:rPr>
            </w:pPr>
            <w:r>
              <w:rPr>
                <w:rFonts w:ascii="Courier New" w:cs="Courier New" w:eastAsia="Courier New" w:hAnsi="Courier New"/>
                <w:sz w:val="12"/>
                <w:szCs w:val="12"/>
                <w:color w:val="auto"/>
                <w:w w:val="98"/>
              </w:rPr>
              <w:t>General and administrative...............................................</w:t>
            </w:r>
          </w:p>
        </w:tc>
        <w:tc>
          <w:tcPr>
            <w:tcW w:w="1820" w:type="dxa"/>
            <w:vAlign w:val="bottom"/>
          </w:tcPr>
          <w:p>
            <w:pPr>
              <w:jc w:val="right"/>
              <w:ind w:right="298"/>
              <w:spacing w:after="0"/>
              <w:rPr>
                <w:sz w:val="20"/>
                <w:szCs w:val="20"/>
                <w:color w:val="auto"/>
              </w:rPr>
            </w:pPr>
            <w:r>
              <w:rPr>
                <w:rFonts w:ascii="Courier New" w:cs="Courier New" w:eastAsia="Courier New" w:hAnsi="Courier New"/>
                <w:sz w:val="12"/>
                <w:szCs w:val="12"/>
                <w:b w:val="1"/>
                <w:bCs w:val="1"/>
                <w:color w:val="auto"/>
              </w:rPr>
              <w:t>2,941</w:t>
            </w:r>
          </w:p>
        </w:tc>
        <w:tc>
          <w:tcPr>
            <w:tcW w:w="12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3,590</w:t>
            </w:r>
          </w:p>
        </w:tc>
      </w:tr>
      <w:tr>
        <w:trPr>
          <w:trHeight w:val="135"/>
        </w:trPr>
        <w:tc>
          <w:tcPr>
            <w:tcW w:w="5180" w:type="dxa"/>
            <w:vAlign w:val="bottom"/>
          </w:tcPr>
          <w:p>
            <w:pPr>
              <w:jc w:val="right"/>
              <w:spacing w:after="0"/>
              <w:rPr>
                <w:sz w:val="20"/>
                <w:szCs w:val="20"/>
                <w:color w:val="auto"/>
              </w:rPr>
            </w:pPr>
            <w:r>
              <w:rPr>
                <w:rFonts w:ascii="Courier New" w:cs="Courier New" w:eastAsia="Courier New" w:hAnsi="Courier New"/>
                <w:sz w:val="12"/>
                <w:szCs w:val="12"/>
                <w:color w:val="auto"/>
                <w:w w:val="98"/>
              </w:rPr>
              <w:t>Other....................................................................</w:t>
            </w:r>
          </w:p>
        </w:tc>
        <w:tc>
          <w:tcPr>
            <w:tcW w:w="1820" w:type="dxa"/>
            <w:vAlign w:val="bottom"/>
          </w:tcPr>
          <w:p>
            <w:pPr>
              <w:jc w:val="right"/>
              <w:ind w:right="298"/>
              <w:spacing w:after="0"/>
              <w:rPr>
                <w:sz w:val="20"/>
                <w:szCs w:val="20"/>
                <w:color w:val="auto"/>
              </w:rPr>
            </w:pPr>
            <w:r>
              <w:rPr>
                <w:rFonts w:ascii="Courier New" w:cs="Courier New" w:eastAsia="Courier New" w:hAnsi="Courier New"/>
                <w:sz w:val="12"/>
                <w:szCs w:val="12"/>
                <w:b w:val="1"/>
                <w:bCs w:val="1"/>
                <w:color w:val="auto"/>
              </w:rPr>
              <w:t>1,572</w:t>
            </w:r>
          </w:p>
        </w:tc>
        <w:tc>
          <w:tcPr>
            <w:tcW w:w="12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2,406</w:t>
            </w:r>
          </w:p>
        </w:tc>
      </w:tr>
      <w:tr>
        <w:trPr>
          <w:trHeight w:val="135"/>
        </w:trPr>
        <w:tc>
          <w:tcPr>
            <w:tcW w:w="5180" w:type="dxa"/>
            <w:vAlign w:val="bottom"/>
          </w:tcPr>
          <w:p>
            <w:pPr>
              <w:spacing w:after="0"/>
              <w:rPr>
                <w:sz w:val="11"/>
                <w:szCs w:val="11"/>
                <w:color w:val="auto"/>
              </w:rPr>
            </w:pPr>
          </w:p>
        </w:tc>
        <w:tc>
          <w:tcPr>
            <w:tcW w:w="182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1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w w:val="98"/>
              </w:rPr>
              <w:t>Total expenses...........................................................</w:t>
            </w:r>
          </w:p>
        </w:tc>
        <w:tc>
          <w:tcPr>
            <w:tcW w:w="1820" w:type="dxa"/>
            <w:vAlign w:val="bottom"/>
          </w:tcPr>
          <w:p>
            <w:pPr>
              <w:jc w:val="right"/>
              <w:ind w:right="298"/>
              <w:spacing w:after="0"/>
              <w:rPr>
                <w:sz w:val="20"/>
                <w:szCs w:val="20"/>
                <w:color w:val="auto"/>
              </w:rPr>
            </w:pPr>
            <w:r>
              <w:rPr>
                <w:rFonts w:ascii="Courier New" w:cs="Courier New" w:eastAsia="Courier New" w:hAnsi="Courier New"/>
                <w:sz w:val="12"/>
                <w:szCs w:val="12"/>
                <w:b w:val="1"/>
                <w:bCs w:val="1"/>
                <w:color w:val="auto"/>
              </w:rPr>
              <w:t>49,488</w:t>
            </w:r>
          </w:p>
        </w:tc>
        <w:tc>
          <w:tcPr>
            <w:tcW w:w="12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48,623</w:t>
            </w:r>
          </w:p>
        </w:tc>
      </w:tr>
      <w:tr>
        <w:trPr>
          <w:trHeight w:val="137"/>
        </w:trPr>
        <w:tc>
          <w:tcPr>
            <w:tcW w:w="5180" w:type="dxa"/>
            <w:vAlign w:val="bottom"/>
          </w:tcPr>
          <w:p>
            <w:pPr>
              <w:spacing w:after="0"/>
              <w:rPr>
                <w:sz w:val="11"/>
                <w:szCs w:val="11"/>
                <w:color w:val="auto"/>
              </w:rPr>
            </w:pPr>
          </w:p>
        </w:tc>
        <w:tc>
          <w:tcPr>
            <w:tcW w:w="1820" w:type="dxa"/>
            <w:vAlign w:val="bottom"/>
          </w:tcPr>
          <w:p>
            <w:pPr>
              <w:jc w:val="right"/>
              <w:ind w:right="78"/>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51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w w:val="98"/>
              </w:rPr>
              <w:t>Income before unconsolidated investments and interest expense............</w:t>
            </w:r>
          </w:p>
        </w:tc>
        <w:tc>
          <w:tcPr>
            <w:tcW w:w="1820" w:type="dxa"/>
            <w:vAlign w:val="bottom"/>
          </w:tcPr>
          <w:p>
            <w:pPr>
              <w:jc w:val="right"/>
              <w:ind w:right="298"/>
              <w:spacing w:after="0"/>
              <w:rPr>
                <w:sz w:val="20"/>
                <w:szCs w:val="20"/>
                <w:color w:val="auto"/>
              </w:rPr>
            </w:pPr>
            <w:r>
              <w:rPr>
                <w:rFonts w:ascii="Courier New" w:cs="Courier New" w:eastAsia="Courier New" w:hAnsi="Courier New"/>
                <w:sz w:val="12"/>
                <w:szCs w:val="12"/>
                <w:b w:val="1"/>
                <w:bCs w:val="1"/>
                <w:color w:val="auto"/>
              </w:rPr>
              <w:t>53,286</w:t>
            </w:r>
          </w:p>
        </w:tc>
        <w:tc>
          <w:tcPr>
            <w:tcW w:w="12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44,159</w:t>
            </w:r>
          </w:p>
        </w:tc>
      </w:tr>
      <w:tr>
        <w:trPr>
          <w:trHeight w:val="268"/>
        </w:trPr>
        <w:tc>
          <w:tcPr>
            <w:tcW w:w="5180" w:type="dxa"/>
            <w:vAlign w:val="bottom"/>
          </w:tcPr>
          <w:p>
            <w:pPr>
              <w:jc w:val="right"/>
              <w:spacing w:after="0"/>
              <w:rPr>
                <w:sz w:val="20"/>
                <w:szCs w:val="20"/>
                <w:color w:val="auto"/>
              </w:rPr>
            </w:pPr>
            <w:r>
              <w:rPr>
                <w:rFonts w:ascii="Courier New" w:cs="Courier New" w:eastAsia="Courier New" w:hAnsi="Courier New"/>
                <w:sz w:val="12"/>
                <w:szCs w:val="12"/>
                <w:color w:val="auto"/>
                <w:w w:val="94"/>
              </w:rPr>
              <w:t>Income from unconsolidated investments......................................</w:t>
            </w:r>
          </w:p>
        </w:tc>
        <w:tc>
          <w:tcPr>
            <w:tcW w:w="1820" w:type="dxa"/>
            <w:vAlign w:val="bottom"/>
          </w:tcPr>
          <w:p>
            <w:pPr>
              <w:jc w:val="right"/>
              <w:ind w:right="298"/>
              <w:spacing w:after="0"/>
              <w:rPr>
                <w:sz w:val="20"/>
                <w:szCs w:val="20"/>
                <w:color w:val="auto"/>
              </w:rPr>
            </w:pPr>
            <w:r>
              <w:rPr>
                <w:rFonts w:ascii="Courier New" w:cs="Courier New" w:eastAsia="Courier New" w:hAnsi="Courier New"/>
                <w:sz w:val="12"/>
                <w:szCs w:val="12"/>
                <w:b w:val="1"/>
                <w:bCs w:val="1"/>
                <w:color w:val="auto"/>
              </w:rPr>
              <w:t>6,064</w:t>
            </w:r>
          </w:p>
        </w:tc>
        <w:tc>
          <w:tcPr>
            <w:tcW w:w="12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5,042</w:t>
            </w:r>
          </w:p>
        </w:tc>
      </w:tr>
      <w:tr>
        <w:trPr>
          <w:trHeight w:val="135"/>
        </w:trPr>
        <w:tc>
          <w:tcPr>
            <w:tcW w:w="5180" w:type="dxa"/>
            <w:vAlign w:val="bottom"/>
          </w:tcPr>
          <w:p>
            <w:pPr>
              <w:jc w:val="right"/>
              <w:spacing w:after="0"/>
              <w:rPr>
                <w:sz w:val="20"/>
                <w:szCs w:val="20"/>
                <w:color w:val="auto"/>
              </w:rPr>
            </w:pPr>
            <w:r>
              <w:rPr>
                <w:rFonts w:ascii="Courier New" w:cs="Courier New" w:eastAsia="Courier New" w:hAnsi="Courier New"/>
                <w:sz w:val="12"/>
                <w:szCs w:val="12"/>
                <w:color w:val="auto"/>
                <w:w w:val="94"/>
              </w:rPr>
              <w:t>Interest expense............................................................</w:t>
            </w:r>
          </w:p>
        </w:tc>
        <w:tc>
          <w:tcPr>
            <w:tcW w:w="1820" w:type="dxa"/>
            <w:vAlign w:val="bottom"/>
          </w:tcPr>
          <w:p>
            <w:pPr>
              <w:jc w:val="right"/>
              <w:ind w:right="218"/>
              <w:spacing w:after="0"/>
              <w:rPr>
                <w:sz w:val="20"/>
                <w:szCs w:val="20"/>
                <w:color w:val="auto"/>
              </w:rPr>
            </w:pPr>
            <w:r>
              <w:rPr>
                <w:rFonts w:ascii="Courier New" w:cs="Courier New" w:eastAsia="Courier New" w:hAnsi="Courier New"/>
                <w:sz w:val="12"/>
                <w:szCs w:val="12"/>
                <w:b w:val="1"/>
                <w:bCs w:val="1"/>
                <w:color w:val="auto"/>
              </w:rPr>
              <w:t>(20,800)</w:t>
            </w:r>
          </w:p>
        </w:tc>
        <w:tc>
          <w:tcPr>
            <w:tcW w:w="12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(18,650)</w:t>
            </w:r>
          </w:p>
        </w:tc>
      </w:tr>
      <w:tr>
        <w:trPr>
          <w:trHeight w:val="135"/>
        </w:trPr>
        <w:tc>
          <w:tcPr>
            <w:tcW w:w="5180" w:type="dxa"/>
            <w:vAlign w:val="bottom"/>
          </w:tcPr>
          <w:p>
            <w:pPr>
              <w:spacing w:after="0"/>
              <w:rPr>
                <w:sz w:val="11"/>
                <w:szCs w:val="11"/>
                <w:color w:val="auto"/>
              </w:rPr>
            </w:pPr>
          </w:p>
        </w:tc>
        <w:tc>
          <w:tcPr>
            <w:tcW w:w="182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1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w w:val="98"/>
              </w:rPr>
              <w:t>Net income...............................................................</w:t>
            </w:r>
          </w:p>
        </w:tc>
        <w:tc>
          <w:tcPr>
            <w:tcW w:w="1820" w:type="dxa"/>
            <w:vAlign w:val="bottom"/>
          </w:tcPr>
          <w:p>
            <w:pPr>
              <w:jc w:val="right"/>
              <w:ind w:right="298"/>
              <w:spacing w:after="0"/>
              <w:rPr>
                <w:sz w:val="20"/>
                <w:szCs w:val="20"/>
                <w:color w:val="auto"/>
              </w:rPr>
            </w:pPr>
            <w:r>
              <w:rPr>
                <w:rFonts w:ascii="Courier New" w:cs="Courier New" w:eastAsia="Courier New" w:hAnsi="Courier New"/>
                <w:sz w:val="12"/>
                <w:szCs w:val="12"/>
                <w:b w:val="1"/>
                <w:bCs w:val="1"/>
                <w:color w:val="auto"/>
              </w:rPr>
              <w:t>38,550</w:t>
            </w:r>
          </w:p>
        </w:tc>
        <w:tc>
          <w:tcPr>
            <w:tcW w:w="12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30,551</w:t>
            </w:r>
          </w:p>
        </w:tc>
      </w:tr>
      <w:tr>
        <w:trPr>
          <w:trHeight w:val="135"/>
        </w:trPr>
        <w:tc>
          <w:tcPr>
            <w:tcW w:w="5180" w:type="dxa"/>
            <w:vAlign w:val="bottom"/>
          </w:tcPr>
          <w:p>
            <w:pPr>
              <w:jc w:val="right"/>
              <w:spacing w:after="0"/>
              <w:rPr>
                <w:sz w:val="20"/>
                <w:szCs w:val="20"/>
                <w:color w:val="auto"/>
              </w:rPr>
            </w:pPr>
            <w:r>
              <w:rPr>
                <w:rFonts w:ascii="Courier New" w:cs="Courier New" w:eastAsia="Courier New" w:hAnsi="Courier New"/>
                <w:sz w:val="12"/>
                <w:szCs w:val="12"/>
                <w:color w:val="auto"/>
                <w:w w:val="94"/>
              </w:rPr>
              <w:t>Preferred unit requirement..................................................</w:t>
            </w:r>
          </w:p>
        </w:tc>
        <w:tc>
          <w:tcPr>
            <w:tcW w:w="1820" w:type="dxa"/>
            <w:vAlign w:val="bottom"/>
          </w:tcPr>
          <w:p>
            <w:pPr>
              <w:jc w:val="right"/>
              <w:ind w:right="298"/>
              <w:spacing w:after="0"/>
              <w:rPr>
                <w:sz w:val="20"/>
                <w:szCs w:val="20"/>
                <w:color w:val="auto"/>
              </w:rPr>
            </w:pPr>
            <w:r>
              <w:rPr>
                <w:rFonts w:ascii="Courier New" w:cs="Courier New" w:eastAsia="Courier New" w:hAnsi="Courier New"/>
                <w:sz w:val="12"/>
                <w:szCs w:val="12"/>
                <w:b w:val="1"/>
                <w:bCs w:val="1"/>
                <w:color w:val="auto"/>
              </w:rPr>
              <w:t>-</w:t>
            </w:r>
          </w:p>
        </w:tc>
        <w:tc>
          <w:tcPr>
            <w:tcW w:w="12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(2,296)</w:t>
            </w:r>
          </w:p>
        </w:tc>
      </w:tr>
      <w:tr>
        <w:trPr>
          <w:trHeight w:val="135"/>
        </w:trPr>
        <w:tc>
          <w:tcPr>
            <w:tcW w:w="5180" w:type="dxa"/>
            <w:vAlign w:val="bottom"/>
          </w:tcPr>
          <w:p>
            <w:pPr>
              <w:spacing w:after="0"/>
              <w:rPr>
                <w:sz w:val="11"/>
                <w:szCs w:val="11"/>
                <w:color w:val="auto"/>
              </w:rPr>
            </w:pPr>
          </w:p>
        </w:tc>
        <w:tc>
          <w:tcPr>
            <w:tcW w:w="182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1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w w:val="94"/>
              </w:rPr>
              <w:t>Net income available to common unitholders..................................</w:t>
            </w:r>
          </w:p>
        </w:tc>
        <w:tc>
          <w:tcPr>
            <w:tcW w:w="1820" w:type="dxa"/>
            <w:vAlign w:val="bottom"/>
          </w:tcPr>
          <w:p>
            <w:pPr>
              <w:jc w:val="right"/>
              <w:ind w:right="298"/>
              <w:spacing w:after="0"/>
              <w:rPr>
                <w:sz w:val="20"/>
                <w:szCs w:val="20"/>
                <w:color w:val="auto"/>
              </w:rPr>
            </w:pPr>
            <w:r>
              <w:rPr>
                <w:rFonts w:ascii="Courier New" w:cs="Courier New" w:eastAsia="Courier New" w:hAnsi="Courier New"/>
                <w:sz w:val="12"/>
                <w:szCs w:val="12"/>
                <w:b w:val="1"/>
                <w:bCs w:val="1"/>
                <w:color w:val="auto"/>
              </w:rPr>
              <w:t>$38,550</w:t>
            </w:r>
          </w:p>
        </w:tc>
        <w:tc>
          <w:tcPr>
            <w:tcW w:w="12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$28,255</w:t>
            </w:r>
          </w:p>
        </w:tc>
      </w:tr>
      <w:tr>
        <w:trPr>
          <w:trHeight w:val="137"/>
        </w:trPr>
        <w:tc>
          <w:tcPr>
            <w:tcW w:w="5180" w:type="dxa"/>
            <w:vAlign w:val="bottom"/>
          </w:tcPr>
          <w:p>
            <w:pPr>
              <w:spacing w:after="0"/>
              <w:rPr>
                <w:sz w:val="11"/>
                <w:szCs w:val="11"/>
                <w:color w:val="auto"/>
              </w:rPr>
            </w:pPr>
          </w:p>
        </w:tc>
        <w:tc>
          <w:tcPr>
            <w:tcW w:w="182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5180" w:type="dxa"/>
            <w:vAlign w:val="bottom"/>
          </w:tcPr>
          <w:p>
            <w:pPr>
              <w:spacing w:after="0"/>
              <w:rPr>
                <w:sz w:val="20"/>
                <w:szCs w:val="20"/>
                <w:color w:val="auto"/>
              </w:rPr>
            </w:pPr>
            <w:r>
              <w:rPr>
                <w:rFonts w:ascii="Courier New" w:cs="Courier New" w:eastAsia="Courier New" w:hAnsi="Courier New"/>
                <w:sz w:val="12"/>
                <w:szCs w:val="12"/>
                <w:b w:val="1"/>
                <w:bCs w:val="1"/>
                <w:color w:val="auto"/>
              </w:rPr>
              <w:t>Net income to common unitholders:</w:t>
            </w:r>
          </w:p>
        </w:tc>
        <w:tc>
          <w:tcPr>
            <w:tcW w:w="18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135"/>
        </w:trPr>
        <w:tc>
          <w:tcPr>
            <w:tcW w:w="5180" w:type="dxa"/>
            <w:vAlign w:val="bottom"/>
          </w:tcPr>
          <w:p>
            <w:pPr>
              <w:jc w:val="right"/>
              <w:spacing w:after="0"/>
              <w:rPr>
                <w:sz w:val="20"/>
                <w:szCs w:val="20"/>
                <w:color w:val="auto"/>
              </w:rPr>
            </w:pPr>
            <w:r>
              <w:rPr>
                <w:rFonts w:ascii="Courier New" w:cs="Courier New" w:eastAsia="Courier New" w:hAnsi="Courier New"/>
                <w:sz w:val="12"/>
                <w:szCs w:val="12"/>
                <w:color w:val="auto"/>
              </w:rPr>
              <w:t>General partner........................................................</w:t>
            </w:r>
          </w:p>
        </w:tc>
        <w:tc>
          <w:tcPr>
            <w:tcW w:w="1820" w:type="dxa"/>
            <w:vAlign w:val="bottom"/>
          </w:tcPr>
          <w:p>
            <w:pPr>
              <w:jc w:val="right"/>
              <w:ind w:right="298"/>
              <w:spacing w:after="0"/>
              <w:rPr>
                <w:sz w:val="20"/>
                <w:szCs w:val="20"/>
                <w:color w:val="auto"/>
              </w:rPr>
            </w:pPr>
            <w:r>
              <w:rPr>
                <w:rFonts w:ascii="Courier New" w:cs="Courier New" w:eastAsia="Courier New" w:hAnsi="Courier New"/>
                <w:sz w:val="12"/>
                <w:szCs w:val="12"/>
                <w:b w:val="1"/>
                <w:bCs w:val="1"/>
                <w:color w:val="auto"/>
              </w:rPr>
              <w:t>$32,540</w:t>
            </w:r>
          </w:p>
        </w:tc>
        <w:tc>
          <w:tcPr>
            <w:tcW w:w="12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$24,208</w:t>
            </w:r>
          </w:p>
        </w:tc>
      </w:tr>
      <w:tr>
        <w:trPr>
          <w:trHeight w:val="135"/>
        </w:trPr>
        <w:tc>
          <w:tcPr>
            <w:tcW w:w="5180" w:type="dxa"/>
            <w:vAlign w:val="bottom"/>
          </w:tcPr>
          <w:p>
            <w:pPr>
              <w:jc w:val="right"/>
              <w:spacing w:after="0"/>
              <w:rPr>
                <w:sz w:val="20"/>
                <w:szCs w:val="20"/>
                <w:color w:val="auto"/>
              </w:rPr>
            </w:pPr>
            <w:r>
              <w:rPr>
                <w:rFonts w:ascii="Courier New" w:cs="Courier New" w:eastAsia="Courier New" w:hAnsi="Courier New"/>
                <w:sz w:val="12"/>
                <w:szCs w:val="12"/>
                <w:color w:val="auto"/>
              </w:rPr>
              <w:t>Limited partners.......................................................</w:t>
            </w:r>
          </w:p>
        </w:tc>
        <w:tc>
          <w:tcPr>
            <w:tcW w:w="1820" w:type="dxa"/>
            <w:vAlign w:val="bottom"/>
          </w:tcPr>
          <w:p>
            <w:pPr>
              <w:jc w:val="right"/>
              <w:ind w:right="298"/>
              <w:spacing w:after="0"/>
              <w:rPr>
                <w:sz w:val="20"/>
                <w:szCs w:val="20"/>
                <w:color w:val="auto"/>
              </w:rPr>
            </w:pPr>
            <w:r>
              <w:rPr>
                <w:rFonts w:ascii="Courier New" w:cs="Courier New" w:eastAsia="Courier New" w:hAnsi="Courier New"/>
                <w:sz w:val="12"/>
                <w:szCs w:val="12"/>
                <w:b w:val="1"/>
                <w:bCs w:val="1"/>
                <w:color w:val="auto"/>
              </w:rPr>
              <w:t>6,010</w:t>
            </w:r>
          </w:p>
        </w:tc>
        <w:tc>
          <w:tcPr>
            <w:tcW w:w="12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4,047</w:t>
            </w:r>
          </w:p>
        </w:tc>
      </w:tr>
      <w:tr>
        <w:trPr>
          <w:trHeight w:val="135"/>
        </w:trPr>
        <w:tc>
          <w:tcPr>
            <w:tcW w:w="5180" w:type="dxa"/>
            <w:vAlign w:val="bottom"/>
          </w:tcPr>
          <w:p>
            <w:pPr>
              <w:spacing w:after="0"/>
              <w:rPr>
                <w:sz w:val="11"/>
                <w:szCs w:val="11"/>
                <w:color w:val="auto"/>
              </w:rPr>
            </w:pPr>
          </w:p>
        </w:tc>
        <w:tc>
          <w:tcPr>
            <w:tcW w:w="182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1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w w:val="94"/>
              </w:rPr>
              <w:t>Total.......................................................................</w:t>
            </w:r>
          </w:p>
        </w:tc>
        <w:tc>
          <w:tcPr>
            <w:tcW w:w="1820" w:type="dxa"/>
            <w:vAlign w:val="bottom"/>
          </w:tcPr>
          <w:p>
            <w:pPr>
              <w:jc w:val="right"/>
              <w:ind w:right="298"/>
              <w:spacing w:after="0"/>
              <w:rPr>
                <w:sz w:val="20"/>
                <w:szCs w:val="20"/>
                <w:color w:val="auto"/>
              </w:rPr>
            </w:pPr>
            <w:r>
              <w:rPr>
                <w:rFonts w:ascii="Courier New" w:cs="Courier New" w:eastAsia="Courier New" w:hAnsi="Courier New"/>
                <w:sz w:val="12"/>
                <w:szCs w:val="12"/>
                <w:b w:val="1"/>
                <w:bCs w:val="1"/>
                <w:color w:val="auto"/>
              </w:rPr>
              <w:t>$38,550</w:t>
            </w:r>
          </w:p>
        </w:tc>
        <w:tc>
          <w:tcPr>
            <w:tcW w:w="12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$28,255</w:t>
            </w:r>
          </w:p>
        </w:tc>
      </w:tr>
      <w:tr>
        <w:trPr>
          <w:trHeight w:val="137"/>
        </w:trPr>
        <w:tc>
          <w:tcPr>
            <w:tcW w:w="5180" w:type="dxa"/>
            <w:vAlign w:val="bottom"/>
          </w:tcPr>
          <w:p>
            <w:pPr>
              <w:spacing w:after="0"/>
              <w:rPr>
                <w:sz w:val="11"/>
                <w:szCs w:val="11"/>
                <w:color w:val="auto"/>
              </w:rPr>
            </w:pPr>
          </w:p>
        </w:tc>
        <w:tc>
          <w:tcPr>
            <w:tcW w:w="182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5180" w:type="dxa"/>
            <w:vAlign w:val="bottom"/>
          </w:tcPr>
          <w:p>
            <w:pPr>
              <w:spacing w:after="0"/>
              <w:rPr>
                <w:sz w:val="20"/>
                <w:szCs w:val="20"/>
                <w:color w:val="auto"/>
              </w:rPr>
            </w:pPr>
            <w:r>
              <w:rPr>
                <w:rFonts w:ascii="Courier New" w:cs="Courier New" w:eastAsia="Courier New" w:hAnsi="Courier New"/>
                <w:sz w:val="12"/>
                <w:szCs w:val="12"/>
                <w:b w:val="1"/>
                <w:bCs w:val="1"/>
                <w:color w:val="auto"/>
              </w:rPr>
              <w:t>Net income per common unit:</w:t>
            </w:r>
          </w:p>
        </w:tc>
        <w:tc>
          <w:tcPr>
            <w:tcW w:w="18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135"/>
        </w:trPr>
        <w:tc>
          <w:tcPr>
            <w:tcW w:w="5180" w:type="dxa"/>
            <w:vAlign w:val="bottom"/>
          </w:tcPr>
          <w:p>
            <w:pPr>
              <w:jc w:val="right"/>
              <w:spacing w:after="0"/>
              <w:rPr>
                <w:sz w:val="20"/>
                <w:szCs w:val="20"/>
                <w:color w:val="auto"/>
              </w:rPr>
            </w:pPr>
            <w:r>
              <w:rPr>
                <w:rFonts w:ascii="Courier New" w:cs="Courier New" w:eastAsia="Courier New" w:hAnsi="Courier New"/>
                <w:sz w:val="12"/>
                <w:szCs w:val="12"/>
                <w:color w:val="auto"/>
              </w:rPr>
              <w:t>General partner........................................................</w:t>
            </w:r>
          </w:p>
        </w:tc>
        <w:tc>
          <w:tcPr>
            <w:tcW w:w="1820" w:type="dxa"/>
            <w:vAlign w:val="bottom"/>
          </w:tcPr>
          <w:p>
            <w:pPr>
              <w:jc w:val="right"/>
              <w:ind w:right="298"/>
              <w:spacing w:after="0"/>
              <w:rPr>
                <w:sz w:val="20"/>
                <w:szCs w:val="20"/>
                <w:color w:val="auto"/>
              </w:rPr>
            </w:pPr>
            <w:r>
              <w:rPr>
                <w:rFonts w:ascii="Courier New" w:cs="Courier New" w:eastAsia="Courier New" w:hAnsi="Courier New"/>
                <w:sz w:val="12"/>
                <w:szCs w:val="12"/>
                <w:b w:val="1"/>
                <w:bCs w:val="1"/>
                <w:color w:val="auto"/>
              </w:rPr>
              <w:t>$0.74</w:t>
            </w:r>
          </w:p>
        </w:tc>
        <w:tc>
          <w:tcPr>
            <w:tcW w:w="12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$0.55</w:t>
            </w:r>
          </w:p>
        </w:tc>
      </w:tr>
      <w:tr>
        <w:trPr>
          <w:trHeight w:val="137"/>
        </w:trPr>
        <w:tc>
          <w:tcPr>
            <w:tcW w:w="5180" w:type="dxa"/>
            <w:vAlign w:val="bottom"/>
          </w:tcPr>
          <w:p>
            <w:pPr>
              <w:jc w:val="right"/>
              <w:spacing w:after="0"/>
              <w:rPr>
                <w:sz w:val="20"/>
                <w:szCs w:val="20"/>
                <w:color w:val="auto"/>
              </w:rPr>
            </w:pPr>
            <w:r>
              <w:rPr>
                <w:rFonts w:ascii="Courier New" w:cs="Courier New" w:eastAsia="Courier New" w:hAnsi="Courier New"/>
                <w:sz w:val="12"/>
                <w:szCs w:val="12"/>
                <w:color w:val="auto"/>
              </w:rPr>
              <w:t>Limited partners.......................................................</w:t>
            </w:r>
          </w:p>
        </w:tc>
        <w:tc>
          <w:tcPr>
            <w:tcW w:w="1820" w:type="dxa"/>
            <w:vAlign w:val="bottom"/>
          </w:tcPr>
          <w:p>
            <w:pPr>
              <w:jc w:val="right"/>
              <w:ind w:right="298"/>
              <w:spacing w:after="0"/>
              <w:rPr>
                <w:sz w:val="20"/>
                <w:szCs w:val="20"/>
                <w:color w:val="auto"/>
              </w:rPr>
            </w:pPr>
            <w:r>
              <w:rPr>
                <w:rFonts w:ascii="Courier New" w:cs="Courier New" w:eastAsia="Courier New" w:hAnsi="Courier New"/>
                <w:sz w:val="12"/>
                <w:szCs w:val="12"/>
                <w:b w:val="1"/>
                <w:bCs w:val="1"/>
                <w:color w:val="auto"/>
              </w:rPr>
              <w:t>$0.74</w:t>
            </w:r>
          </w:p>
        </w:tc>
        <w:tc>
          <w:tcPr>
            <w:tcW w:w="12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$0.55</w:t>
            </w:r>
          </w:p>
        </w:tc>
      </w:tr>
      <w:tr>
        <w:trPr>
          <w:trHeight w:val="268"/>
        </w:trPr>
        <w:tc>
          <w:tcPr>
            <w:tcW w:w="5180" w:type="dxa"/>
            <w:vAlign w:val="bottom"/>
          </w:tcPr>
          <w:p>
            <w:pPr>
              <w:spacing w:after="0"/>
              <w:rPr>
                <w:sz w:val="20"/>
                <w:szCs w:val="20"/>
                <w:color w:val="auto"/>
              </w:rPr>
            </w:pPr>
            <w:r>
              <w:rPr>
                <w:rFonts w:ascii="Courier New" w:cs="Courier New" w:eastAsia="Courier New" w:hAnsi="Courier New"/>
                <w:sz w:val="12"/>
                <w:szCs w:val="12"/>
                <w:b w:val="1"/>
                <w:bCs w:val="1"/>
                <w:color w:val="auto"/>
              </w:rPr>
              <w:t>Weighted average units outstanding:</w:t>
            </w:r>
          </w:p>
        </w:tc>
        <w:tc>
          <w:tcPr>
            <w:tcW w:w="18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135"/>
        </w:trPr>
        <w:tc>
          <w:tcPr>
            <w:tcW w:w="5180" w:type="dxa"/>
            <w:vAlign w:val="bottom"/>
          </w:tcPr>
          <w:p>
            <w:pPr>
              <w:jc w:val="right"/>
              <w:spacing w:after="0"/>
              <w:rPr>
                <w:sz w:val="20"/>
                <w:szCs w:val="20"/>
                <w:color w:val="auto"/>
              </w:rPr>
            </w:pPr>
            <w:r>
              <w:rPr>
                <w:rFonts w:ascii="Courier New" w:cs="Courier New" w:eastAsia="Courier New" w:hAnsi="Courier New"/>
                <w:sz w:val="12"/>
                <w:szCs w:val="12"/>
                <w:color w:val="auto"/>
              </w:rPr>
              <w:t>General partner........................................................</w:t>
            </w:r>
          </w:p>
        </w:tc>
        <w:tc>
          <w:tcPr>
            <w:tcW w:w="1820" w:type="dxa"/>
            <w:vAlign w:val="bottom"/>
          </w:tcPr>
          <w:p>
            <w:pPr>
              <w:jc w:val="right"/>
              <w:ind w:right="298"/>
              <w:spacing w:after="0"/>
              <w:rPr>
                <w:sz w:val="20"/>
                <w:szCs w:val="20"/>
                <w:color w:val="auto"/>
              </w:rPr>
            </w:pPr>
            <w:r>
              <w:rPr>
                <w:rFonts w:ascii="Courier New" w:cs="Courier New" w:eastAsia="Courier New" w:hAnsi="Courier New"/>
                <w:sz w:val="12"/>
                <w:szCs w:val="12"/>
                <w:b w:val="1"/>
                <w:bCs w:val="1"/>
                <w:color w:val="auto"/>
              </w:rPr>
              <w:t>44,206</w:t>
            </w:r>
          </w:p>
        </w:tc>
        <w:tc>
          <w:tcPr>
            <w:tcW w:w="12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43,746</w:t>
            </w:r>
          </w:p>
        </w:tc>
      </w:tr>
      <w:tr>
        <w:trPr>
          <w:trHeight w:val="135"/>
        </w:trPr>
        <w:tc>
          <w:tcPr>
            <w:tcW w:w="5180" w:type="dxa"/>
            <w:vAlign w:val="bottom"/>
          </w:tcPr>
          <w:p>
            <w:pPr>
              <w:jc w:val="right"/>
              <w:spacing w:after="0"/>
              <w:rPr>
                <w:sz w:val="20"/>
                <w:szCs w:val="20"/>
                <w:color w:val="auto"/>
              </w:rPr>
            </w:pPr>
            <w:r>
              <w:rPr>
                <w:rFonts w:ascii="Courier New" w:cs="Courier New" w:eastAsia="Courier New" w:hAnsi="Courier New"/>
                <w:sz w:val="12"/>
                <w:szCs w:val="12"/>
                <w:color w:val="auto"/>
              </w:rPr>
              <w:t>Limited partners.......................................................</w:t>
            </w:r>
          </w:p>
        </w:tc>
        <w:tc>
          <w:tcPr>
            <w:tcW w:w="1820" w:type="dxa"/>
            <w:vAlign w:val="bottom"/>
          </w:tcPr>
          <w:p>
            <w:pPr>
              <w:jc w:val="right"/>
              <w:ind w:right="298"/>
              <w:spacing w:after="0"/>
              <w:rPr>
                <w:sz w:val="20"/>
                <w:szCs w:val="20"/>
                <w:color w:val="auto"/>
              </w:rPr>
            </w:pPr>
            <w:r>
              <w:rPr>
                <w:rFonts w:ascii="Courier New" w:cs="Courier New" w:eastAsia="Courier New" w:hAnsi="Courier New"/>
                <w:sz w:val="12"/>
                <w:szCs w:val="12"/>
                <w:b w:val="1"/>
                <w:bCs w:val="1"/>
                <w:color w:val="auto"/>
              </w:rPr>
              <w:t>8,164</w:t>
            </w:r>
          </w:p>
        </w:tc>
        <w:tc>
          <w:tcPr>
            <w:tcW w:w="12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7,314</w:t>
            </w:r>
          </w:p>
        </w:tc>
      </w:tr>
      <w:tr>
        <w:trPr>
          <w:trHeight w:val="135"/>
        </w:trPr>
        <w:tc>
          <w:tcPr>
            <w:tcW w:w="5180" w:type="dxa"/>
            <w:vAlign w:val="bottom"/>
          </w:tcPr>
          <w:p>
            <w:pPr>
              <w:spacing w:after="0"/>
              <w:rPr>
                <w:sz w:val="11"/>
                <w:szCs w:val="11"/>
                <w:color w:val="auto"/>
              </w:rPr>
            </w:pPr>
          </w:p>
        </w:tc>
        <w:tc>
          <w:tcPr>
            <w:tcW w:w="182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51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w w:val="94"/>
              </w:rPr>
              <w:t>Total.......................................................................</w:t>
            </w:r>
          </w:p>
        </w:tc>
        <w:tc>
          <w:tcPr>
            <w:tcW w:w="1820" w:type="dxa"/>
            <w:vAlign w:val="bottom"/>
          </w:tcPr>
          <w:p>
            <w:pPr>
              <w:jc w:val="right"/>
              <w:ind w:right="298"/>
              <w:spacing w:after="0"/>
              <w:rPr>
                <w:sz w:val="20"/>
                <w:szCs w:val="20"/>
                <w:color w:val="auto"/>
              </w:rPr>
            </w:pPr>
            <w:r>
              <w:rPr>
                <w:rFonts w:ascii="Courier New" w:cs="Courier New" w:eastAsia="Courier New" w:hAnsi="Courier New"/>
                <w:sz w:val="12"/>
                <w:szCs w:val="12"/>
                <w:b w:val="1"/>
                <w:bCs w:val="1"/>
                <w:color w:val="auto"/>
              </w:rPr>
              <w:t>52,370</w:t>
            </w:r>
          </w:p>
        </w:tc>
        <w:tc>
          <w:tcPr>
            <w:tcW w:w="12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51,060</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accompanying notes are an integral part of the financial statements.</w:t>
      </w:r>
    </w:p>
    <w:p>
      <w:pPr>
        <w:spacing w:after="0" w:line="190"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3680" w:type="dxa"/>
            <w:vAlign w:val="bottom"/>
          </w:tcPr>
          <w:p>
            <w:pPr>
              <w:spacing w:after="0"/>
              <w:rPr>
                <w:sz w:val="21"/>
                <w:szCs w:val="21"/>
                <w:color w:val="auto"/>
              </w:rPr>
            </w:pPr>
          </w:p>
        </w:tc>
        <w:tc>
          <w:tcPr>
            <w:tcW w:w="2920" w:type="dxa"/>
            <w:vAlign w:val="bottom"/>
          </w:tcPr>
          <w:p>
            <w:pPr>
              <w:jc w:val="center"/>
              <w:ind w:left="629"/>
              <w:spacing w:after="0"/>
              <w:rPr>
                <w:sz w:val="20"/>
                <w:szCs w:val="20"/>
                <w:color w:val="auto"/>
              </w:rPr>
            </w:pPr>
            <w:r>
              <w:rPr>
                <w:rFonts w:ascii="Arial" w:cs="Arial" w:eastAsia="Arial" w:hAnsi="Arial"/>
                <w:sz w:val="22"/>
                <w:szCs w:val="22"/>
                <w:b w:val="1"/>
                <w:bCs w:val="1"/>
                <w:color w:val="auto"/>
                <w:w w:val="90"/>
              </w:rPr>
              <w:t>CPG Partners, L.P.</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1"/>
                <w:szCs w:val="21"/>
                <w:color w:val="auto"/>
              </w:rPr>
            </w:pPr>
          </w:p>
        </w:tc>
        <w:tc>
          <w:tcPr>
            <w:tcW w:w="4420" w:type="dxa"/>
            <w:vAlign w:val="bottom"/>
            <w:gridSpan w:val="2"/>
          </w:tcPr>
          <w:p>
            <w:pPr>
              <w:jc w:val="center"/>
              <w:ind w:right="719"/>
              <w:spacing w:after="0" w:line="243" w:lineRule="exact"/>
              <w:rPr>
                <w:sz w:val="20"/>
                <w:szCs w:val="20"/>
                <w:color w:val="auto"/>
              </w:rPr>
            </w:pPr>
            <w:r>
              <w:rPr>
                <w:rFonts w:ascii="Arial" w:cs="Arial" w:eastAsia="Arial" w:hAnsi="Arial"/>
                <w:sz w:val="22"/>
                <w:szCs w:val="22"/>
                <w:b w:val="1"/>
                <w:bCs w:val="1"/>
                <w:color w:val="auto"/>
                <w:w w:val="86"/>
              </w:rPr>
              <w:t>Consolidated Statements of Cash Flows</w:t>
            </w:r>
          </w:p>
        </w:tc>
        <w:tc>
          <w:tcPr>
            <w:tcW w:w="0" w:type="dxa"/>
            <w:vAlign w:val="bottom"/>
          </w:tcPr>
          <w:p>
            <w:pPr>
              <w:spacing w:after="0"/>
              <w:rPr>
                <w:sz w:val="1"/>
                <w:szCs w:val="1"/>
                <w:color w:val="auto"/>
              </w:rPr>
            </w:pPr>
          </w:p>
        </w:tc>
      </w:tr>
      <w:tr>
        <w:trPr>
          <w:trHeight w:val="249"/>
        </w:trPr>
        <w:tc>
          <w:tcPr>
            <w:tcW w:w="8100" w:type="dxa"/>
            <w:vAlign w:val="bottom"/>
            <w:gridSpan w:val="3"/>
          </w:tcPr>
          <w:p>
            <w:pPr>
              <w:jc w:val="center"/>
              <w:ind w:left="2816"/>
              <w:spacing w:after="0" w:line="249" w:lineRule="exact"/>
              <w:rPr>
                <w:sz w:val="20"/>
                <w:szCs w:val="20"/>
                <w:color w:val="auto"/>
              </w:rPr>
            </w:pPr>
            <w:r>
              <w:rPr>
                <w:rFonts w:ascii="Arial" w:cs="Arial" w:eastAsia="Arial" w:hAnsi="Arial"/>
                <w:sz w:val="22"/>
                <w:szCs w:val="22"/>
                <w:b w:val="1"/>
                <w:bCs w:val="1"/>
                <w:color w:val="auto"/>
                <w:w w:val="90"/>
              </w:rPr>
              <w:t>for the Three Months Ended March 31, 2005 and 2004</w:t>
            </w: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2920" w:type="dxa"/>
            <w:vAlign w:val="bottom"/>
          </w:tcPr>
          <w:p>
            <w:pPr>
              <w:jc w:val="center"/>
              <w:ind w:left="649"/>
              <w:spacing w:after="0" w:line="237" w:lineRule="exact"/>
              <w:rPr>
                <w:sz w:val="20"/>
                <w:szCs w:val="20"/>
                <w:color w:val="auto"/>
              </w:rPr>
            </w:pPr>
            <w:r>
              <w:rPr>
                <w:rFonts w:ascii="Arial" w:cs="Arial" w:eastAsia="Arial" w:hAnsi="Arial"/>
                <w:sz w:val="22"/>
                <w:szCs w:val="22"/>
                <w:b w:val="1"/>
                <w:bCs w:val="1"/>
                <w:i w:val="1"/>
                <w:iCs w:val="1"/>
                <w:color w:val="auto"/>
                <w:w w:val="88"/>
              </w:rPr>
              <w:t>(Unaudited)</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3680" w:type="dxa"/>
            <w:vAlign w:val="bottom"/>
          </w:tcPr>
          <w:p>
            <w:pPr>
              <w:spacing w:after="0"/>
              <w:rPr>
                <w:sz w:val="24"/>
                <w:szCs w:val="24"/>
                <w:color w:val="auto"/>
              </w:rPr>
            </w:pPr>
          </w:p>
        </w:tc>
        <w:tc>
          <w:tcPr>
            <w:tcW w:w="2920" w:type="dxa"/>
            <w:vAlign w:val="bottom"/>
          </w:tcPr>
          <w:p>
            <w:pPr>
              <w:jc w:val="center"/>
              <w:ind w:left="629"/>
              <w:spacing w:after="0"/>
              <w:rPr>
                <w:sz w:val="20"/>
                <w:szCs w:val="20"/>
                <w:color w:val="auto"/>
              </w:rPr>
            </w:pPr>
            <w:r>
              <w:rPr>
                <w:rFonts w:ascii="Arial" w:cs="Arial" w:eastAsia="Arial" w:hAnsi="Arial"/>
                <w:sz w:val="22"/>
                <w:szCs w:val="22"/>
                <w:b w:val="1"/>
                <w:bCs w:val="1"/>
                <w:color w:val="auto"/>
                <w:w w:val="88"/>
              </w:rPr>
              <w:t>(In thousands)</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3680" w:type="dxa"/>
            <w:vAlign w:val="bottom"/>
          </w:tcPr>
          <w:p>
            <w:pPr>
              <w:spacing w:after="0"/>
              <w:rPr>
                <w:sz w:val="24"/>
                <w:szCs w:val="24"/>
                <w:color w:val="auto"/>
              </w:rPr>
            </w:pPr>
          </w:p>
        </w:tc>
        <w:tc>
          <w:tcPr>
            <w:tcW w:w="2920" w:type="dxa"/>
            <w:vAlign w:val="bottom"/>
          </w:tcPr>
          <w:p>
            <w:pPr>
              <w:jc w:val="right"/>
              <w:ind w:right="829"/>
              <w:spacing w:after="0"/>
              <w:rPr>
                <w:sz w:val="20"/>
                <w:szCs w:val="20"/>
                <w:color w:val="auto"/>
              </w:rPr>
            </w:pPr>
            <w:r>
              <w:rPr>
                <w:rFonts w:ascii="Courier New" w:cs="Courier New" w:eastAsia="Courier New" w:hAnsi="Courier New"/>
                <w:sz w:val="12"/>
                <w:szCs w:val="12"/>
                <w:b w:val="1"/>
                <w:bCs w:val="1"/>
                <w:color w:val="auto"/>
              </w:rPr>
              <w:t>2005</w:t>
            </w:r>
          </w:p>
        </w:tc>
        <w:tc>
          <w:tcPr>
            <w:tcW w:w="1500" w:type="dxa"/>
            <w:vAlign w:val="bottom"/>
          </w:tcPr>
          <w:p>
            <w:pPr>
              <w:jc w:val="right"/>
              <w:ind w:right="659"/>
              <w:spacing w:after="0"/>
              <w:rPr>
                <w:sz w:val="20"/>
                <w:szCs w:val="20"/>
                <w:color w:val="auto"/>
              </w:rPr>
            </w:pPr>
            <w:r>
              <w:rPr>
                <w:rFonts w:ascii="Courier New" w:cs="Courier New" w:eastAsia="Courier New" w:hAnsi="Courier New"/>
                <w:sz w:val="12"/>
                <w:szCs w:val="12"/>
                <w:b w:val="1"/>
                <w:bCs w:val="1"/>
                <w:color w:val="auto"/>
              </w:rPr>
              <w:t>2004</w:t>
            </w:r>
          </w:p>
        </w:tc>
        <w:tc>
          <w:tcPr>
            <w:tcW w:w="0" w:type="dxa"/>
            <w:vAlign w:val="bottom"/>
          </w:tcPr>
          <w:p>
            <w:pPr>
              <w:spacing w:after="0"/>
              <w:rPr>
                <w:sz w:val="1"/>
                <w:szCs w:val="1"/>
                <w:color w:val="auto"/>
              </w:rPr>
            </w:pPr>
          </w:p>
        </w:tc>
      </w:tr>
      <w:tr>
        <w:trPr>
          <w:trHeight w:val="137"/>
        </w:trPr>
        <w:tc>
          <w:tcPr>
            <w:tcW w:w="3680" w:type="dxa"/>
            <w:vAlign w:val="bottom"/>
            <w:vMerge w:val="restart"/>
          </w:tcPr>
          <w:p>
            <w:pPr>
              <w:jc w:val="right"/>
              <w:ind w:right="976"/>
              <w:spacing w:after="0"/>
              <w:rPr>
                <w:sz w:val="20"/>
                <w:szCs w:val="20"/>
                <w:color w:val="auto"/>
              </w:rPr>
            </w:pPr>
            <w:r>
              <w:rPr>
                <w:rFonts w:ascii="Courier New" w:cs="Courier New" w:eastAsia="Courier New" w:hAnsi="Courier New"/>
                <w:sz w:val="12"/>
                <w:szCs w:val="12"/>
                <w:b w:val="1"/>
                <w:bCs w:val="1"/>
                <w:color w:val="auto"/>
              </w:rPr>
              <w:t>Cash flows from operating activities</w:t>
            </w:r>
          </w:p>
        </w:tc>
        <w:tc>
          <w:tcPr>
            <w:tcW w:w="2920" w:type="dxa"/>
            <w:vAlign w:val="bottom"/>
          </w:tcPr>
          <w:p>
            <w:pPr>
              <w:jc w:val="right"/>
              <w:ind w:right="389"/>
              <w:spacing w:after="0"/>
              <w:rPr>
                <w:sz w:val="20"/>
                <w:szCs w:val="20"/>
                <w:color w:val="auto"/>
              </w:rPr>
            </w:pPr>
            <w:r>
              <w:rPr>
                <w:rFonts w:ascii="Courier New" w:cs="Courier New" w:eastAsia="Courier New" w:hAnsi="Courier New"/>
                <w:sz w:val="12"/>
                <w:szCs w:val="12"/>
                <w:b w:val="1"/>
                <w:bCs w:val="1"/>
                <w:color w:val="auto"/>
              </w:rPr>
              <w:t>----------------</w:t>
            </w:r>
          </w:p>
        </w:tc>
        <w:tc>
          <w:tcPr>
            <w:tcW w:w="150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w:t>
            </w:r>
          </w:p>
        </w:tc>
        <w:tc>
          <w:tcPr>
            <w:tcW w:w="0" w:type="dxa"/>
            <w:vAlign w:val="bottom"/>
          </w:tcPr>
          <w:p>
            <w:pPr>
              <w:spacing w:after="0"/>
              <w:rPr>
                <w:sz w:val="1"/>
                <w:szCs w:val="1"/>
                <w:color w:val="auto"/>
              </w:rPr>
            </w:pPr>
          </w:p>
        </w:tc>
      </w:tr>
      <w:tr>
        <w:trPr>
          <w:trHeight w:val="133"/>
        </w:trPr>
        <w:tc>
          <w:tcPr>
            <w:tcW w:w="3680" w:type="dxa"/>
            <w:vAlign w:val="bottom"/>
            <w:vMerge w:val="continue"/>
          </w:tcPr>
          <w:p>
            <w:pPr>
              <w:spacing w:after="0"/>
              <w:rPr>
                <w:sz w:val="11"/>
                <w:szCs w:val="11"/>
                <w:color w:val="auto"/>
              </w:rPr>
            </w:pPr>
          </w:p>
        </w:tc>
        <w:tc>
          <w:tcPr>
            <w:tcW w:w="29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jc w:val="right"/>
              <w:spacing w:after="0"/>
              <w:rPr>
                <w:sz w:val="20"/>
                <w:szCs w:val="20"/>
                <w:color w:val="auto"/>
              </w:rPr>
            </w:pPr>
            <w:r>
              <w:rPr>
                <w:rFonts w:ascii="Courier New" w:cs="Courier New" w:eastAsia="Courier New" w:hAnsi="Courier New"/>
                <w:sz w:val="12"/>
                <w:szCs w:val="12"/>
                <w:color w:val="auto"/>
                <w:w w:val="79"/>
              </w:rPr>
              <w:t>Net income......................................................</w:t>
            </w:r>
          </w:p>
        </w:tc>
        <w:tc>
          <w:tcPr>
            <w:tcW w:w="2920" w:type="dxa"/>
            <w:vAlign w:val="bottom"/>
          </w:tcPr>
          <w:p>
            <w:pPr>
              <w:jc w:val="right"/>
              <w:ind w:right="769"/>
              <w:spacing w:after="0"/>
              <w:rPr>
                <w:sz w:val="20"/>
                <w:szCs w:val="20"/>
                <w:color w:val="auto"/>
              </w:rPr>
            </w:pPr>
            <w:r>
              <w:rPr>
                <w:rFonts w:ascii="Courier New" w:cs="Courier New" w:eastAsia="Courier New" w:hAnsi="Courier New"/>
                <w:sz w:val="12"/>
                <w:szCs w:val="12"/>
                <w:b w:val="1"/>
                <w:bCs w:val="1"/>
                <w:color w:val="auto"/>
              </w:rPr>
              <w:t>$38,550</w:t>
            </w:r>
          </w:p>
        </w:tc>
        <w:tc>
          <w:tcPr>
            <w:tcW w:w="150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$30,551</w:t>
            </w:r>
          </w:p>
        </w:tc>
        <w:tc>
          <w:tcPr>
            <w:tcW w:w="0" w:type="dxa"/>
            <w:vAlign w:val="bottom"/>
          </w:tcPr>
          <w:p>
            <w:pPr>
              <w:spacing w:after="0"/>
              <w:rPr>
                <w:sz w:val="1"/>
                <w:szCs w:val="1"/>
                <w:color w:val="auto"/>
              </w:rPr>
            </w:pPr>
          </w:p>
        </w:tc>
      </w:tr>
      <w:tr>
        <w:trPr>
          <w:trHeight w:val="135"/>
        </w:trPr>
        <w:tc>
          <w:tcPr>
            <w:tcW w:w="3680" w:type="dxa"/>
            <w:vAlign w:val="bottom"/>
          </w:tcPr>
          <w:p>
            <w:pPr>
              <w:jc w:val="right"/>
              <w:ind w:right="176"/>
              <w:spacing w:after="0"/>
              <w:rPr>
                <w:sz w:val="20"/>
                <w:szCs w:val="20"/>
                <w:color w:val="auto"/>
              </w:rPr>
            </w:pPr>
            <w:r>
              <w:rPr>
                <w:rFonts w:ascii="Courier New" w:cs="Courier New" w:eastAsia="Courier New" w:hAnsi="Courier New"/>
                <w:sz w:val="12"/>
                <w:szCs w:val="12"/>
                <w:color w:val="auto"/>
              </w:rPr>
              <w:t>Adjustments to reconcile net income to net cash</w:t>
            </w:r>
          </w:p>
        </w:tc>
        <w:tc>
          <w:tcPr>
            <w:tcW w:w="29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jc w:val="right"/>
              <w:ind w:right="976"/>
              <w:spacing w:after="0"/>
              <w:rPr>
                <w:sz w:val="20"/>
                <w:szCs w:val="20"/>
                <w:color w:val="auto"/>
              </w:rPr>
            </w:pPr>
            <w:r>
              <w:rPr>
                <w:rFonts w:ascii="Courier New" w:cs="Courier New" w:eastAsia="Courier New" w:hAnsi="Courier New"/>
                <w:sz w:val="12"/>
                <w:szCs w:val="12"/>
                <w:color w:val="auto"/>
              </w:rPr>
              <w:t>provided by operating activities:</w:t>
            </w:r>
          </w:p>
        </w:tc>
        <w:tc>
          <w:tcPr>
            <w:tcW w:w="29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jc w:val="right"/>
              <w:spacing w:after="0"/>
              <w:rPr>
                <w:sz w:val="20"/>
                <w:szCs w:val="20"/>
                <w:color w:val="auto"/>
              </w:rPr>
            </w:pPr>
            <w:r>
              <w:rPr>
                <w:rFonts w:ascii="Courier New" w:cs="Courier New" w:eastAsia="Courier New" w:hAnsi="Courier New"/>
                <w:sz w:val="12"/>
                <w:szCs w:val="12"/>
                <w:color w:val="auto"/>
                <w:w w:val="83"/>
              </w:rPr>
              <w:t>Depreciation and amortization................................</w:t>
            </w:r>
          </w:p>
        </w:tc>
        <w:tc>
          <w:tcPr>
            <w:tcW w:w="2920" w:type="dxa"/>
            <w:vAlign w:val="bottom"/>
          </w:tcPr>
          <w:p>
            <w:pPr>
              <w:jc w:val="right"/>
              <w:ind w:right="769"/>
              <w:spacing w:after="0"/>
              <w:rPr>
                <w:sz w:val="20"/>
                <w:szCs w:val="20"/>
                <w:color w:val="auto"/>
              </w:rPr>
            </w:pPr>
            <w:r>
              <w:rPr>
                <w:rFonts w:ascii="Courier New" w:cs="Courier New" w:eastAsia="Courier New" w:hAnsi="Courier New"/>
                <w:sz w:val="12"/>
                <w:szCs w:val="12"/>
                <w:b w:val="1"/>
                <w:bCs w:val="1"/>
                <w:color w:val="auto"/>
              </w:rPr>
              <w:t>18,950</w:t>
            </w:r>
          </w:p>
        </w:tc>
        <w:tc>
          <w:tcPr>
            <w:tcW w:w="150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17,816</w:t>
            </w:r>
          </w:p>
        </w:tc>
        <w:tc>
          <w:tcPr>
            <w:tcW w:w="0" w:type="dxa"/>
            <w:vAlign w:val="bottom"/>
          </w:tcPr>
          <w:p>
            <w:pPr>
              <w:spacing w:after="0"/>
              <w:rPr>
                <w:sz w:val="1"/>
                <w:szCs w:val="1"/>
                <w:color w:val="auto"/>
              </w:rPr>
            </w:pPr>
          </w:p>
        </w:tc>
      </w:tr>
      <w:tr>
        <w:trPr>
          <w:trHeight w:val="135"/>
        </w:trPr>
        <w:tc>
          <w:tcPr>
            <w:tcW w:w="6600" w:type="dxa"/>
            <w:vAlign w:val="bottom"/>
            <w:gridSpan w:val="2"/>
          </w:tcPr>
          <w:p>
            <w:pPr>
              <w:jc w:val="right"/>
              <w:ind w:right="2589"/>
              <w:spacing w:after="0"/>
              <w:rPr>
                <w:sz w:val="20"/>
                <w:szCs w:val="20"/>
                <w:color w:val="auto"/>
              </w:rPr>
            </w:pPr>
            <w:r>
              <w:rPr>
                <w:rFonts w:ascii="Courier New" w:cs="Courier New" w:eastAsia="Courier New" w:hAnsi="Courier New"/>
                <w:sz w:val="12"/>
                <w:szCs w:val="12"/>
                <w:color w:val="auto"/>
              </w:rPr>
              <w:t>Equity in earnings of unconsolidated investments in</w:t>
            </w: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jc w:val="right"/>
              <w:spacing w:after="0"/>
              <w:rPr>
                <w:sz w:val="20"/>
                <w:szCs w:val="20"/>
                <w:color w:val="auto"/>
              </w:rPr>
            </w:pPr>
            <w:r>
              <w:rPr>
                <w:rFonts w:ascii="Courier New" w:cs="Courier New" w:eastAsia="Courier New" w:hAnsi="Courier New"/>
                <w:sz w:val="12"/>
                <w:szCs w:val="12"/>
                <w:color w:val="auto"/>
                <w:w w:val="95"/>
              </w:rPr>
              <w:t>excess of distributions..............................</w:t>
            </w:r>
          </w:p>
        </w:tc>
        <w:tc>
          <w:tcPr>
            <w:tcW w:w="2920" w:type="dxa"/>
            <w:vAlign w:val="bottom"/>
          </w:tcPr>
          <w:p>
            <w:pPr>
              <w:jc w:val="right"/>
              <w:ind w:right="689"/>
              <w:spacing w:after="0"/>
              <w:rPr>
                <w:sz w:val="20"/>
                <w:szCs w:val="20"/>
                <w:color w:val="auto"/>
              </w:rPr>
            </w:pPr>
            <w:r>
              <w:rPr>
                <w:rFonts w:ascii="Courier New" w:cs="Courier New" w:eastAsia="Courier New" w:hAnsi="Courier New"/>
                <w:sz w:val="12"/>
                <w:szCs w:val="12"/>
                <w:b w:val="1"/>
                <w:bCs w:val="1"/>
                <w:color w:val="auto"/>
              </w:rPr>
              <w:t>(983)</w:t>
            </w:r>
          </w:p>
        </w:tc>
        <w:tc>
          <w:tcPr>
            <w:tcW w:w="150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(1,590)</w:t>
            </w:r>
          </w:p>
        </w:tc>
        <w:tc>
          <w:tcPr>
            <w:tcW w:w="0" w:type="dxa"/>
            <w:vAlign w:val="bottom"/>
          </w:tcPr>
          <w:p>
            <w:pPr>
              <w:spacing w:after="0"/>
              <w:rPr>
                <w:sz w:val="1"/>
                <w:szCs w:val="1"/>
                <w:color w:val="auto"/>
              </w:rPr>
            </w:pPr>
          </w:p>
        </w:tc>
      </w:tr>
      <w:tr>
        <w:trPr>
          <w:trHeight w:val="135"/>
        </w:trPr>
        <w:tc>
          <w:tcPr>
            <w:tcW w:w="3680" w:type="dxa"/>
            <w:vAlign w:val="bottom"/>
          </w:tcPr>
          <w:p>
            <w:pPr>
              <w:jc w:val="right"/>
              <w:spacing w:after="0"/>
              <w:rPr>
                <w:sz w:val="20"/>
                <w:szCs w:val="20"/>
                <w:color w:val="auto"/>
              </w:rPr>
            </w:pPr>
            <w:r>
              <w:rPr>
                <w:rFonts w:ascii="Courier New" w:cs="Courier New" w:eastAsia="Courier New" w:hAnsi="Courier New"/>
                <w:sz w:val="12"/>
                <w:szCs w:val="12"/>
                <w:color w:val="auto"/>
                <w:w w:val="81"/>
              </w:rPr>
              <w:t>Gain on sale of assets........................................</w:t>
            </w:r>
          </w:p>
        </w:tc>
        <w:tc>
          <w:tcPr>
            <w:tcW w:w="2920" w:type="dxa"/>
            <w:vAlign w:val="bottom"/>
          </w:tcPr>
          <w:p>
            <w:pPr>
              <w:jc w:val="right"/>
              <w:ind w:right="689"/>
              <w:spacing w:after="0"/>
              <w:rPr>
                <w:sz w:val="20"/>
                <w:szCs w:val="20"/>
                <w:color w:val="auto"/>
              </w:rPr>
            </w:pPr>
            <w:r>
              <w:rPr>
                <w:rFonts w:ascii="Courier New" w:cs="Courier New" w:eastAsia="Courier New" w:hAnsi="Courier New"/>
                <w:sz w:val="12"/>
                <w:szCs w:val="12"/>
                <w:b w:val="1"/>
                <w:bCs w:val="1"/>
                <w:color w:val="auto"/>
              </w:rPr>
              <w:t>(331)</w:t>
            </w:r>
          </w:p>
        </w:tc>
        <w:tc>
          <w:tcPr>
            <w:tcW w:w="150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3680" w:type="dxa"/>
            <w:vAlign w:val="bottom"/>
          </w:tcPr>
          <w:p>
            <w:pPr>
              <w:jc w:val="right"/>
              <w:spacing w:after="0"/>
              <w:rPr>
                <w:sz w:val="20"/>
                <w:szCs w:val="20"/>
                <w:color w:val="auto"/>
              </w:rPr>
            </w:pPr>
            <w:r>
              <w:rPr>
                <w:rFonts w:ascii="Courier New" w:cs="Courier New" w:eastAsia="Courier New" w:hAnsi="Courier New"/>
                <w:sz w:val="12"/>
                <w:szCs w:val="12"/>
                <w:color w:val="auto"/>
                <w:w w:val="81"/>
              </w:rPr>
              <w:t>Additions to deferred leasing costs...........................</w:t>
            </w:r>
          </w:p>
        </w:tc>
        <w:tc>
          <w:tcPr>
            <w:tcW w:w="2920" w:type="dxa"/>
            <w:vAlign w:val="bottom"/>
          </w:tcPr>
          <w:p>
            <w:pPr>
              <w:jc w:val="right"/>
              <w:ind w:right="689"/>
              <w:spacing w:after="0"/>
              <w:rPr>
                <w:sz w:val="20"/>
                <w:szCs w:val="20"/>
                <w:color w:val="auto"/>
              </w:rPr>
            </w:pPr>
            <w:r>
              <w:rPr>
                <w:rFonts w:ascii="Courier New" w:cs="Courier New" w:eastAsia="Courier New" w:hAnsi="Courier New"/>
                <w:sz w:val="12"/>
                <w:szCs w:val="12"/>
                <w:b w:val="1"/>
                <w:bCs w:val="1"/>
                <w:color w:val="auto"/>
              </w:rPr>
              <w:t>(126)</w:t>
            </w:r>
          </w:p>
        </w:tc>
        <w:tc>
          <w:tcPr>
            <w:tcW w:w="150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(337)</w:t>
            </w:r>
          </w:p>
        </w:tc>
        <w:tc>
          <w:tcPr>
            <w:tcW w:w="0" w:type="dxa"/>
            <w:vAlign w:val="bottom"/>
          </w:tcPr>
          <w:p>
            <w:pPr>
              <w:spacing w:after="0"/>
              <w:rPr>
                <w:sz w:val="1"/>
                <w:szCs w:val="1"/>
                <w:color w:val="auto"/>
              </w:rPr>
            </w:pPr>
          </w:p>
        </w:tc>
      </w:tr>
      <w:tr>
        <w:trPr>
          <w:trHeight w:val="135"/>
        </w:trPr>
        <w:tc>
          <w:tcPr>
            <w:tcW w:w="3680" w:type="dxa"/>
            <w:vAlign w:val="bottom"/>
          </w:tcPr>
          <w:p>
            <w:pPr>
              <w:jc w:val="right"/>
              <w:spacing w:after="0"/>
              <w:rPr>
                <w:sz w:val="20"/>
                <w:szCs w:val="20"/>
                <w:color w:val="auto"/>
              </w:rPr>
            </w:pPr>
            <w:r>
              <w:rPr>
                <w:rFonts w:ascii="Courier New" w:cs="Courier New" w:eastAsia="Courier New" w:hAnsi="Courier New"/>
                <w:sz w:val="12"/>
                <w:szCs w:val="12"/>
                <w:color w:val="auto"/>
                <w:w w:val="81"/>
              </w:rPr>
              <w:t>Other operating activities....................................</w:t>
            </w:r>
          </w:p>
        </w:tc>
        <w:tc>
          <w:tcPr>
            <w:tcW w:w="2920" w:type="dxa"/>
            <w:vAlign w:val="bottom"/>
          </w:tcPr>
          <w:p>
            <w:pPr>
              <w:jc w:val="right"/>
              <w:ind w:right="689"/>
              <w:spacing w:after="0"/>
              <w:rPr>
                <w:sz w:val="20"/>
                <w:szCs w:val="20"/>
                <w:color w:val="auto"/>
              </w:rPr>
            </w:pPr>
            <w:r>
              <w:rPr>
                <w:rFonts w:ascii="Courier New" w:cs="Courier New" w:eastAsia="Courier New" w:hAnsi="Courier New"/>
                <w:sz w:val="12"/>
                <w:szCs w:val="12"/>
                <w:b w:val="1"/>
                <w:bCs w:val="1"/>
                <w:color w:val="auto"/>
              </w:rPr>
              <w:t>(103)</w:t>
            </w:r>
          </w:p>
        </w:tc>
        <w:tc>
          <w:tcPr>
            <w:tcW w:w="150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(976)</w:t>
            </w:r>
          </w:p>
        </w:tc>
        <w:tc>
          <w:tcPr>
            <w:tcW w:w="0" w:type="dxa"/>
            <w:vAlign w:val="bottom"/>
          </w:tcPr>
          <w:p>
            <w:pPr>
              <w:spacing w:after="0"/>
              <w:rPr>
                <w:sz w:val="1"/>
                <w:szCs w:val="1"/>
                <w:color w:val="auto"/>
              </w:rPr>
            </w:pPr>
          </w:p>
        </w:tc>
      </w:tr>
      <w:tr>
        <w:trPr>
          <w:trHeight w:val="135"/>
        </w:trPr>
        <w:tc>
          <w:tcPr>
            <w:tcW w:w="3680" w:type="dxa"/>
            <w:vAlign w:val="bottom"/>
          </w:tcPr>
          <w:p>
            <w:pPr>
              <w:jc w:val="right"/>
              <w:ind w:right="976"/>
              <w:spacing w:after="0"/>
              <w:rPr>
                <w:sz w:val="20"/>
                <w:szCs w:val="20"/>
                <w:color w:val="auto"/>
              </w:rPr>
            </w:pPr>
            <w:r>
              <w:rPr>
                <w:rFonts w:ascii="Courier New" w:cs="Courier New" w:eastAsia="Courier New" w:hAnsi="Courier New"/>
                <w:sz w:val="12"/>
                <w:szCs w:val="12"/>
                <w:color w:val="auto"/>
              </w:rPr>
              <w:t>Changes in assets and liabilities:</w:t>
            </w:r>
          </w:p>
        </w:tc>
        <w:tc>
          <w:tcPr>
            <w:tcW w:w="29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jc w:val="right"/>
              <w:spacing w:after="0"/>
              <w:rPr>
                <w:sz w:val="20"/>
                <w:szCs w:val="20"/>
                <w:color w:val="auto"/>
              </w:rPr>
            </w:pPr>
            <w:r>
              <w:rPr>
                <w:rFonts w:ascii="Courier New" w:cs="Courier New" w:eastAsia="Courier New" w:hAnsi="Courier New"/>
                <w:sz w:val="12"/>
                <w:szCs w:val="12"/>
                <w:color w:val="auto"/>
                <w:w w:val="90"/>
              </w:rPr>
              <w:t>Straight-line rent......................................</w:t>
            </w:r>
          </w:p>
        </w:tc>
        <w:tc>
          <w:tcPr>
            <w:tcW w:w="2920" w:type="dxa"/>
            <w:vAlign w:val="bottom"/>
          </w:tcPr>
          <w:p>
            <w:pPr>
              <w:jc w:val="right"/>
              <w:ind w:right="689"/>
              <w:spacing w:after="0"/>
              <w:rPr>
                <w:sz w:val="20"/>
                <w:szCs w:val="20"/>
                <w:color w:val="auto"/>
              </w:rPr>
            </w:pPr>
            <w:r>
              <w:rPr>
                <w:rFonts w:ascii="Courier New" w:cs="Courier New" w:eastAsia="Courier New" w:hAnsi="Courier New"/>
                <w:sz w:val="12"/>
                <w:szCs w:val="12"/>
                <w:b w:val="1"/>
                <w:bCs w:val="1"/>
                <w:color w:val="auto"/>
              </w:rPr>
              <w:t>(1,281)</w:t>
            </w:r>
          </w:p>
        </w:tc>
        <w:tc>
          <w:tcPr>
            <w:tcW w:w="150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(1,364)</w:t>
            </w:r>
          </w:p>
        </w:tc>
        <w:tc>
          <w:tcPr>
            <w:tcW w:w="0" w:type="dxa"/>
            <w:vAlign w:val="bottom"/>
          </w:tcPr>
          <w:p>
            <w:pPr>
              <w:spacing w:after="0"/>
              <w:rPr>
                <w:sz w:val="1"/>
                <w:szCs w:val="1"/>
                <w:color w:val="auto"/>
              </w:rPr>
            </w:pPr>
          </w:p>
        </w:tc>
      </w:tr>
      <w:tr>
        <w:trPr>
          <w:trHeight w:val="135"/>
        </w:trPr>
        <w:tc>
          <w:tcPr>
            <w:tcW w:w="3680" w:type="dxa"/>
            <w:vAlign w:val="bottom"/>
          </w:tcPr>
          <w:p>
            <w:pPr>
              <w:jc w:val="right"/>
              <w:spacing w:after="0"/>
              <w:rPr>
                <w:sz w:val="20"/>
                <w:szCs w:val="20"/>
                <w:color w:val="auto"/>
              </w:rPr>
            </w:pPr>
            <w:r>
              <w:rPr>
                <w:rFonts w:ascii="Courier New" w:cs="Courier New" w:eastAsia="Courier New" w:hAnsi="Courier New"/>
                <w:sz w:val="12"/>
                <w:szCs w:val="12"/>
                <w:color w:val="auto"/>
                <w:w w:val="90"/>
              </w:rPr>
              <w:t>Due from affiliates.....................................</w:t>
            </w:r>
          </w:p>
        </w:tc>
        <w:tc>
          <w:tcPr>
            <w:tcW w:w="2920" w:type="dxa"/>
            <w:vAlign w:val="bottom"/>
          </w:tcPr>
          <w:p>
            <w:pPr>
              <w:jc w:val="right"/>
              <w:ind w:right="769"/>
              <w:spacing w:after="0"/>
              <w:rPr>
                <w:sz w:val="20"/>
                <w:szCs w:val="20"/>
                <w:color w:val="auto"/>
              </w:rPr>
            </w:pPr>
            <w:r>
              <w:rPr>
                <w:rFonts w:ascii="Courier New" w:cs="Courier New" w:eastAsia="Courier New" w:hAnsi="Courier New"/>
                <w:sz w:val="12"/>
                <w:szCs w:val="12"/>
                <w:b w:val="1"/>
                <w:bCs w:val="1"/>
                <w:color w:val="auto"/>
              </w:rPr>
              <w:t>3,255</w:t>
            </w:r>
          </w:p>
        </w:tc>
        <w:tc>
          <w:tcPr>
            <w:tcW w:w="150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2,207</w:t>
            </w:r>
          </w:p>
        </w:tc>
        <w:tc>
          <w:tcPr>
            <w:tcW w:w="0" w:type="dxa"/>
            <w:vAlign w:val="bottom"/>
          </w:tcPr>
          <w:p>
            <w:pPr>
              <w:spacing w:after="0"/>
              <w:rPr>
                <w:sz w:val="1"/>
                <w:szCs w:val="1"/>
                <w:color w:val="auto"/>
              </w:rPr>
            </w:pPr>
          </w:p>
        </w:tc>
      </w:tr>
      <w:tr>
        <w:trPr>
          <w:trHeight w:val="135"/>
        </w:trPr>
        <w:tc>
          <w:tcPr>
            <w:tcW w:w="3680" w:type="dxa"/>
            <w:vAlign w:val="bottom"/>
          </w:tcPr>
          <w:p>
            <w:pPr>
              <w:jc w:val="right"/>
              <w:spacing w:after="0"/>
              <w:rPr>
                <w:sz w:val="20"/>
                <w:szCs w:val="20"/>
                <w:color w:val="auto"/>
              </w:rPr>
            </w:pPr>
            <w:r>
              <w:rPr>
                <w:rFonts w:ascii="Courier New" w:cs="Courier New" w:eastAsia="Courier New" w:hAnsi="Courier New"/>
                <w:sz w:val="12"/>
                <w:szCs w:val="12"/>
                <w:color w:val="auto"/>
                <w:w w:val="90"/>
              </w:rPr>
              <w:t>Other assets............................................</w:t>
            </w:r>
          </w:p>
        </w:tc>
        <w:tc>
          <w:tcPr>
            <w:tcW w:w="2920" w:type="dxa"/>
            <w:vAlign w:val="bottom"/>
          </w:tcPr>
          <w:p>
            <w:pPr>
              <w:jc w:val="right"/>
              <w:ind w:right="769"/>
              <w:spacing w:after="0"/>
              <w:rPr>
                <w:sz w:val="20"/>
                <w:szCs w:val="20"/>
                <w:color w:val="auto"/>
              </w:rPr>
            </w:pPr>
            <w:r>
              <w:rPr>
                <w:rFonts w:ascii="Courier New" w:cs="Courier New" w:eastAsia="Courier New" w:hAnsi="Courier New"/>
                <w:sz w:val="12"/>
                <w:szCs w:val="12"/>
                <w:b w:val="1"/>
                <w:bCs w:val="1"/>
                <w:color w:val="auto"/>
              </w:rPr>
              <w:t>5,758</w:t>
            </w:r>
          </w:p>
        </w:tc>
        <w:tc>
          <w:tcPr>
            <w:tcW w:w="150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6,717</w:t>
            </w:r>
          </w:p>
        </w:tc>
        <w:tc>
          <w:tcPr>
            <w:tcW w:w="0" w:type="dxa"/>
            <w:vAlign w:val="bottom"/>
          </w:tcPr>
          <w:p>
            <w:pPr>
              <w:spacing w:after="0"/>
              <w:rPr>
                <w:sz w:val="1"/>
                <w:szCs w:val="1"/>
                <w:color w:val="auto"/>
              </w:rPr>
            </w:pPr>
          </w:p>
        </w:tc>
      </w:tr>
      <w:tr>
        <w:trPr>
          <w:trHeight w:val="135"/>
        </w:trPr>
        <w:tc>
          <w:tcPr>
            <w:tcW w:w="3680" w:type="dxa"/>
            <w:vAlign w:val="bottom"/>
          </w:tcPr>
          <w:p>
            <w:pPr>
              <w:jc w:val="right"/>
              <w:spacing w:after="0"/>
              <w:rPr>
                <w:sz w:val="20"/>
                <w:szCs w:val="20"/>
                <w:color w:val="auto"/>
              </w:rPr>
            </w:pPr>
            <w:r>
              <w:rPr>
                <w:rFonts w:ascii="Courier New" w:cs="Courier New" w:eastAsia="Courier New" w:hAnsi="Courier New"/>
                <w:sz w:val="12"/>
                <w:szCs w:val="12"/>
                <w:color w:val="auto"/>
                <w:w w:val="90"/>
              </w:rPr>
              <w:t>Accounts payable and other liabilities..................</w:t>
            </w:r>
          </w:p>
        </w:tc>
        <w:tc>
          <w:tcPr>
            <w:tcW w:w="2920" w:type="dxa"/>
            <w:vAlign w:val="bottom"/>
          </w:tcPr>
          <w:p>
            <w:pPr>
              <w:jc w:val="right"/>
              <w:ind w:right="689"/>
              <w:spacing w:after="0"/>
              <w:rPr>
                <w:sz w:val="20"/>
                <w:szCs w:val="20"/>
                <w:color w:val="auto"/>
              </w:rPr>
            </w:pPr>
            <w:r>
              <w:rPr>
                <w:rFonts w:ascii="Courier New" w:cs="Courier New" w:eastAsia="Courier New" w:hAnsi="Courier New"/>
                <w:sz w:val="12"/>
                <w:szCs w:val="12"/>
                <w:b w:val="1"/>
                <w:bCs w:val="1"/>
                <w:color w:val="auto"/>
              </w:rPr>
              <w:t>(6,601)</w:t>
            </w:r>
          </w:p>
        </w:tc>
        <w:tc>
          <w:tcPr>
            <w:tcW w:w="150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(8,923)</w:t>
            </w: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2920" w:type="dxa"/>
            <w:vAlign w:val="bottom"/>
          </w:tcPr>
          <w:p>
            <w:pPr>
              <w:jc w:val="right"/>
              <w:ind w:right="29"/>
              <w:spacing w:after="0"/>
              <w:rPr>
                <w:sz w:val="20"/>
                <w:szCs w:val="20"/>
                <w:color w:val="auto"/>
              </w:rPr>
            </w:pPr>
            <w:r>
              <w:rPr>
                <w:rFonts w:ascii="Courier New" w:cs="Courier New" w:eastAsia="Courier New" w:hAnsi="Courier New"/>
                <w:sz w:val="12"/>
                <w:szCs w:val="12"/>
                <w:b w:val="1"/>
                <w:bCs w:val="1"/>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36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w w:val="79"/>
              </w:rPr>
              <w:t>Net cash provided by operating activities.......................</w:t>
            </w:r>
          </w:p>
        </w:tc>
        <w:tc>
          <w:tcPr>
            <w:tcW w:w="2920" w:type="dxa"/>
            <w:vAlign w:val="bottom"/>
          </w:tcPr>
          <w:p>
            <w:pPr>
              <w:jc w:val="right"/>
              <w:ind w:right="769"/>
              <w:spacing w:after="0"/>
              <w:rPr>
                <w:sz w:val="20"/>
                <w:szCs w:val="20"/>
                <w:color w:val="auto"/>
              </w:rPr>
            </w:pPr>
            <w:r>
              <w:rPr>
                <w:rFonts w:ascii="Courier New" w:cs="Courier New" w:eastAsia="Courier New" w:hAnsi="Courier New"/>
                <w:sz w:val="12"/>
                <w:szCs w:val="12"/>
                <w:b w:val="1"/>
                <w:bCs w:val="1"/>
                <w:color w:val="auto"/>
              </w:rPr>
              <w:t>57,088</w:t>
            </w:r>
          </w:p>
        </w:tc>
        <w:tc>
          <w:tcPr>
            <w:tcW w:w="150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44,101</w:t>
            </w:r>
          </w:p>
        </w:tc>
        <w:tc>
          <w:tcPr>
            <w:tcW w:w="0" w:type="dxa"/>
            <w:vAlign w:val="bottom"/>
          </w:tcPr>
          <w:p>
            <w:pPr>
              <w:spacing w:after="0"/>
              <w:rPr>
                <w:sz w:val="1"/>
                <w:szCs w:val="1"/>
                <w:color w:val="auto"/>
              </w:rPr>
            </w:pPr>
          </w:p>
        </w:tc>
      </w:tr>
      <w:tr>
        <w:trPr>
          <w:trHeight w:val="137"/>
        </w:trPr>
        <w:tc>
          <w:tcPr>
            <w:tcW w:w="3680" w:type="dxa"/>
            <w:vAlign w:val="bottom"/>
          </w:tcPr>
          <w:p>
            <w:pPr>
              <w:spacing w:after="0"/>
              <w:rPr>
                <w:sz w:val="11"/>
                <w:szCs w:val="11"/>
                <w:color w:val="auto"/>
              </w:rPr>
            </w:pPr>
          </w:p>
        </w:tc>
        <w:tc>
          <w:tcPr>
            <w:tcW w:w="2920" w:type="dxa"/>
            <w:vAlign w:val="bottom"/>
          </w:tcPr>
          <w:p>
            <w:pPr>
              <w:jc w:val="right"/>
              <w:ind w:right="29"/>
              <w:spacing w:after="0"/>
              <w:rPr>
                <w:sz w:val="20"/>
                <w:szCs w:val="20"/>
                <w:color w:val="auto"/>
              </w:rPr>
            </w:pPr>
            <w:r>
              <w:rPr>
                <w:rFonts w:ascii="Courier New" w:cs="Courier New" w:eastAsia="Courier New" w:hAnsi="Courier New"/>
                <w:sz w:val="12"/>
                <w:szCs w:val="12"/>
                <w:b w:val="1"/>
                <w:bCs w:val="1"/>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sectPr>
          <w:pgSz w:w="11900" w:h="16839" w:orient="portrait"/>
          <w:cols w:equalWidth="0" w:num="1">
            <w:col w:w="10219"/>
          </w:cols>
          <w:pgMar w:left="240" w:top="132" w:right="1440" w:bottom="0" w:gutter="0" w:footer="0" w:header="0"/>
        </w:sectPr>
      </w:pPr>
    </w:p>
    <w:bookmarkStart w:id="2" w:name="page3"/>
    <w:bookmarkEnd w:id="2"/>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36"/>
        </w:trPr>
        <w:tc>
          <w:tcPr>
            <w:tcW w:w="4720" w:type="dxa"/>
            <w:vAlign w:val="bottom"/>
          </w:tcPr>
          <w:p>
            <w:pPr>
              <w:spacing w:after="0"/>
              <w:rPr>
                <w:sz w:val="20"/>
                <w:szCs w:val="20"/>
                <w:color w:val="auto"/>
              </w:rPr>
            </w:pPr>
            <w:r>
              <w:rPr>
                <w:rFonts w:ascii="Courier New" w:cs="Courier New" w:eastAsia="Courier New" w:hAnsi="Courier New"/>
                <w:sz w:val="12"/>
                <w:szCs w:val="12"/>
                <w:b w:val="1"/>
                <w:bCs w:val="1"/>
                <w:color w:val="auto"/>
              </w:rPr>
              <w:t>Cash flows from investing activities</w:t>
            </w:r>
          </w:p>
        </w:tc>
        <w:tc>
          <w:tcPr>
            <w:tcW w:w="192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135"/>
        </w:trPr>
        <w:tc>
          <w:tcPr>
            <w:tcW w:w="4720" w:type="dxa"/>
            <w:vAlign w:val="bottom"/>
          </w:tcPr>
          <w:p>
            <w:pPr>
              <w:spacing w:after="0"/>
              <w:rPr>
                <w:sz w:val="20"/>
                <w:szCs w:val="20"/>
                <w:color w:val="auto"/>
              </w:rPr>
            </w:pPr>
            <w:r>
              <w:rPr>
                <w:rFonts w:ascii="Courier New" w:cs="Courier New" w:eastAsia="Courier New" w:hAnsi="Courier New"/>
                <w:sz w:val="12"/>
                <w:szCs w:val="12"/>
                <w:color w:val="auto"/>
              </w:rPr>
              <w:t>Additions to rental properties..................................</w:t>
            </w:r>
          </w:p>
        </w:tc>
        <w:tc>
          <w:tcPr>
            <w:tcW w:w="1920" w:type="dxa"/>
            <w:vAlign w:val="bottom"/>
          </w:tcPr>
          <w:p>
            <w:pPr>
              <w:jc w:val="right"/>
              <w:ind w:right="739"/>
              <w:spacing w:after="0"/>
              <w:rPr>
                <w:sz w:val="20"/>
                <w:szCs w:val="20"/>
                <w:color w:val="auto"/>
              </w:rPr>
            </w:pPr>
            <w:r>
              <w:rPr>
                <w:rFonts w:ascii="Courier New" w:cs="Courier New" w:eastAsia="Courier New" w:hAnsi="Courier New"/>
                <w:sz w:val="12"/>
                <w:szCs w:val="12"/>
                <w:b w:val="1"/>
                <w:bCs w:val="1"/>
                <w:color w:val="auto"/>
              </w:rPr>
              <w:t>(25,011)</w:t>
            </w:r>
          </w:p>
        </w:tc>
        <w:tc>
          <w:tcPr>
            <w:tcW w:w="146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(8,261)</w:t>
            </w:r>
          </w:p>
        </w:tc>
      </w:tr>
      <w:tr>
        <w:trPr>
          <w:trHeight w:val="135"/>
        </w:trPr>
        <w:tc>
          <w:tcPr>
            <w:tcW w:w="4720" w:type="dxa"/>
            <w:vAlign w:val="bottom"/>
          </w:tcPr>
          <w:p>
            <w:pPr>
              <w:spacing w:after="0"/>
              <w:rPr>
                <w:sz w:val="20"/>
                <w:szCs w:val="20"/>
                <w:color w:val="auto"/>
              </w:rPr>
            </w:pPr>
            <w:r>
              <w:rPr>
                <w:rFonts w:ascii="Courier New" w:cs="Courier New" w:eastAsia="Courier New" w:hAnsi="Courier New"/>
                <w:sz w:val="12"/>
                <w:szCs w:val="12"/>
                <w:color w:val="auto"/>
              </w:rPr>
              <w:t>Net proceeds from sale of center................................</w:t>
            </w:r>
          </w:p>
        </w:tc>
        <w:tc>
          <w:tcPr>
            <w:tcW w:w="1920" w:type="dxa"/>
            <w:vAlign w:val="bottom"/>
          </w:tcPr>
          <w:p>
            <w:pPr>
              <w:jc w:val="right"/>
              <w:ind w:right="819"/>
              <w:spacing w:after="0"/>
              <w:rPr>
                <w:sz w:val="20"/>
                <w:szCs w:val="20"/>
                <w:color w:val="auto"/>
              </w:rPr>
            </w:pPr>
            <w:r>
              <w:rPr>
                <w:rFonts w:ascii="Courier New" w:cs="Courier New" w:eastAsia="Courier New" w:hAnsi="Courier New"/>
                <w:sz w:val="12"/>
                <w:szCs w:val="12"/>
                <w:b w:val="1"/>
                <w:bCs w:val="1"/>
                <w:color w:val="auto"/>
              </w:rPr>
              <w:t>3,831</w:t>
            </w:r>
          </w:p>
        </w:tc>
        <w:tc>
          <w:tcPr>
            <w:tcW w:w="146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w:t>
            </w:r>
          </w:p>
        </w:tc>
      </w:tr>
      <w:tr>
        <w:trPr>
          <w:trHeight w:val="135"/>
        </w:trPr>
        <w:tc>
          <w:tcPr>
            <w:tcW w:w="4720" w:type="dxa"/>
            <w:vAlign w:val="bottom"/>
          </w:tcPr>
          <w:p>
            <w:pPr>
              <w:spacing w:after="0"/>
              <w:rPr>
                <w:sz w:val="20"/>
                <w:szCs w:val="20"/>
                <w:color w:val="auto"/>
              </w:rPr>
            </w:pPr>
            <w:r>
              <w:rPr>
                <w:rFonts w:ascii="Courier New" w:cs="Courier New" w:eastAsia="Courier New" w:hAnsi="Courier New"/>
                <w:sz w:val="12"/>
                <w:szCs w:val="12"/>
                <w:color w:val="auto"/>
              </w:rPr>
              <w:t>Additions to investments in unconsolidated affiliates...........</w:t>
            </w:r>
          </w:p>
        </w:tc>
        <w:tc>
          <w:tcPr>
            <w:tcW w:w="1920" w:type="dxa"/>
            <w:vAlign w:val="bottom"/>
          </w:tcPr>
          <w:p>
            <w:pPr>
              <w:jc w:val="right"/>
              <w:ind w:right="739"/>
              <w:spacing w:after="0"/>
              <w:rPr>
                <w:sz w:val="20"/>
                <w:szCs w:val="20"/>
                <w:color w:val="auto"/>
              </w:rPr>
            </w:pPr>
            <w:r>
              <w:rPr>
                <w:rFonts w:ascii="Courier New" w:cs="Courier New" w:eastAsia="Courier New" w:hAnsi="Courier New"/>
                <w:sz w:val="12"/>
                <w:szCs w:val="12"/>
                <w:b w:val="1"/>
                <w:bCs w:val="1"/>
                <w:color w:val="auto"/>
              </w:rPr>
              <w:t>(2,876)</w:t>
            </w:r>
          </w:p>
        </w:tc>
        <w:tc>
          <w:tcPr>
            <w:tcW w:w="146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(14,187)</w:t>
            </w:r>
          </w:p>
        </w:tc>
      </w:tr>
      <w:tr>
        <w:trPr>
          <w:trHeight w:val="135"/>
        </w:trPr>
        <w:tc>
          <w:tcPr>
            <w:tcW w:w="4720" w:type="dxa"/>
            <w:vAlign w:val="bottom"/>
          </w:tcPr>
          <w:p>
            <w:pPr>
              <w:spacing w:after="0"/>
              <w:rPr>
                <w:sz w:val="20"/>
                <w:szCs w:val="20"/>
                <w:color w:val="auto"/>
              </w:rPr>
            </w:pPr>
            <w:r>
              <w:rPr>
                <w:rFonts w:ascii="Courier New" w:cs="Courier New" w:eastAsia="Courier New" w:hAnsi="Courier New"/>
                <w:sz w:val="12"/>
                <w:szCs w:val="12"/>
                <w:color w:val="auto"/>
              </w:rPr>
              <w:t>Distributions from investments in unconsolidated</w:t>
            </w:r>
          </w:p>
        </w:tc>
        <w:tc>
          <w:tcPr>
            <w:tcW w:w="192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135"/>
        </w:trPr>
        <w:tc>
          <w:tcPr>
            <w:tcW w:w="4720" w:type="dxa"/>
            <w:vAlign w:val="bottom"/>
          </w:tcPr>
          <w:p>
            <w:pPr>
              <w:ind w:left="440"/>
              <w:spacing w:after="0"/>
              <w:rPr>
                <w:sz w:val="20"/>
                <w:szCs w:val="20"/>
                <w:color w:val="auto"/>
              </w:rPr>
            </w:pPr>
            <w:r>
              <w:rPr>
                <w:rFonts w:ascii="Courier New" w:cs="Courier New" w:eastAsia="Courier New" w:hAnsi="Courier New"/>
                <w:sz w:val="12"/>
                <w:szCs w:val="12"/>
                <w:color w:val="auto"/>
              </w:rPr>
              <w:t>affiliates in excess of earnings..........................</w:t>
            </w:r>
          </w:p>
        </w:tc>
        <w:tc>
          <w:tcPr>
            <w:tcW w:w="1920" w:type="dxa"/>
            <w:vAlign w:val="bottom"/>
          </w:tcPr>
          <w:p>
            <w:pPr>
              <w:jc w:val="right"/>
              <w:ind w:right="819"/>
              <w:spacing w:after="0"/>
              <w:rPr>
                <w:sz w:val="20"/>
                <w:szCs w:val="20"/>
                <w:color w:val="auto"/>
              </w:rPr>
            </w:pPr>
            <w:r>
              <w:rPr>
                <w:rFonts w:ascii="Courier New" w:cs="Courier New" w:eastAsia="Courier New" w:hAnsi="Courier New"/>
                <w:sz w:val="12"/>
                <w:szCs w:val="12"/>
                <w:b w:val="1"/>
                <w:bCs w:val="1"/>
                <w:color w:val="auto"/>
              </w:rPr>
              <w:t>2,904</w:t>
            </w:r>
          </w:p>
        </w:tc>
        <w:tc>
          <w:tcPr>
            <w:tcW w:w="146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185</w:t>
            </w:r>
          </w:p>
        </w:tc>
      </w:tr>
      <w:tr>
        <w:trPr>
          <w:trHeight w:val="135"/>
        </w:trPr>
        <w:tc>
          <w:tcPr>
            <w:tcW w:w="4720" w:type="dxa"/>
            <w:vAlign w:val="bottom"/>
          </w:tcPr>
          <w:p>
            <w:pPr>
              <w:spacing w:after="0"/>
              <w:rPr>
                <w:sz w:val="20"/>
                <w:szCs w:val="20"/>
                <w:color w:val="auto"/>
              </w:rPr>
            </w:pPr>
            <w:r>
              <w:rPr>
                <w:rFonts w:ascii="Courier New" w:cs="Courier New" w:eastAsia="Courier New" w:hAnsi="Courier New"/>
                <w:sz w:val="12"/>
                <w:szCs w:val="12"/>
                <w:color w:val="auto"/>
              </w:rPr>
              <w:t>Additions to deferred development costs.........................</w:t>
            </w:r>
          </w:p>
        </w:tc>
        <w:tc>
          <w:tcPr>
            <w:tcW w:w="1920" w:type="dxa"/>
            <w:vAlign w:val="bottom"/>
          </w:tcPr>
          <w:p>
            <w:pPr>
              <w:jc w:val="right"/>
              <w:ind w:right="739"/>
              <w:spacing w:after="0"/>
              <w:rPr>
                <w:sz w:val="20"/>
                <w:szCs w:val="20"/>
                <w:color w:val="auto"/>
              </w:rPr>
            </w:pPr>
            <w:r>
              <w:rPr>
                <w:rFonts w:ascii="Courier New" w:cs="Courier New" w:eastAsia="Courier New" w:hAnsi="Courier New"/>
                <w:sz w:val="12"/>
                <w:szCs w:val="12"/>
                <w:b w:val="1"/>
                <w:bCs w:val="1"/>
                <w:color w:val="auto"/>
              </w:rPr>
              <w:t>(1,050)</w:t>
            </w:r>
          </w:p>
        </w:tc>
        <w:tc>
          <w:tcPr>
            <w:tcW w:w="146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(405)</w:t>
            </w:r>
          </w:p>
        </w:tc>
      </w:tr>
      <w:tr>
        <w:trPr>
          <w:trHeight w:val="135"/>
        </w:trPr>
        <w:tc>
          <w:tcPr>
            <w:tcW w:w="4720" w:type="dxa"/>
            <w:vAlign w:val="bottom"/>
          </w:tcPr>
          <w:p>
            <w:pPr>
              <w:spacing w:after="0"/>
              <w:rPr>
                <w:sz w:val="11"/>
                <w:szCs w:val="11"/>
                <w:color w:val="auto"/>
              </w:rPr>
            </w:pPr>
          </w:p>
        </w:tc>
        <w:tc>
          <w:tcPr>
            <w:tcW w:w="192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720" w:type="dxa"/>
            <w:vAlign w:val="bottom"/>
          </w:tcPr>
          <w:p>
            <w:pPr>
              <w:spacing w:after="0"/>
              <w:rPr>
                <w:sz w:val="20"/>
                <w:szCs w:val="20"/>
                <w:color w:val="auto"/>
              </w:rPr>
            </w:pPr>
            <w:r>
              <w:rPr>
                <w:rFonts w:ascii="Courier New" w:cs="Courier New" w:eastAsia="Courier New" w:hAnsi="Courier New"/>
                <w:sz w:val="12"/>
                <w:szCs w:val="12"/>
                <w:b w:val="1"/>
                <w:bCs w:val="1"/>
                <w:color w:val="auto"/>
              </w:rPr>
              <w:t>Net cash used in investing activities...........................</w:t>
            </w:r>
          </w:p>
        </w:tc>
        <w:tc>
          <w:tcPr>
            <w:tcW w:w="1920" w:type="dxa"/>
            <w:vAlign w:val="bottom"/>
          </w:tcPr>
          <w:p>
            <w:pPr>
              <w:jc w:val="right"/>
              <w:ind w:right="739"/>
              <w:spacing w:after="0"/>
              <w:rPr>
                <w:sz w:val="20"/>
                <w:szCs w:val="20"/>
                <w:color w:val="auto"/>
              </w:rPr>
            </w:pPr>
            <w:r>
              <w:rPr>
                <w:rFonts w:ascii="Courier New" w:cs="Courier New" w:eastAsia="Courier New" w:hAnsi="Courier New"/>
                <w:sz w:val="12"/>
                <w:szCs w:val="12"/>
                <w:b w:val="1"/>
                <w:bCs w:val="1"/>
                <w:color w:val="auto"/>
              </w:rPr>
              <w:t>(22,202)</w:t>
            </w:r>
          </w:p>
        </w:tc>
        <w:tc>
          <w:tcPr>
            <w:tcW w:w="146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(22,668)</w:t>
            </w:r>
          </w:p>
        </w:tc>
      </w:tr>
      <w:tr>
        <w:trPr>
          <w:trHeight w:val="137"/>
        </w:trPr>
        <w:tc>
          <w:tcPr>
            <w:tcW w:w="4720" w:type="dxa"/>
            <w:vAlign w:val="bottom"/>
          </w:tcPr>
          <w:p>
            <w:pPr>
              <w:spacing w:after="0"/>
              <w:rPr>
                <w:sz w:val="11"/>
                <w:szCs w:val="11"/>
                <w:color w:val="auto"/>
              </w:rPr>
            </w:pPr>
          </w:p>
        </w:tc>
        <w:tc>
          <w:tcPr>
            <w:tcW w:w="192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4720" w:type="dxa"/>
            <w:vAlign w:val="bottom"/>
          </w:tcPr>
          <w:p>
            <w:pPr>
              <w:spacing w:after="0"/>
              <w:rPr>
                <w:sz w:val="20"/>
                <w:szCs w:val="20"/>
                <w:color w:val="auto"/>
              </w:rPr>
            </w:pPr>
            <w:r>
              <w:rPr>
                <w:rFonts w:ascii="Courier New" w:cs="Courier New" w:eastAsia="Courier New" w:hAnsi="Courier New"/>
                <w:sz w:val="12"/>
                <w:szCs w:val="12"/>
                <w:b w:val="1"/>
                <w:bCs w:val="1"/>
                <w:color w:val="auto"/>
              </w:rPr>
              <w:t>Cash flows from financing activities</w:t>
            </w:r>
          </w:p>
        </w:tc>
        <w:tc>
          <w:tcPr>
            <w:tcW w:w="19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135"/>
        </w:trPr>
        <w:tc>
          <w:tcPr>
            <w:tcW w:w="4720" w:type="dxa"/>
            <w:vAlign w:val="bottom"/>
          </w:tcPr>
          <w:p>
            <w:pPr>
              <w:spacing w:after="0"/>
              <w:rPr>
                <w:sz w:val="20"/>
                <w:szCs w:val="20"/>
                <w:color w:val="auto"/>
              </w:rPr>
            </w:pPr>
            <w:r>
              <w:rPr>
                <w:rFonts w:ascii="Courier New" w:cs="Courier New" w:eastAsia="Courier New" w:hAnsi="Courier New"/>
                <w:sz w:val="12"/>
                <w:szCs w:val="12"/>
                <w:color w:val="auto"/>
              </w:rPr>
              <w:t>Debt proceeds...................................................</w:t>
            </w:r>
          </w:p>
        </w:tc>
        <w:tc>
          <w:tcPr>
            <w:tcW w:w="1920" w:type="dxa"/>
            <w:vAlign w:val="bottom"/>
          </w:tcPr>
          <w:p>
            <w:pPr>
              <w:jc w:val="right"/>
              <w:ind w:right="819"/>
              <w:spacing w:after="0"/>
              <w:rPr>
                <w:sz w:val="20"/>
                <w:szCs w:val="20"/>
                <w:color w:val="auto"/>
              </w:rPr>
            </w:pPr>
            <w:r>
              <w:rPr>
                <w:rFonts w:ascii="Courier New" w:cs="Courier New" w:eastAsia="Courier New" w:hAnsi="Courier New"/>
                <w:sz w:val="12"/>
                <w:szCs w:val="12"/>
                <w:b w:val="1"/>
                <w:bCs w:val="1"/>
                <w:color w:val="auto"/>
              </w:rPr>
              <w:t>23,261</w:t>
            </w:r>
          </w:p>
        </w:tc>
        <w:tc>
          <w:tcPr>
            <w:tcW w:w="146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107,534</w:t>
            </w:r>
          </w:p>
        </w:tc>
      </w:tr>
      <w:tr>
        <w:trPr>
          <w:trHeight w:val="135"/>
        </w:trPr>
        <w:tc>
          <w:tcPr>
            <w:tcW w:w="4720" w:type="dxa"/>
            <w:vAlign w:val="bottom"/>
          </w:tcPr>
          <w:p>
            <w:pPr>
              <w:spacing w:after="0"/>
              <w:rPr>
                <w:sz w:val="20"/>
                <w:szCs w:val="20"/>
                <w:color w:val="auto"/>
              </w:rPr>
            </w:pPr>
            <w:r>
              <w:rPr>
                <w:rFonts w:ascii="Courier New" w:cs="Courier New" w:eastAsia="Courier New" w:hAnsi="Courier New"/>
                <w:sz w:val="12"/>
                <w:szCs w:val="12"/>
                <w:color w:val="auto"/>
              </w:rPr>
              <w:t>Debt repayment..................................................</w:t>
            </w:r>
          </w:p>
        </w:tc>
        <w:tc>
          <w:tcPr>
            <w:tcW w:w="1920" w:type="dxa"/>
            <w:vAlign w:val="bottom"/>
          </w:tcPr>
          <w:p>
            <w:pPr>
              <w:jc w:val="right"/>
              <w:ind w:right="739"/>
              <w:spacing w:after="0"/>
              <w:rPr>
                <w:sz w:val="20"/>
                <w:szCs w:val="20"/>
                <w:color w:val="auto"/>
              </w:rPr>
            </w:pPr>
            <w:r>
              <w:rPr>
                <w:rFonts w:ascii="Courier New" w:cs="Courier New" w:eastAsia="Courier New" w:hAnsi="Courier New"/>
                <w:sz w:val="12"/>
                <w:szCs w:val="12"/>
                <w:b w:val="1"/>
                <w:bCs w:val="1"/>
                <w:color w:val="auto"/>
              </w:rPr>
              <w:t>(31,917)</w:t>
            </w:r>
          </w:p>
        </w:tc>
        <w:tc>
          <w:tcPr>
            <w:tcW w:w="146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(129,951)</w:t>
            </w:r>
          </w:p>
        </w:tc>
      </w:tr>
      <w:tr>
        <w:trPr>
          <w:trHeight w:val="135"/>
        </w:trPr>
        <w:tc>
          <w:tcPr>
            <w:tcW w:w="4720" w:type="dxa"/>
            <w:vAlign w:val="bottom"/>
          </w:tcPr>
          <w:p>
            <w:pPr>
              <w:spacing w:after="0"/>
              <w:rPr>
                <w:sz w:val="20"/>
                <w:szCs w:val="20"/>
                <w:color w:val="auto"/>
              </w:rPr>
            </w:pPr>
            <w:r>
              <w:rPr>
                <w:rFonts w:ascii="Courier New" w:cs="Courier New" w:eastAsia="Courier New" w:hAnsi="Courier New"/>
                <w:sz w:val="12"/>
                <w:szCs w:val="12"/>
                <w:color w:val="auto"/>
              </w:rPr>
              <w:t>Net proceeds from sale of the OP's common units.................</w:t>
            </w:r>
          </w:p>
        </w:tc>
        <w:tc>
          <w:tcPr>
            <w:tcW w:w="1920" w:type="dxa"/>
            <w:vAlign w:val="bottom"/>
          </w:tcPr>
          <w:p>
            <w:pPr>
              <w:jc w:val="right"/>
              <w:ind w:right="819"/>
              <w:spacing w:after="0"/>
              <w:rPr>
                <w:sz w:val="20"/>
                <w:szCs w:val="20"/>
                <w:color w:val="auto"/>
              </w:rPr>
            </w:pPr>
            <w:r>
              <w:rPr>
                <w:rFonts w:ascii="Courier New" w:cs="Courier New" w:eastAsia="Courier New" w:hAnsi="Courier New"/>
                <w:sz w:val="12"/>
                <w:szCs w:val="12"/>
                <w:b w:val="1"/>
                <w:bCs w:val="1"/>
                <w:color w:val="auto"/>
              </w:rPr>
              <w:t>-</w:t>
            </w:r>
          </w:p>
        </w:tc>
        <w:tc>
          <w:tcPr>
            <w:tcW w:w="146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5,717</w:t>
            </w:r>
          </w:p>
        </w:tc>
      </w:tr>
      <w:tr>
        <w:trPr>
          <w:trHeight w:val="135"/>
        </w:trPr>
        <w:tc>
          <w:tcPr>
            <w:tcW w:w="4720" w:type="dxa"/>
            <w:vAlign w:val="bottom"/>
          </w:tcPr>
          <w:p>
            <w:pPr>
              <w:spacing w:after="0"/>
              <w:rPr>
                <w:sz w:val="20"/>
                <w:szCs w:val="20"/>
                <w:color w:val="auto"/>
              </w:rPr>
            </w:pPr>
            <w:r>
              <w:rPr>
                <w:rFonts w:ascii="Courier New" w:cs="Courier New" w:eastAsia="Courier New" w:hAnsi="Courier New"/>
                <w:sz w:val="12"/>
                <w:szCs w:val="12"/>
                <w:color w:val="auto"/>
              </w:rPr>
              <w:t>Distributions...................................................</w:t>
            </w:r>
          </w:p>
        </w:tc>
        <w:tc>
          <w:tcPr>
            <w:tcW w:w="1920" w:type="dxa"/>
            <w:vAlign w:val="bottom"/>
          </w:tcPr>
          <w:p>
            <w:pPr>
              <w:jc w:val="right"/>
              <w:ind w:right="739"/>
              <w:spacing w:after="0"/>
              <w:rPr>
                <w:sz w:val="20"/>
                <w:szCs w:val="20"/>
                <w:color w:val="auto"/>
              </w:rPr>
            </w:pPr>
            <w:r>
              <w:rPr>
                <w:rFonts w:ascii="Courier New" w:cs="Courier New" w:eastAsia="Courier New" w:hAnsi="Courier New"/>
                <w:sz w:val="12"/>
                <w:szCs w:val="12"/>
                <w:b w:val="1"/>
                <w:bCs w:val="1"/>
                <w:color w:val="auto"/>
              </w:rPr>
              <w:t>(30,000)</w:t>
            </w:r>
          </w:p>
        </w:tc>
        <w:tc>
          <w:tcPr>
            <w:tcW w:w="146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(6,242)</w:t>
            </w:r>
          </w:p>
        </w:tc>
      </w:tr>
      <w:tr>
        <w:trPr>
          <w:trHeight w:val="135"/>
        </w:trPr>
        <w:tc>
          <w:tcPr>
            <w:tcW w:w="4720" w:type="dxa"/>
            <w:vAlign w:val="bottom"/>
          </w:tcPr>
          <w:p>
            <w:pPr>
              <w:spacing w:after="0"/>
              <w:rPr>
                <w:sz w:val="20"/>
                <w:szCs w:val="20"/>
                <w:color w:val="auto"/>
              </w:rPr>
            </w:pPr>
            <w:r>
              <w:rPr>
                <w:rFonts w:ascii="Courier New" w:cs="Courier New" w:eastAsia="Courier New" w:hAnsi="Courier New"/>
                <w:sz w:val="12"/>
                <w:szCs w:val="12"/>
                <w:color w:val="auto"/>
              </w:rPr>
              <w:t>Loans to related parties........................................</w:t>
            </w:r>
          </w:p>
        </w:tc>
        <w:tc>
          <w:tcPr>
            <w:tcW w:w="1920" w:type="dxa"/>
            <w:vAlign w:val="bottom"/>
          </w:tcPr>
          <w:p>
            <w:pPr>
              <w:jc w:val="right"/>
              <w:ind w:right="739"/>
              <w:spacing w:after="0"/>
              <w:rPr>
                <w:sz w:val="20"/>
                <w:szCs w:val="20"/>
                <w:color w:val="auto"/>
              </w:rPr>
            </w:pPr>
            <w:r>
              <w:rPr>
                <w:rFonts w:ascii="Courier New" w:cs="Courier New" w:eastAsia="Courier New" w:hAnsi="Courier New"/>
                <w:sz w:val="12"/>
                <w:szCs w:val="12"/>
                <w:b w:val="1"/>
                <w:bCs w:val="1"/>
                <w:color w:val="auto"/>
              </w:rPr>
              <w:t>(5,057)</w:t>
            </w:r>
          </w:p>
        </w:tc>
        <w:tc>
          <w:tcPr>
            <w:tcW w:w="146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w:t>
            </w:r>
          </w:p>
        </w:tc>
      </w:tr>
      <w:tr>
        <w:trPr>
          <w:trHeight w:val="135"/>
        </w:trPr>
        <w:tc>
          <w:tcPr>
            <w:tcW w:w="4720" w:type="dxa"/>
            <w:vAlign w:val="bottom"/>
          </w:tcPr>
          <w:p>
            <w:pPr>
              <w:spacing w:after="0"/>
              <w:rPr>
                <w:sz w:val="20"/>
                <w:szCs w:val="20"/>
                <w:color w:val="auto"/>
              </w:rPr>
            </w:pPr>
            <w:r>
              <w:rPr>
                <w:rFonts w:ascii="Courier New" w:cs="Courier New" w:eastAsia="Courier New" w:hAnsi="Courier New"/>
                <w:sz w:val="12"/>
                <w:szCs w:val="12"/>
                <w:color w:val="auto"/>
              </w:rPr>
              <w:t>Additions to deferred financing costs...........................</w:t>
            </w:r>
          </w:p>
        </w:tc>
        <w:tc>
          <w:tcPr>
            <w:tcW w:w="1920" w:type="dxa"/>
            <w:vAlign w:val="bottom"/>
          </w:tcPr>
          <w:p>
            <w:pPr>
              <w:jc w:val="right"/>
              <w:ind w:right="739"/>
              <w:spacing w:after="0"/>
              <w:rPr>
                <w:sz w:val="20"/>
                <w:szCs w:val="20"/>
                <w:color w:val="auto"/>
              </w:rPr>
            </w:pPr>
            <w:r>
              <w:rPr>
                <w:rFonts w:ascii="Courier New" w:cs="Courier New" w:eastAsia="Courier New" w:hAnsi="Courier New"/>
                <w:sz w:val="12"/>
                <w:szCs w:val="12"/>
                <w:b w:val="1"/>
                <w:bCs w:val="1"/>
                <w:color w:val="auto"/>
              </w:rPr>
              <w:t>(82)</w:t>
            </w:r>
          </w:p>
        </w:tc>
        <w:tc>
          <w:tcPr>
            <w:tcW w:w="146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(671)</w:t>
            </w:r>
          </w:p>
        </w:tc>
      </w:tr>
      <w:tr>
        <w:trPr>
          <w:trHeight w:val="135"/>
        </w:trPr>
        <w:tc>
          <w:tcPr>
            <w:tcW w:w="4720" w:type="dxa"/>
            <w:vAlign w:val="bottom"/>
          </w:tcPr>
          <w:p>
            <w:pPr>
              <w:spacing w:after="0"/>
              <w:rPr>
                <w:sz w:val="11"/>
                <w:szCs w:val="11"/>
                <w:color w:val="auto"/>
              </w:rPr>
            </w:pPr>
          </w:p>
        </w:tc>
        <w:tc>
          <w:tcPr>
            <w:tcW w:w="192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720" w:type="dxa"/>
            <w:vAlign w:val="bottom"/>
          </w:tcPr>
          <w:p>
            <w:pPr>
              <w:spacing w:after="0"/>
              <w:rPr>
                <w:sz w:val="20"/>
                <w:szCs w:val="20"/>
                <w:color w:val="auto"/>
              </w:rPr>
            </w:pPr>
            <w:r>
              <w:rPr>
                <w:rFonts w:ascii="Courier New" w:cs="Courier New" w:eastAsia="Courier New" w:hAnsi="Courier New"/>
                <w:sz w:val="12"/>
                <w:szCs w:val="12"/>
                <w:b w:val="1"/>
                <w:bCs w:val="1"/>
                <w:color w:val="auto"/>
              </w:rPr>
              <w:t>Net cash used in financing activities...........................</w:t>
            </w:r>
          </w:p>
        </w:tc>
        <w:tc>
          <w:tcPr>
            <w:tcW w:w="1920" w:type="dxa"/>
            <w:vAlign w:val="bottom"/>
          </w:tcPr>
          <w:p>
            <w:pPr>
              <w:jc w:val="right"/>
              <w:ind w:right="739"/>
              <w:spacing w:after="0"/>
              <w:rPr>
                <w:sz w:val="20"/>
                <w:szCs w:val="20"/>
                <w:color w:val="auto"/>
              </w:rPr>
            </w:pPr>
            <w:r>
              <w:rPr>
                <w:rFonts w:ascii="Courier New" w:cs="Courier New" w:eastAsia="Courier New" w:hAnsi="Courier New"/>
                <w:sz w:val="12"/>
                <w:szCs w:val="12"/>
                <w:b w:val="1"/>
                <w:bCs w:val="1"/>
                <w:color w:val="auto"/>
              </w:rPr>
              <w:t>(43,795)</w:t>
            </w:r>
          </w:p>
        </w:tc>
        <w:tc>
          <w:tcPr>
            <w:tcW w:w="146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(23,613)</w:t>
            </w:r>
          </w:p>
        </w:tc>
      </w:tr>
      <w:tr>
        <w:trPr>
          <w:trHeight w:val="137"/>
        </w:trPr>
        <w:tc>
          <w:tcPr>
            <w:tcW w:w="4720" w:type="dxa"/>
            <w:vAlign w:val="bottom"/>
          </w:tcPr>
          <w:p>
            <w:pPr>
              <w:spacing w:after="0"/>
              <w:rPr>
                <w:sz w:val="11"/>
                <w:szCs w:val="11"/>
                <w:color w:val="auto"/>
              </w:rPr>
            </w:pPr>
          </w:p>
        </w:tc>
        <w:tc>
          <w:tcPr>
            <w:tcW w:w="192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4720" w:type="dxa"/>
            <w:vAlign w:val="bottom"/>
          </w:tcPr>
          <w:p>
            <w:pPr>
              <w:spacing w:after="0"/>
              <w:rPr>
                <w:sz w:val="20"/>
                <w:szCs w:val="20"/>
                <w:color w:val="auto"/>
              </w:rPr>
            </w:pPr>
            <w:r>
              <w:rPr>
                <w:rFonts w:ascii="Courier New" w:cs="Courier New" w:eastAsia="Courier New" w:hAnsi="Courier New"/>
                <w:sz w:val="12"/>
                <w:szCs w:val="12"/>
                <w:color w:val="auto"/>
              </w:rPr>
              <w:t>Net decrease in cash and cash equivalents.......................</w:t>
            </w:r>
          </w:p>
        </w:tc>
        <w:tc>
          <w:tcPr>
            <w:tcW w:w="1920" w:type="dxa"/>
            <w:vAlign w:val="bottom"/>
          </w:tcPr>
          <w:p>
            <w:pPr>
              <w:jc w:val="right"/>
              <w:ind w:right="739"/>
              <w:spacing w:after="0"/>
              <w:rPr>
                <w:sz w:val="20"/>
                <w:szCs w:val="20"/>
                <w:color w:val="auto"/>
              </w:rPr>
            </w:pPr>
            <w:r>
              <w:rPr>
                <w:rFonts w:ascii="Courier New" w:cs="Courier New" w:eastAsia="Courier New" w:hAnsi="Courier New"/>
                <w:sz w:val="12"/>
                <w:szCs w:val="12"/>
                <w:b w:val="1"/>
                <w:bCs w:val="1"/>
                <w:color w:val="auto"/>
              </w:rPr>
              <w:t>(8,909)</w:t>
            </w:r>
          </w:p>
        </w:tc>
        <w:tc>
          <w:tcPr>
            <w:tcW w:w="146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(2,180)</w:t>
            </w:r>
          </w:p>
        </w:tc>
      </w:tr>
      <w:tr>
        <w:trPr>
          <w:trHeight w:val="135"/>
        </w:trPr>
        <w:tc>
          <w:tcPr>
            <w:tcW w:w="4720" w:type="dxa"/>
            <w:vAlign w:val="bottom"/>
          </w:tcPr>
          <w:p>
            <w:pPr>
              <w:spacing w:after="0"/>
              <w:rPr>
                <w:sz w:val="20"/>
                <w:szCs w:val="20"/>
                <w:color w:val="auto"/>
              </w:rPr>
            </w:pPr>
            <w:r>
              <w:rPr>
                <w:rFonts w:ascii="Courier New" w:cs="Courier New" w:eastAsia="Courier New" w:hAnsi="Courier New"/>
                <w:sz w:val="12"/>
                <w:szCs w:val="12"/>
                <w:color w:val="auto"/>
              </w:rPr>
              <w:t>Cash and cash equivalents, beginning of period..................</w:t>
            </w:r>
          </w:p>
        </w:tc>
        <w:tc>
          <w:tcPr>
            <w:tcW w:w="1920" w:type="dxa"/>
            <w:vAlign w:val="bottom"/>
          </w:tcPr>
          <w:p>
            <w:pPr>
              <w:jc w:val="right"/>
              <w:ind w:right="819"/>
              <w:spacing w:after="0"/>
              <w:rPr>
                <w:sz w:val="20"/>
                <w:szCs w:val="20"/>
                <w:color w:val="auto"/>
              </w:rPr>
            </w:pPr>
            <w:r>
              <w:rPr>
                <w:rFonts w:ascii="Courier New" w:cs="Courier New" w:eastAsia="Courier New" w:hAnsi="Courier New"/>
                <w:sz w:val="12"/>
                <w:szCs w:val="12"/>
                <w:b w:val="1"/>
                <w:bCs w:val="1"/>
                <w:color w:val="auto"/>
              </w:rPr>
              <w:t>33,362</w:t>
            </w:r>
          </w:p>
        </w:tc>
        <w:tc>
          <w:tcPr>
            <w:tcW w:w="146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18,476</w:t>
            </w:r>
          </w:p>
        </w:tc>
      </w:tr>
      <w:tr>
        <w:trPr>
          <w:trHeight w:val="135"/>
        </w:trPr>
        <w:tc>
          <w:tcPr>
            <w:tcW w:w="4720" w:type="dxa"/>
            <w:vAlign w:val="bottom"/>
          </w:tcPr>
          <w:p>
            <w:pPr>
              <w:spacing w:after="0"/>
              <w:rPr>
                <w:sz w:val="11"/>
                <w:szCs w:val="11"/>
                <w:color w:val="auto"/>
              </w:rPr>
            </w:pPr>
          </w:p>
        </w:tc>
        <w:tc>
          <w:tcPr>
            <w:tcW w:w="192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720" w:type="dxa"/>
            <w:vAlign w:val="bottom"/>
          </w:tcPr>
          <w:p>
            <w:pPr>
              <w:spacing w:after="0"/>
              <w:rPr>
                <w:sz w:val="20"/>
                <w:szCs w:val="20"/>
                <w:color w:val="auto"/>
              </w:rPr>
            </w:pPr>
            <w:r>
              <w:rPr>
                <w:rFonts w:ascii="Courier New" w:cs="Courier New" w:eastAsia="Courier New" w:hAnsi="Courier New"/>
                <w:sz w:val="12"/>
                <w:szCs w:val="12"/>
                <w:b w:val="1"/>
                <w:bCs w:val="1"/>
                <w:color w:val="auto"/>
              </w:rPr>
              <w:t>Cash and cash equivalents, end of period........................</w:t>
            </w:r>
          </w:p>
        </w:tc>
        <w:tc>
          <w:tcPr>
            <w:tcW w:w="1920" w:type="dxa"/>
            <w:vAlign w:val="bottom"/>
          </w:tcPr>
          <w:p>
            <w:pPr>
              <w:jc w:val="right"/>
              <w:ind w:right="819"/>
              <w:spacing w:after="0"/>
              <w:rPr>
                <w:sz w:val="20"/>
                <w:szCs w:val="20"/>
                <w:color w:val="auto"/>
              </w:rPr>
            </w:pPr>
            <w:r>
              <w:rPr>
                <w:rFonts w:ascii="Courier New" w:cs="Courier New" w:eastAsia="Courier New" w:hAnsi="Courier New"/>
                <w:sz w:val="12"/>
                <w:szCs w:val="12"/>
                <w:b w:val="1"/>
                <w:bCs w:val="1"/>
                <w:color w:val="auto"/>
              </w:rPr>
              <w:t>$24,453</w:t>
            </w:r>
          </w:p>
        </w:tc>
        <w:tc>
          <w:tcPr>
            <w:tcW w:w="146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$16,296</w:t>
            </w:r>
          </w:p>
        </w:tc>
      </w:tr>
      <w:tr>
        <w:trPr>
          <w:trHeight w:val="137"/>
        </w:trPr>
        <w:tc>
          <w:tcPr>
            <w:tcW w:w="4720" w:type="dxa"/>
            <w:vAlign w:val="bottom"/>
          </w:tcPr>
          <w:p>
            <w:pPr>
              <w:spacing w:after="0"/>
              <w:rPr>
                <w:sz w:val="11"/>
                <w:szCs w:val="11"/>
                <w:color w:val="auto"/>
              </w:rPr>
            </w:pPr>
          </w:p>
        </w:tc>
        <w:tc>
          <w:tcPr>
            <w:tcW w:w="192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accompanying notes are an integral part of the financial statements.</w:t>
      </w:r>
    </w:p>
    <w:p>
      <w:pPr>
        <w:spacing w:after="0" w:line="200"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ind w:left="440" w:hanging="432"/>
        <w:spacing w:after="0"/>
        <w:tabs>
          <w:tab w:leader="none" w:pos="4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Organization and Basis of Presentation</w:t>
      </w:r>
    </w:p>
    <w:p>
      <w:pPr>
        <w:spacing w:after="0" w:line="212"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CPG Partners, L.P., a Delaware limited partnership, (the "Operating Partnership" or "OP") is 84.4% owned and managed by its sole general partner, Chelsea Property Group, Inc. (the "Company"). In October 2004, the Company merged with Simon Property Group, Inc. ("Simon") and became a private real estate investment trust ("REIT") . The OP specializes in owning, developing, leasing, marketing and managing upscale and fashion-oriented manufacturers' outlet centers. As of March 31, 2005, the OP wholly or partially-owned 60 centers in 30 states, Japan and Mexico containing approximately 16.9 million square feet of gross leasable area ("GLA"); the OP's portfolio comprised 41 Domestic and International Outlet centers containing 14.5 million square feet of GLA (the "Outlets") and 19 other centers containing approximately 2.4 million square feet of GLA ("Other Retail") (collectively the "Properties"). The OP's Outlets generated approximately 96% and 98% of the OP's real estate net operating income for the three months ended March 31, 2005, and 2004, respectively. The Outlets generally are located near metropolitan areas including New York City, Los Angeles, Chicago, Boston, Washington, D.C., San Francisco, Sacramento, Atlanta, Dallas, Mexico City, Mexico and Tokyo, Osaka and Nagoya, Japan. Some Outlets are also located within 20 miles of major tourist destinations including Palm Springs, Napa Valley, Orlando, Las Vegas and Honolulu.</w:t>
      </w:r>
    </w:p>
    <w:p>
      <w:pPr>
        <w:spacing w:after="0" w:line="162" w:lineRule="exact"/>
        <w:rPr>
          <w:sz w:val="20"/>
          <w:szCs w:val="20"/>
          <w:color w:val="auto"/>
        </w:rPr>
      </w:pPr>
    </w:p>
    <w:p>
      <w:pPr>
        <w:ind w:right="180"/>
        <w:spacing w:after="0" w:line="297" w:lineRule="auto"/>
        <w:rPr>
          <w:sz w:val="20"/>
          <w:szCs w:val="20"/>
          <w:color w:val="auto"/>
        </w:rPr>
      </w:pPr>
      <w:r>
        <w:rPr>
          <w:rFonts w:ascii="Arial" w:cs="Arial" w:eastAsia="Arial" w:hAnsi="Arial"/>
          <w:sz w:val="19"/>
          <w:szCs w:val="19"/>
          <w:color w:val="auto"/>
        </w:rPr>
        <w:t>The consolidated financial statements contain the accounts of the Operating Partnership and its majority owned subsidiaries. Such subsidiaries represent partnerships in which the OP has greater than a 50% ownership interest and the ability to maintain operational control. All significant intercompany transactions and accounts have been eliminated in consolidation.</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Common ownership of the OP as of March 31, 2005, was approximately as follows:</w:t>
      </w:r>
    </w:p>
    <w:p>
      <w:pPr>
        <w:spacing w:after="0" w:line="224"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2100" w:type="dxa"/>
            <w:vAlign w:val="bottom"/>
          </w:tcPr>
          <w:p>
            <w:pPr>
              <w:spacing w:after="0"/>
              <w:rPr>
                <w:sz w:val="17"/>
                <w:szCs w:val="17"/>
                <w:color w:val="auto"/>
              </w:rPr>
            </w:pPr>
          </w:p>
        </w:tc>
        <w:tc>
          <w:tcPr>
            <w:tcW w:w="2900" w:type="dxa"/>
            <w:vAlign w:val="bottom"/>
          </w:tcPr>
          <w:p>
            <w:pPr>
              <w:jc w:val="right"/>
              <w:ind w:right="292"/>
              <w:spacing w:after="0"/>
              <w:rPr>
                <w:sz w:val="20"/>
                <w:szCs w:val="20"/>
                <w:color w:val="auto"/>
              </w:rPr>
            </w:pPr>
            <w:r>
              <w:rPr>
                <w:rFonts w:ascii="Courier New" w:cs="Courier New" w:eastAsia="Courier New" w:hAnsi="Courier New"/>
                <w:sz w:val="18"/>
                <w:szCs w:val="18"/>
                <w:b w:val="1"/>
                <w:bCs w:val="1"/>
                <w:color w:val="auto"/>
              </w:rPr>
              <w:t>Number of units</w:t>
            </w:r>
          </w:p>
        </w:tc>
        <w:tc>
          <w:tcPr>
            <w:tcW w:w="2160" w:type="dxa"/>
            <w:vAlign w:val="bottom"/>
          </w:tcPr>
          <w:p>
            <w:pPr>
              <w:jc w:val="right"/>
              <w:spacing w:after="0"/>
              <w:rPr>
                <w:sz w:val="20"/>
                <w:szCs w:val="20"/>
                <w:color w:val="auto"/>
              </w:rPr>
            </w:pPr>
            <w:r>
              <w:rPr>
                <w:rFonts w:ascii="Courier New" w:cs="Courier New" w:eastAsia="Courier New" w:hAnsi="Courier New"/>
                <w:sz w:val="18"/>
                <w:szCs w:val="18"/>
                <w:b w:val="1"/>
                <w:bCs w:val="1"/>
                <w:color w:val="auto"/>
              </w:rPr>
              <w:t>% of total units</w:t>
            </w:r>
          </w:p>
        </w:tc>
      </w:tr>
      <w:tr>
        <w:trPr>
          <w:trHeight w:val="203"/>
        </w:trPr>
        <w:tc>
          <w:tcPr>
            <w:tcW w:w="2100" w:type="dxa"/>
            <w:vAlign w:val="bottom"/>
          </w:tcPr>
          <w:p>
            <w:pPr>
              <w:spacing w:after="0"/>
              <w:rPr>
                <w:sz w:val="17"/>
                <w:szCs w:val="17"/>
                <w:color w:val="auto"/>
              </w:rPr>
            </w:pPr>
          </w:p>
        </w:tc>
        <w:tc>
          <w:tcPr>
            <w:tcW w:w="2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b w:val="1"/>
                <w:bCs w:val="1"/>
                <w:color w:val="auto"/>
              </w:rPr>
              <w:t>--------------------</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b w:val="1"/>
                <w:bCs w:val="1"/>
                <w:color w:val="auto"/>
              </w:rPr>
              <w:t>------------------</w:t>
            </w: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rPr>
              <w:t>General Partner</w:t>
            </w:r>
          </w:p>
        </w:tc>
        <w:tc>
          <w:tcPr>
            <w:tcW w:w="2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44,206,000</w:t>
            </w:r>
          </w:p>
        </w:tc>
        <w:tc>
          <w:tcPr>
            <w:tcW w:w="2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84.4%</w:t>
            </w: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Limited Partners</w:t>
            </w:r>
          </w:p>
        </w:tc>
        <w:tc>
          <w:tcPr>
            <w:tcW w:w="2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8,164,000</w:t>
            </w: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15.6%</w:t>
            </w:r>
          </w:p>
        </w:tc>
      </w:tr>
      <w:tr>
        <w:trPr>
          <w:trHeight w:val="203"/>
        </w:trPr>
        <w:tc>
          <w:tcPr>
            <w:tcW w:w="2100" w:type="dxa"/>
            <w:vAlign w:val="bottom"/>
          </w:tcPr>
          <w:p>
            <w:pPr>
              <w:spacing w:after="0"/>
              <w:rPr>
                <w:sz w:val="17"/>
                <w:szCs w:val="17"/>
                <w:color w:val="auto"/>
              </w:rPr>
            </w:pPr>
          </w:p>
        </w:tc>
        <w:tc>
          <w:tcPr>
            <w:tcW w:w="2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b w:val="1"/>
                <w:bCs w:val="1"/>
                <w:color w:val="auto"/>
              </w:rPr>
              <w:t>Total</w:t>
            </w:r>
          </w:p>
        </w:tc>
        <w:tc>
          <w:tcPr>
            <w:tcW w:w="2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52,370,000</w:t>
            </w: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r>
    </w:tbl>
    <w:p>
      <w:pPr>
        <w:spacing w:after="0" w:line="399"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accounting principles generally accepted in the United States for complete financial statements. In the opinion of management, all adjustments (consisting of normal recurring accruals) considered necessary for fair presentation have been included. Operating results for the three months ended March 31, 2005, are not necessarily indicative of the results that may be expected for the year ending December 31, 2005. The balance sheet at December 31, 2004 has been derived from the audited financial statements at that date but does not include all of the information and footnotes required by accounting principles generally accepted in the United States for complete financial statements. These financial statements should be read in conjunction with the consolidated financial statements and accompanying notes included in the OP's Annual Report on Form 10-K for the year ended December 31, 2004.</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Certain amounts in the prior year financial statements have been reclassified to conform to current year presentation.</w:t>
      </w:r>
    </w:p>
    <w:p>
      <w:pPr>
        <w:spacing w:after="0" w:line="200"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rPr>
          <w:sz w:val="20"/>
          <w:szCs w:val="20"/>
          <w:color w:val="auto"/>
        </w:rPr>
      </w:pPr>
      <w:r>
        <w:rPr>
          <w:rFonts w:ascii="Arial" w:cs="Arial" w:eastAsia="Arial" w:hAnsi="Arial"/>
          <w:sz w:val="22"/>
          <w:szCs w:val="22"/>
          <w:b w:val="1"/>
          <w:bCs w:val="1"/>
          <w:i w:val="1"/>
          <w:iCs w:val="1"/>
          <w:color w:val="auto"/>
        </w:rPr>
        <w:t>(Unaudited)</w:t>
      </w:r>
    </w:p>
    <w:p>
      <w:pPr>
        <w:sectPr>
          <w:pgSz w:w="11900" w:h="16838" w:orient="portrait"/>
          <w:cols w:equalWidth="0" w:num="1">
            <w:col w:w="11420"/>
          </w:cols>
          <w:pgMar w:left="240" w:top="267" w:right="239" w:bottom="0" w:gutter="0" w:footer="0" w:header="0"/>
        </w:sectPr>
      </w:pPr>
    </w:p>
    <w:bookmarkStart w:id="3" w:name="page4"/>
    <w:bookmarkEnd w:id="3"/>
    <w:p>
      <w:pPr>
        <w:ind w:left="440" w:hanging="432"/>
        <w:spacing w:after="0"/>
        <w:tabs>
          <w:tab w:leader="none" w:pos="44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Dispositions</w:t>
      </w:r>
    </w:p>
    <w:p>
      <w:pPr>
        <w:spacing w:after="0" w:line="213" w:lineRule="exact"/>
        <w:rPr>
          <w:sz w:val="20"/>
          <w:szCs w:val="20"/>
          <w:color w:val="auto"/>
        </w:rPr>
      </w:pPr>
    </w:p>
    <w:p>
      <w:pPr>
        <w:ind w:right="40"/>
        <w:spacing w:after="0"/>
        <w:rPr>
          <w:sz w:val="20"/>
          <w:szCs w:val="20"/>
          <w:color w:val="auto"/>
        </w:rPr>
      </w:pPr>
      <w:r>
        <w:rPr>
          <w:rFonts w:ascii="Arial" w:cs="Arial" w:eastAsia="Arial" w:hAnsi="Arial"/>
          <w:sz w:val="22"/>
          <w:szCs w:val="22"/>
          <w:color w:val="auto"/>
        </w:rPr>
        <w:t>In March 2005, the OP sold Lakeland Factory Outlet Mall, a 319,000 square-foot center located in Lakeland, Tennessee. Net proceeds from the sale of the center were approximately $3.8 million and the net book value was $3.5 million. Accordingly, the OP recognized a $0.3 million gain in the first quarter 2005.</w:t>
      </w:r>
    </w:p>
    <w:p>
      <w:pPr>
        <w:spacing w:after="0" w:line="180" w:lineRule="exact"/>
        <w:rPr>
          <w:sz w:val="20"/>
          <w:szCs w:val="20"/>
          <w:color w:val="auto"/>
        </w:rPr>
      </w:pPr>
    </w:p>
    <w:p>
      <w:pPr>
        <w:ind w:left="440" w:hanging="432"/>
        <w:spacing w:after="0"/>
        <w:tabs>
          <w:tab w:leader="none" w:pos="44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Investments in Affiliates</w:t>
      </w:r>
    </w:p>
    <w:p>
      <w:pPr>
        <w:spacing w:after="0" w:line="212"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The OP holds interests in several domestic and international joint ventures. Non-controlling investments are accounted for under the equity method. Equity in earnings or losses of these affiliates, and related management, advisory, license, leasing and guarantee fees earned, are included in income from unconsolidated investments in the accompanying financial statements.</w:t>
      </w:r>
    </w:p>
    <w:p>
      <w:pPr>
        <w:spacing w:after="0" w:line="134" w:lineRule="exact"/>
        <w:rPr>
          <w:sz w:val="20"/>
          <w:szCs w:val="20"/>
          <w:color w:val="auto"/>
        </w:rPr>
      </w:pPr>
    </w:p>
    <w:p>
      <w:pPr>
        <w:ind w:right="40"/>
        <w:spacing w:after="0" w:line="252" w:lineRule="auto"/>
        <w:rPr>
          <w:sz w:val="20"/>
          <w:szCs w:val="20"/>
          <w:color w:val="auto"/>
        </w:rPr>
      </w:pPr>
      <w:r>
        <w:rPr>
          <w:rFonts w:ascii="Arial" w:cs="Arial" w:eastAsia="Arial" w:hAnsi="Arial"/>
          <w:sz w:val="21"/>
          <w:szCs w:val="21"/>
          <w:color w:val="auto"/>
        </w:rPr>
        <w:t>At March 31, 2005, the OP's interests in joint ventures included a 50% interest in Las Vegas Premium Outlets and a 50% interest in Chicago Premium Outlets with Simon, (collectively "Simon Ventures"); a 40% interest in Chelsea Japan Co., Ltd. ("Chelsea Japan"); a 50% interest in Premium Outlets Punta Norte ("Chelsea Mexico"); and minority interests in various outlet centers and development projects in Europe operated by Value Retail PLC ("Value Retail").</w:t>
      </w:r>
    </w:p>
    <w:p>
      <w:pPr>
        <w:spacing w:after="0" w:line="174" w:lineRule="exact"/>
        <w:rPr>
          <w:sz w:val="20"/>
          <w:szCs w:val="20"/>
          <w:color w:val="auto"/>
        </w:rPr>
      </w:pPr>
    </w:p>
    <w:p>
      <w:pPr>
        <w:ind w:right="220"/>
        <w:spacing w:after="0" w:line="249" w:lineRule="auto"/>
        <w:rPr>
          <w:sz w:val="20"/>
          <w:szCs w:val="20"/>
          <w:color w:val="auto"/>
        </w:rPr>
      </w:pPr>
      <w:r>
        <w:rPr>
          <w:rFonts w:ascii="Arial" w:cs="Arial" w:eastAsia="Arial" w:hAnsi="Arial"/>
          <w:sz w:val="21"/>
          <w:szCs w:val="21"/>
          <w:color w:val="auto"/>
        </w:rPr>
        <w:t>In March 2005, Chelsea Japan opened its fifth project, the 178,000 square-foot first phase of Toki Premium Outlets located near Nagoya, Japan. Chelsea Japan owns and operates four other centers: Gotemba Premium Outlets, a 390,000 square-foot property located 60 miles west of Tokyo; Rinku Premium Outlets, a 321,000 square-foot property located near Osaka; Sano Premium Outlets, a 229,000 square-foot property located about 40 miles north of Tokyo, and Tosu Premium Outlets, a 187,000 square-foot property located approximately 20 miles south of Fukuoka.</w:t>
      </w:r>
    </w:p>
    <w:p>
      <w:pPr>
        <w:spacing w:after="0" w:line="179" w:lineRule="exact"/>
        <w:rPr>
          <w:sz w:val="20"/>
          <w:szCs w:val="20"/>
          <w:color w:val="auto"/>
        </w:rPr>
      </w:pPr>
    </w:p>
    <w:p>
      <w:pPr>
        <w:ind w:right="160"/>
        <w:spacing w:after="0" w:line="274" w:lineRule="auto"/>
        <w:rPr>
          <w:sz w:val="20"/>
          <w:szCs w:val="20"/>
          <w:color w:val="auto"/>
        </w:rPr>
      </w:pPr>
      <w:r>
        <w:rPr>
          <w:rFonts w:ascii="Arial" w:cs="Arial" w:eastAsia="Arial" w:hAnsi="Arial"/>
          <w:sz w:val="21"/>
          <w:szCs w:val="21"/>
          <w:color w:val="auto"/>
        </w:rPr>
        <w:t>In August 2002, the OP and Simon entered into a 50/50 joint venture to develop and operate Chicago Premium Outlets, a 438,000 square-foot single-phase Premium Outlet center located in Aurora, Illinois, which opened in May 2004.</w:t>
      </w:r>
    </w:p>
    <w:p>
      <w:pPr>
        <w:spacing w:after="0" w:line="151" w:lineRule="exact"/>
        <w:rPr>
          <w:sz w:val="20"/>
          <w:szCs w:val="20"/>
          <w:color w:val="auto"/>
        </w:rPr>
      </w:pPr>
    </w:p>
    <w:p>
      <w:pPr>
        <w:ind w:right="220"/>
        <w:spacing w:after="0" w:line="274" w:lineRule="auto"/>
        <w:rPr>
          <w:sz w:val="20"/>
          <w:szCs w:val="20"/>
          <w:color w:val="auto"/>
        </w:rPr>
      </w:pPr>
      <w:r>
        <w:rPr>
          <w:rFonts w:ascii="Arial" w:cs="Arial" w:eastAsia="Arial" w:hAnsi="Arial"/>
          <w:sz w:val="21"/>
          <w:szCs w:val="21"/>
          <w:color w:val="auto"/>
        </w:rPr>
        <w:t>In June 2002, the OP and Simon entered into a 50/50 joint venture to develop and operate Las Vegas Premium Outlets, a 435,000 square-foot single-phase outlet center located in Las Vegas, Nevada, which opened in August 2003.</w:t>
      </w:r>
    </w:p>
    <w:p>
      <w:pPr>
        <w:spacing w:after="0" w:line="151"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In May 2002, the OP entered into a 50/50 joint venture agreement with Sordo Madaleno y Asociados and affiliates to jointly develop Premium Outlet centers in Mexico. In December 2004, the joint venture opened its first project; a 232,000 square-foot first phase of Premium Outlets Punta Norte, located near Mexico City. As of March 31, 2005, the OP had contributed its 50% share or $15.8 million of total estimated development costs of $16.5 million; the balance is expected to be paid during 2005. In February 2005, a wholly owned subsidiary of the OP repaid the outstanding balance of its 180 million peso-denominated credit facility. The revolving facility, guaranteed by the Company and OP, is available to fund the OP's share of construction costs for projects in Mexico.</w:t>
      </w:r>
    </w:p>
    <w:p>
      <w:pPr>
        <w:spacing w:after="0" w:line="19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OP has minority interests ranging from 3% to 8% in several outlet centers and outlet development projects in Europe. The OP's total investment in Europe as of March 31, 2005 was $3.6 million.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19"/>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ind w:left="440" w:hanging="432"/>
        <w:spacing w:after="0"/>
        <w:tabs>
          <w:tab w:leader="none" w:pos="44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Investments in Affiliates (continued)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a summary of investments in and amounts due from affiliates at March 31, 2005 (in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100" w:type="dxa"/>
            <w:vAlign w:val="bottom"/>
          </w:tcPr>
          <w:p>
            <w:pPr>
              <w:spacing w:after="0"/>
              <w:rPr>
                <w:sz w:val="11"/>
                <w:szCs w:val="11"/>
                <w:color w:val="auto"/>
              </w:rPr>
            </w:pPr>
          </w:p>
        </w:tc>
        <w:tc>
          <w:tcPr>
            <w:tcW w:w="122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Simon</w:t>
            </w:r>
          </w:p>
        </w:tc>
        <w:tc>
          <w:tcPr>
            <w:tcW w:w="116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Chelsea</w:t>
            </w:r>
          </w:p>
        </w:tc>
        <w:tc>
          <w:tcPr>
            <w:tcW w:w="1060" w:type="dxa"/>
            <w:vAlign w:val="bottom"/>
          </w:tcPr>
          <w:p>
            <w:pPr>
              <w:jc w:val="right"/>
              <w:ind w:right="279"/>
              <w:spacing w:after="0"/>
              <w:rPr>
                <w:sz w:val="20"/>
                <w:szCs w:val="20"/>
                <w:color w:val="auto"/>
              </w:rPr>
            </w:pPr>
            <w:r>
              <w:rPr>
                <w:rFonts w:ascii="Courier New" w:cs="Courier New" w:eastAsia="Courier New" w:hAnsi="Courier New"/>
                <w:sz w:val="12"/>
                <w:szCs w:val="12"/>
                <w:b w:val="1"/>
                <w:bCs w:val="1"/>
                <w:color w:val="auto"/>
              </w:rPr>
              <w:t>Chelsea</w:t>
            </w: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3100" w:type="dxa"/>
            <w:vAlign w:val="bottom"/>
          </w:tcPr>
          <w:p>
            <w:pPr>
              <w:spacing w:after="0"/>
              <w:rPr>
                <w:sz w:val="11"/>
                <w:szCs w:val="11"/>
                <w:color w:val="auto"/>
              </w:rPr>
            </w:pPr>
          </w:p>
        </w:tc>
        <w:tc>
          <w:tcPr>
            <w:tcW w:w="122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Ventures</w:t>
            </w:r>
          </w:p>
        </w:tc>
        <w:tc>
          <w:tcPr>
            <w:tcW w:w="116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Japan</w:t>
            </w:r>
          </w:p>
        </w:tc>
        <w:tc>
          <w:tcPr>
            <w:tcW w:w="1060" w:type="dxa"/>
            <w:vAlign w:val="bottom"/>
          </w:tcPr>
          <w:p>
            <w:pPr>
              <w:jc w:val="right"/>
              <w:ind w:right="279"/>
              <w:spacing w:after="0"/>
              <w:rPr>
                <w:sz w:val="20"/>
                <w:szCs w:val="20"/>
                <w:color w:val="auto"/>
              </w:rPr>
            </w:pPr>
            <w:r>
              <w:rPr>
                <w:rFonts w:ascii="Courier New" w:cs="Courier New" w:eastAsia="Courier New" w:hAnsi="Courier New"/>
                <w:sz w:val="12"/>
                <w:szCs w:val="12"/>
                <w:b w:val="1"/>
                <w:bCs w:val="1"/>
                <w:color w:val="auto"/>
              </w:rPr>
              <w:t>Mexico</w:t>
            </w:r>
          </w:p>
        </w:tc>
        <w:tc>
          <w:tcPr>
            <w:tcW w:w="980" w:type="dxa"/>
            <w:vAlign w:val="bottom"/>
          </w:tcPr>
          <w:p>
            <w:pPr>
              <w:ind w:left="260"/>
              <w:spacing w:after="0"/>
              <w:rPr>
                <w:sz w:val="20"/>
                <w:szCs w:val="20"/>
                <w:color w:val="auto"/>
              </w:rPr>
            </w:pPr>
            <w:r>
              <w:rPr>
                <w:rFonts w:ascii="Courier New" w:cs="Courier New" w:eastAsia="Courier New" w:hAnsi="Courier New"/>
                <w:sz w:val="12"/>
                <w:szCs w:val="12"/>
                <w:b w:val="1"/>
                <w:bCs w:val="1"/>
                <w:color w:val="auto"/>
              </w:rPr>
              <w:t>Other</w:t>
            </w:r>
          </w:p>
        </w:tc>
        <w:tc>
          <w:tcPr>
            <w:tcW w:w="10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Total</w:t>
            </w:r>
          </w:p>
        </w:tc>
      </w:tr>
      <w:tr>
        <w:trPr>
          <w:trHeight w:val="135"/>
        </w:trPr>
        <w:tc>
          <w:tcPr>
            <w:tcW w:w="3100" w:type="dxa"/>
            <w:vAlign w:val="bottom"/>
          </w:tcPr>
          <w:p>
            <w:pPr>
              <w:spacing w:after="0"/>
              <w:rPr>
                <w:sz w:val="11"/>
                <w:szCs w:val="11"/>
                <w:color w:val="auto"/>
              </w:rPr>
            </w:pPr>
          </w:p>
        </w:tc>
        <w:tc>
          <w:tcPr>
            <w:tcW w:w="122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w:t>
            </w:r>
          </w:p>
        </w:tc>
        <w:tc>
          <w:tcPr>
            <w:tcW w:w="1160" w:type="dxa"/>
            <w:vAlign w:val="bottom"/>
          </w:tcPr>
          <w:p>
            <w:pPr>
              <w:jc w:val="center"/>
              <w:ind w:right="19"/>
              <w:spacing w:after="0"/>
              <w:rPr>
                <w:sz w:val="20"/>
                <w:szCs w:val="20"/>
                <w:color w:val="auto"/>
              </w:rPr>
            </w:pPr>
            <w:r>
              <w:rPr>
                <w:rFonts w:ascii="Courier New" w:cs="Courier New" w:eastAsia="Courier New" w:hAnsi="Courier New"/>
                <w:sz w:val="12"/>
                <w:szCs w:val="12"/>
                <w:b w:val="1"/>
                <w:bCs w:val="1"/>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w:t>
            </w:r>
          </w:p>
        </w:tc>
        <w:tc>
          <w:tcPr>
            <w:tcW w:w="98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w w:val="98"/>
              </w:rPr>
              <w:t>-------------</w:t>
            </w:r>
          </w:p>
        </w:tc>
      </w:tr>
      <w:tr>
        <w:trPr>
          <w:trHeight w:val="137"/>
        </w:trPr>
        <w:tc>
          <w:tcPr>
            <w:tcW w:w="3100" w:type="dxa"/>
            <w:vAlign w:val="bottom"/>
          </w:tcPr>
          <w:p>
            <w:pPr>
              <w:jc w:val="right"/>
              <w:ind w:right="179"/>
              <w:spacing w:after="0"/>
              <w:rPr>
                <w:sz w:val="20"/>
                <w:szCs w:val="20"/>
                <w:color w:val="auto"/>
              </w:rPr>
            </w:pPr>
            <w:r>
              <w:rPr>
                <w:rFonts w:ascii="Courier New" w:cs="Courier New" w:eastAsia="Courier New" w:hAnsi="Courier New"/>
                <w:sz w:val="12"/>
                <w:szCs w:val="12"/>
                <w:b w:val="1"/>
                <w:bCs w:val="1"/>
                <w:color w:val="auto"/>
              </w:rPr>
              <w:t>Balance December 31, 2004..............</w:t>
            </w:r>
          </w:p>
        </w:tc>
        <w:tc>
          <w:tcPr>
            <w:tcW w:w="122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$103,252</w:t>
            </w:r>
          </w:p>
        </w:tc>
        <w:tc>
          <w:tcPr>
            <w:tcW w:w="116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$26,783</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$15,874</w:t>
            </w:r>
          </w:p>
        </w:tc>
        <w:tc>
          <w:tcPr>
            <w:tcW w:w="98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$3,722</w:t>
            </w: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$149,631</w:t>
            </w:r>
          </w:p>
        </w:tc>
      </w:tr>
      <w:tr>
        <w:trPr>
          <w:trHeight w:val="270"/>
        </w:trPr>
        <w:tc>
          <w:tcPr>
            <w:tcW w:w="31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Additional investment...............</w:t>
            </w:r>
          </w:p>
        </w:tc>
        <w:tc>
          <w:tcPr>
            <w:tcW w:w="12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50</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50</w:t>
            </w:r>
          </w:p>
        </w:tc>
      </w:tr>
      <w:tr>
        <w:trPr>
          <w:trHeight w:val="268"/>
        </w:trPr>
        <w:tc>
          <w:tcPr>
            <w:tcW w:w="310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Income from unconsolidated</w:t>
            </w:r>
          </w:p>
        </w:tc>
        <w:tc>
          <w:tcPr>
            <w:tcW w:w="1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137"/>
        </w:trPr>
        <w:tc>
          <w:tcPr>
            <w:tcW w:w="31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investments........................</w:t>
            </w:r>
          </w:p>
        </w:tc>
        <w:tc>
          <w:tcPr>
            <w:tcW w:w="12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2,881</w:t>
            </w:r>
          </w:p>
        </w:tc>
        <w:tc>
          <w:tcPr>
            <w:tcW w:w="11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3,158</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25</w:t>
            </w:r>
          </w:p>
        </w:tc>
        <w:tc>
          <w:tcPr>
            <w:tcW w:w="9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6,064</w:t>
            </w:r>
          </w:p>
        </w:tc>
      </w:tr>
      <w:tr>
        <w:trPr>
          <w:trHeight w:val="270"/>
        </w:trPr>
        <w:tc>
          <w:tcPr>
            <w:tcW w:w="31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Distributions and fees..............</w:t>
            </w:r>
          </w:p>
        </w:tc>
        <w:tc>
          <w:tcPr>
            <w:tcW w:w="12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(5,785)</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(2,175)</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(7,960)</w:t>
            </w:r>
          </w:p>
        </w:tc>
      </w:tr>
      <w:tr>
        <w:trPr>
          <w:trHeight w:val="270"/>
        </w:trPr>
        <w:tc>
          <w:tcPr>
            <w:tcW w:w="31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Foreign exchange....................</w:t>
            </w:r>
          </w:p>
        </w:tc>
        <w:tc>
          <w:tcPr>
            <w:tcW w:w="12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(234)</w:t>
            </w: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(67)</w:t>
            </w:r>
          </w:p>
        </w:tc>
        <w:tc>
          <w:tcPr>
            <w:tcW w:w="9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(301)</w:t>
            </w:r>
          </w:p>
        </w:tc>
      </w:tr>
      <w:tr>
        <w:trPr>
          <w:trHeight w:val="268"/>
        </w:trPr>
        <w:tc>
          <w:tcPr>
            <w:tcW w:w="31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Advances (net) .....................</w:t>
            </w:r>
          </w:p>
        </w:tc>
        <w:tc>
          <w:tcPr>
            <w:tcW w:w="12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(55)</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(461)</w:t>
            </w: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w:t>
            </w:r>
          </w:p>
        </w:tc>
        <w:tc>
          <w:tcPr>
            <w:tcW w:w="9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18</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(500)</w:t>
            </w:r>
          </w:p>
        </w:tc>
      </w:tr>
      <w:tr>
        <w:trPr>
          <w:trHeight w:val="137"/>
        </w:trPr>
        <w:tc>
          <w:tcPr>
            <w:tcW w:w="3100" w:type="dxa"/>
            <w:vAlign w:val="bottom"/>
          </w:tcPr>
          <w:p>
            <w:pPr>
              <w:spacing w:after="0"/>
              <w:rPr>
                <w:sz w:val="11"/>
                <w:szCs w:val="11"/>
                <w:color w:val="auto"/>
              </w:rPr>
            </w:pPr>
          </w:p>
        </w:tc>
        <w:tc>
          <w:tcPr>
            <w:tcW w:w="12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center"/>
              <w:ind w:right="1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ind w:left="260"/>
              <w:spacing w:after="0"/>
              <w:rPr>
                <w:sz w:val="20"/>
                <w:szCs w:val="20"/>
                <w:color w:val="auto"/>
              </w:rPr>
            </w:pPr>
            <w:r>
              <w:rPr>
                <w:rFonts w:ascii="Courier New" w:cs="Courier New" w:eastAsia="Courier New" w:hAnsi="Courier New"/>
                <w:sz w:val="12"/>
                <w:szCs w:val="12"/>
                <w:color w:val="auto"/>
                <w:w w:val="97"/>
              </w:rPr>
              <w:t>----------</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3100" w:type="dxa"/>
            <w:vAlign w:val="bottom"/>
          </w:tcPr>
          <w:p>
            <w:pPr>
              <w:jc w:val="right"/>
              <w:ind w:right="179"/>
              <w:spacing w:after="0"/>
              <w:rPr>
                <w:sz w:val="20"/>
                <w:szCs w:val="20"/>
                <w:color w:val="auto"/>
              </w:rPr>
            </w:pPr>
            <w:r>
              <w:rPr>
                <w:rFonts w:ascii="Courier New" w:cs="Courier New" w:eastAsia="Courier New" w:hAnsi="Courier New"/>
                <w:sz w:val="12"/>
                <w:szCs w:val="12"/>
                <w:b w:val="1"/>
                <w:bCs w:val="1"/>
                <w:color w:val="auto"/>
              </w:rPr>
              <w:t>Balance March 31, 2005.................</w:t>
            </w:r>
          </w:p>
        </w:tc>
        <w:tc>
          <w:tcPr>
            <w:tcW w:w="122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$100,293</w:t>
            </w:r>
          </w:p>
        </w:tc>
        <w:tc>
          <w:tcPr>
            <w:tcW w:w="116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$27,121</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$15,830</w:t>
            </w:r>
          </w:p>
        </w:tc>
        <w:tc>
          <w:tcPr>
            <w:tcW w:w="98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$3,740</w:t>
            </w: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$146,984</w:t>
            </w:r>
          </w:p>
        </w:tc>
      </w:tr>
      <w:tr>
        <w:trPr>
          <w:trHeight w:val="137"/>
        </w:trPr>
        <w:tc>
          <w:tcPr>
            <w:tcW w:w="3100" w:type="dxa"/>
            <w:vAlign w:val="bottom"/>
          </w:tcPr>
          <w:p>
            <w:pPr>
              <w:spacing w:after="0"/>
              <w:rPr>
                <w:sz w:val="11"/>
                <w:szCs w:val="11"/>
                <w:color w:val="auto"/>
              </w:rPr>
            </w:pPr>
          </w:p>
        </w:tc>
        <w:tc>
          <w:tcPr>
            <w:tcW w:w="122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w:t>
            </w:r>
          </w:p>
        </w:tc>
        <w:tc>
          <w:tcPr>
            <w:tcW w:w="1160" w:type="dxa"/>
            <w:vAlign w:val="bottom"/>
          </w:tcPr>
          <w:p>
            <w:pPr>
              <w:jc w:val="center"/>
              <w:ind w:right="19"/>
              <w:spacing w:after="0"/>
              <w:rPr>
                <w:sz w:val="20"/>
                <w:szCs w:val="20"/>
                <w:color w:val="auto"/>
              </w:rPr>
            </w:pPr>
            <w:r>
              <w:rPr>
                <w:rFonts w:ascii="Courier New" w:cs="Courier New" w:eastAsia="Courier New" w:hAnsi="Courier New"/>
                <w:sz w:val="12"/>
                <w:szCs w:val="12"/>
                <w:b w:val="1"/>
                <w:bCs w:val="1"/>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w:t>
            </w:r>
          </w:p>
        </w:tc>
        <w:tc>
          <w:tcPr>
            <w:tcW w:w="980" w:type="dxa"/>
            <w:vAlign w:val="bottom"/>
          </w:tcPr>
          <w:p>
            <w:pPr>
              <w:ind w:left="260"/>
              <w:spacing w:after="0"/>
              <w:rPr>
                <w:sz w:val="20"/>
                <w:szCs w:val="20"/>
                <w:color w:val="auto"/>
              </w:rPr>
            </w:pPr>
            <w:r>
              <w:rPr>
                <w:rFonts w:ascii="Courier New" w:cs="Courier New" w:eastAsia="Courier New" w:hAnsi="Courier New"/>
                <w:sz w:val="12"/>
                <w:szCs w:val="12"/>
                <w:b w:val="1"/>
                <w:bCs w:val="1"/>
                <w:color w:val="auto"/>
                <w:w w:val="97"/>
              </w:rPr>
              <w:t>==========</w:t>
            </w:r>
          </w:p>
        </w:tc>
        <w:tc>
          <w:tcPr>
            <w:tcW w:w="10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r>
    </w:tbl>
    <w:p>
      <w:pPr>
        <w:spacing w:after="0" w:line="200" w:lineRule="exact"/>
        <w:rPr>
          <w:sz w:val="20"/>
          <w:szCs w:val="20"/>
          <w:color w:val="auto"/>
        </w:rPr>
      </w:pPr>
    </w:p>
    <w:p>
      <w:pPr>
        <w:spacing w:after="0" w:line="202"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The OP's share of income before depreciation, depreciation expense and income from unconsolidated investments for the three months ended March 31, 2005 and 2004, is as follows (in thousands):</w:t>
      </w:r>
    </w:p>
    <w:p>
      <w:pPr>
        <w:spacing w:after="0" w:line="200" w:lineRule="exact"/>
        <w:rPr>
          <w:sz w:val="20"/>
          <w:szCs w:val="20"/>
          <w:color w:val="auto"/>
        </w:rPr>
      </w:pPr>
    </w:p>
    <w:p>
      <w:pPr>
        <w:spacing w:after="0" w:line="257" w:lineRule="exact"/>
        <w:rPr>
          <w:sz w:val="20"/>
          <w:szCs w:val="20"/>
          <w:color w:val="auto"/>
        </w:rPr>
      </w:pPr>
    </w:p>
    <w:p>
      <w:pPr>
        <w:ind w:left="3940"/>
        <w:spacing w:after="0"/>
        <w:rPr>
          <w:sz w:val="20"/>
          <w:szCs w:val="20"/>
          <w:color w:val="auto"/>
        </w:rPr>
      </w:pPr>
      <w:r>
        <w:rPr>
          <w:rFonts w:ascii="Courier New" w:cs="Courier New" w:eastAsia="Courier New" w:hAnsi="Courier New"/>
          <w:sz w:val="12"/>
          <w:szCs w:val="12"/>
          <w:b w:val="1"/>
          <w:bCs w:val="1"/>
          <w:color w:val="auto"/>
        </w:rPr>
        <w:t>Three Months Ended March 31,</w:t>
      </w:r>
    </w:p>
    <w:p>
      <w:pPr>
        <w:ind w:left="2060"/>
        <w:spacing w:after="0"/>
        <w:rPr>
          <w:sz w:val="20"/>
          <w:szCs w:val="20"/>
          <w:color w:val="auto"/>
        </w:rPr>
      </w:pPr>
      <w:r>
        <w:rPr>
          <w:rFonts w:ascii="Courier New" w:cs="Courier New" w:eastAsia="Courier New" w:hAnsi="Courier New"/>
          <w:sz w:val="12"/>
          <w:szCs w:val="12"/>
          <w:b w:val="1"/>
          <w:bCs w:val="1"/>
          <w:color w:val="auto"/>
        </w:rPr>
        <w:t>-------------------------------------------------- -----------------------------------------------</w:t>
      </w:r>
    </w:p>
    <w:p>
      <w:pPr>
        <w:ind w:left="3660"/>
        <w:spacing w:after="0"/>
        <w:tabs>
          <w:tab w:leader="none" w:pos="7280" w:val="left"/>
        </w:tabs>
        <w:rPr>
          <w:sz w:val="20"/>
          <w:szCs w:val="20"/>
          <w:color w:val="auto"/>
        </w:rPr>
      </w:pPr>
      <w:r>
        <w:rPr>
          <w:rFonts w:ascii="Courier New" w:cs="Courier New" w:eastAsia="Courier New" w:hAnsi="Courier New"/>
          <w:sz w:val="12"/>
          <w:szCs w:val="12"/>
          <w:b w:val="1"/>
          <w:bCs w:val="1"/>
          <w:color w:val="auto"/>
        </w:rPr>
        <w:t>2005</w:t>
      </w:r>
      <w:r>
        <w:rPr>
          <w:sz w:val="20"/>
          <w:szCs w:val="20"/>
          <w:color w:val="auto"/>
        </w:rPr>
        <w:tab/>
      </w:r>
      <w:r>
        <w:rPr>
          <w:rFonts w:ascii="Courier New" w:cs="Courier New" w:eastAsia="Courier New" w:hAnsi="Courier New"/>
          <w:sz w:val="12"/>
          <w:szCs w:val="12"/>
          <w:b w:val="1"/>
          <w:bCs w:val="1"/>
          <w:color w:val="auto"/>
        </w:rPr>
        <w:t>2004</w:t>
      </w:r>
    </w:p>
    <w:p>
      <w:pPr>
        <w:ind w:left="2060"/>
        <w:spacing w:after="0"/>
        <w:rPr>
          <w:sz w:val="20"/>
          <w:szCs w:val="20"/>
          <w:color w:val="auto"/>
        </w:rPr>
      </w:pPr>
      <w:r>
        <w:rPr>
          <w:rFonts w:ascii="Courier New" w:cs="Courier New" w:eastAsia="Courier New" w:hAnsi="Courier New"/>
          <w:sz w:val="12"/>
          <w:szCs w:val="12"/>
          <w:b w:val="1"/>
          <w:bCs w:val="1"/>
          <w:color w:val="auto"/>
        </w:rPr>
        <w:t>-------------------------------------------------- -----------------------------------------------</w:t>
      </w:r>
    </w:p>
    <w:p>
      <w:pPr>
        <w:ind w:left="4600"/>
        <w:spacing w:after="0"/>
        <w:tabs>
          <w:tab w:leader="none" w:pos="8080" w:val="left"/>
        </w:tabs>
        <w:rPr>
          <w:sz w:val="20"/>
          <w:szCs w:val="20"/>
          <w:color w:val="auto"/>
        </w:rPr>
      </w:pPr>
      <w:r>
        <w:rPr>
          <w:rFonts w:ascii="Courier New" w:cs="Courier New" w:eastAsia="Courier New" w:hAnsi="Courier New"/>
          <w:sz w:val="12"/>
          <w:szCs w:val="12"/>
          <w:b w:val="1"/>
          <w:bCs w:val="1"/>
          <w:color w:val="auto"/>
        </w:rPr>
        <w:t>Income</w:t>
      </w:r>
      <w:r>
        <w:rPr>
          <w:sz w:val="20"/>
          <w:szCs w:val="20"/>
          <w:color w:val="auto"/>
        </w:rPr>
        <w:tab/>
      </w:r>
      <w:r>
        <w:rPr>
          <w:rFonts w:ascii="Courier New" w:cs="Courier New" w:eastAsia="Courier New" w:hAnsi="Courier New"/>
          <w:sz w:val="12"/>
          <w:szCs w:val="12"/>
          <w:b w:val="1"/>
          <w:bCs w:val="1"/>
          <w:color w:val="auto"/>
        </w:rPr>
        <w:t>Income</w:t>
      </w:r>
    </w:p>
    <w:p>
      <w:pPr>
        <w:ind w:left="2480"/>
        <w:spacing w:after="0"/>
        <w:tabs>
          <w:tab w:leader="none" w:pos="4660" w:val="left"/>
          <w:tab w:leader="none" w:pos="6120" w:val="left"/>
          <w:tab w:leader="none" w:pos="8220" w:val="left"/>
        </w:tabs>
        <w:rPr>
          <w:sz w:val="20"/>
          <w:szCs w:val="20"/>
          <w:color w:val="auto"/>
        </w:rPr>
      </w:pPr>
      <w:r>
        <w:rPr>
          <w:rFonts w:ascii="Courier New" w:cs="Courier New" w:eastAsia="Courier New" w:hAnsi="Courier New"/>
          <w:sz w:val="12"/>
          <w:szCs w:val="12"/>
          <w:b w:val="1"/>
          <w:bCs w:val="1"/>
          <w:color w:val="auto"/>
        </w:rPr>
        <w:t>Income</w:t>
      </w:r>
      <w:r>
        <w:rPr>
          <w:sz w:val="20"/>
          <w:szCs w:val="20"/>
          <w:color w:val="auto"/>
        </w:rPr>
        <w:tab/>
      </w:r>
      <w:r>
        <w:rPr>
          <w:rFonts w:ascii="Courier New" w:cs="Courier New" w:eastAsia="Courier New" w:hAnsi="Courier New"/>
          <w:sz w:val="12"/>
          <w:szCs w:val="12"/>
          <w:b w:val="1"/>
          <w:bCs w:val="1"/>
          <w:color w:val="auto"/>
        </w:rPr>
        <w:t>from</w:t>
      </w:r>
      <w:r>
        <w:rPr>
          <w:sz w:val="20"/>
          <w:szCs w:val="20"/>
          <w:color w:val="auto"/>
        </w:rPr>
        <w:tab/>
      </w:r>
      <w:r>
        <w:rPr>
          <w:rFonts w:ascii="Courier New" w:cs="Courier New" w:eastAsia="Courier New" w:hAnsi="Courier New"/>
          <w:sz w:val="12"/>
          <w:szCs w:val="12"/>
          <w:b w:val="1"/>
          <w:bCs w:val="1"/>
          <w:color w:val="auto"/>
        </w:rPr>
        <w:t>Income</w:t>
      </w:r>
      <w:r>
        <w:rPr>
          <w:sz w:val="20"/>
          <w:szCs w:val="20"/>
          <w:color w:val="auto"/>
        </w:rPr>
        <w:tab/>
      </w:r>
      <w:r>
        <w:rPr>
          <w:rFonts w:ascii="Courier New" w:cs="Courier New" w:eastAsia="Courier New" w:hAnsi="Courier New"/>
          <w:sz w:val="12"/>
          <w:szCs w:val="12"/>
          <w:b w:val="1"/>
          <w:bCs w:val="1"/>
          <w:color w:val="auto"/>
        </w:rPr>
        <w:t>from</w:t>
      </w:r>
    </w:p>
    <w:p>
      <w:pPr>
        <w:ind w:left="2480"/>
        <w:spacing w:after="0"/>
        <w:tabs>
          <w:tab w:leader="none" w:pos="4440" w:val="left"/>
          <w:tab w:leader="none" w:pos="6120" w:val="left"/>
          <w:tab w:leader="none" w:pos="7940" w:val="left"/>
        </w:tabs>
        <w:rPr>
          <w:sz w:val="20"/>
          <w:szCs w:val="20"/>
          <w:color w:val="auto"/>
        </w:rPr>
      </w:pPr>
      <w:r>
        <w:rPr>
          <w:rFonts w:ascii="Courier New" w:cs="Courier New" w:eastAsia="Courier New" w:hAnsi="Courier New"/>
          <w:sz w:val="12"/>
          <w:szCs w:val="12"/>
          <w:b w:val="1"/>
          <w:bCs w:val="1"/>
          <w:color w:val="auto"/>
        </w:rPr>
        <w:t>before</w:t>
      </w:r>
      <w:r>
        <w:rPr>
          <w:sz w:val="20"/>
          <w:szCs w:val="20"/>
          <w:color w:val="auto"/>
        </w:rPr>
        <w:tab/>
      </w:r>
      <w:r>
        <w:rPr>
          <w:rFonts w:ascii="Courier New" w:cs="Courier New" w:eastAsia="Courier New" w:hAnsi="Courier New"/>
          <w:sz w:val="12"/>
          <w:szCs w:val="12"/>
          <w:b w:val="1"/>
          <w:bCs w:val="1"/>
          <w:color w:val="auto"/>
        </w:rPr>
        <w:t>unconsolidated</w:t>
      </w:r>
      <w:r>
        <w:rPr>
          <w:sz w:val="20"/>
          <w:szCs w:val="20"/>
          <w:color w:val="auto"/>
        </w:rPr>
        <w:tab/>
      </w:r>
      <w:r>
        <w:rPr>
          <w:rFonts w:ascii="Courier New" w:cs="Courier New" w:eastAsia="Courier New" w:hAnsi="Courier New"/>
          <w:sz w:val="12"/>
          <w:szCs w:val="12"/>
          <w:b w:val="1"/>
          <w:bCs w:val="1"/>
          <w:color w:val="auto"/>
        </w:rPr>
        <w:t>before</w:t>
      </w:r>
      <w:r>
        <w:rPr>
          <w:sz w:val="20"/>
          <w:szCs w:val="20"/>
          <w:color w:val="auto"/>
        </w:rPr>
        <w:tab/>
      </w:r>
      <w:r>
        <w:rPr>
          <w:rFonts w:ascii="Courier New" w:cs="Courier New" w:eastAsia="Courier New" w:hAnsi="Courier New"/>
          <w:sz w:val="12"/>
          <w:szCs w:val="12"/>
          <w:b w:val="1"/>
          <w:bCs w:val="1"/>
          <w:color w:val="auto"/>
        </w:rPr>
        <w:t>unconsolidated</w:t>
      </w:r>
    </w:p>
    <w:p>
      <w:pPr>
        <w:ind w:left="2480"/>
        <w:spacing w:after="0"/>
        <w:tabs>
          <w:tab w:leader="none" w:pos="3340" w:val="left"/>
          <w:tab w:leader="none" w:pos="4580" w:val="left"/>
          <w:tab w:leader="none" w:pos="6260" w:val="left"/>
          <w:tab w:leader="none" w:pos="7200" w:val="left"/>
          <w:tab w:leader="none" w:pos="8020" w:val="left"/>
        </w:tabs>
        <w:rPr>
          <w:sz w:val="20"/>
          <w:szCs w:val="20"/>
          <w:color w:val="auto"/>
        </w:rPr>
      </w:pPr>
      <w:r>
        <w:rPr>
          <w:rFonts w:ascii="Courier New" w:cs="Courier New" w:eastAsia="Courier New" w:hAnsi="Courier New"/>
          <w:sz w:val="12"/>
          <w:szCs w:val="12"/>
          <w:b w:val="1"/>
          <w:bCs w:val="1"/>
          <w:color w:val="auto"/>
        </w:rPr>
        <w:t>depr.</w:t>
      </w:r>
      <w:r>
        <w:rPr>
          <w:sz w:val="20"/>
          <w:szCs w:val="20"/>
          <w:color w:val="auto"/>
        </w:rPr>
        <w:tab/>
      </w:r>
      <w:r>
        <w:rPr>
          <w:rFonts w:ascii="Courier New" w:cs="Courier New" w:eastAsia="Courier New" w:hAnsi="Courier New"/>
          <w:sz w:val="12"/>
          <w:szCs w:val="12"/>
          <w:b w:val="1"/>
          <w:bCs w:val="1"/>
          <w:color w:val="auto"/>
        </w:rPr>
        <w:t>Depr.</w:t>
      </w:r>
      <w:r>
        <w:rPr>
          <w:sz w:val="20"/>
          <w:szCs w:val="20"/>
          <w:color w:val="auto"/>
        </w:rPr>
        <w:tab/>
      </w:r>
      <w:r>
        <w:rPr>
          <w:rFonts w:ascii="Courier New" w:cs="Courier New" w:eastAsia="Courier New" w:hAnsi="Courier New"/>
          <w:sz w:val="12"/>
          <w:szCs w:val="12"/>
          <w:b w:val="1"/>
          <w:bCs w:val="1"/>
          <w:color w:val="auto"/>
        </w:rPr>
        <w:t>investments</w:t>
      </w:r>
      <w:r>
        <w:rPr>
          <w:sz w:val="20"/>
          <w:szCs w:val="20"/>
          <w:color w:val="auto"/>
        </w:rPr>
        <w:tab/>
      </w:r>
      <w:r>
        <w:rPr>
          <w:rFonts w:ascii="Courier New" w:cs="Courier New" w:eastAsia="Courier New" w:hAnsi="Courier New"/>
          <w:sz w:val="12"/>
          <w:szCs w:val="12"/>
          <w:b w:val="1"/>
          <w:bCs w:val="1"/>
          <w:color w:val="auto"/>
        </w:rPr>
        <w:t>depr.</w:t>
      </w:r>
      <w:r>
        <w:rPr>
          <w:sz w:val="20"/>
          <w:szCs w:val="20"/>
          <w:color w:val="auto"/>
        </w:rPr>
        <w:tab/>
      </w:r>
      <w:r>
        <w:rPr>
          <w:rFonts w:ascii="Courier New" w:cs="Courier New" w:eastAsia="Courier New" w:hAnsi="Courier New"/>
          <w:sz w:val="12"/>
          <w:szCs w:val="12"/>
          <w:b w:val="1"/>
          <w:bCs w:val="1"/>
          <w:color w:val="auto"/>
        </w:rPr>
        <w:t>Depr.</w:t>
      </w:r>
      <w:r>
        <w:rPr>
          <w:sz w:val="20"/>
          <w:szCs w:val="20"/>
          <w:color w:val="auto"/>
        </w:rPr>
        <w:tab/>
      </w:r>
      <w:r>
        <w:rPr>
          <w:rFonts w:ascii="Courier New" w:cs="Courier New" w:eastAsia="Courier New" w:hAnsi="Courier New"/>
          <w:sz w:val="12"/>
          <w:szCs w:val="12"/>
          <w:b w:val="1"/>
          <w:bCs w:val="1"/>
          <w:color w:val="auto"/>
        </w:rPr>
        <w:t>investments</w:t>
      </w:r>
    </w:p>
    <w:p>
      <w:pPr>
        <w:sectPr>
          <w:pgSz w:w="11900" w:h="16838" w:orient="portrait"/>
          <w:cols w:equalWidth="0" w:num="1">
            <w:col w:w="11400"/>
          </w:cols>
          <w:pgMar w:left="240" w:top="112" w:right="259" w:bottom="0" w:gutter="0" w:footer="0" w:header="0"/>
        </w:sectPr>
      </w:pPr>
    </w:p>
    <w:bookmarkStart w:id="4" w:name="page5"/>
    <w:bookmarkEnd w:id="4"/>
    <w:p>
      <w:pPr>
        <w:spacing w:after="0" w:line="149" w:lineRule="exact"/>
        <w:rPr>
          <w:sz w:val="20"/>
          <w:szCs w:val="20"/>
          <w:color w:val="auto"/>
        </w:rPr>
      </w:pPr>
    </w:p>
    <w:tbl>
      <w:tblPr>
        <w:tblLayout w:type="fixed"/>
        <w:tblInd w:w="220" w:type="dxa"/>
        <w:tblCellMar>
          <w:top w:w="0" w:type="dxa"/>
          <w:left w:w="0" w:type="dxa"/>
          <w:bottom w:w="0" w:type="dxa"/>
          <w:right w:w="0" w:type="dxa"/>
        </w:tblCellMar>
      </w:tblPr>
      <w:tr>
        <w:trPr>
          <w:trHeight w:val="136"/>
        </w:trPr>
        <w:tc>
          <w:tcPr>
            <w:tcW w:w="1900" w:type="dxa"/>
            <w:vAlign w:val="bottom"/>
          </w:tcPr>
          <w:p>
            <w:pPr>
              <w:spacing w:after="0"/>
              <w:rPr>
                <w:sz w:val="11"/>
                <w:szCs w:val="11"/>
                <w:color w:val="auto"/>
              </w:rPr>
            </w:pPr>
          </w:p>
        </w:tc>
        <w:tc>
          <w:tcPr>
            <w:tcW w:w="98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w:t>
            </w:r>
          </w:p>
        </w:tc>
        <w:tc>
          <w:tcPr>
            <w:tcW w:w="100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w:t>
            </w:r>
          </w:p>
        </w:tc>
        <w:tc>
          <w:tcPr>
            <w:tcW w:w="1640" w:type="dxa"/>
            <w:vAlign w:val="bottom"/>
          </w:tcPr>
          <w:p>
            <w:pPr>
              <w:jc w:val="center"/>
              <w:ind w:left="39"/>
              <w:spacing w:after="0"/>
              <w:rPr>
                <w:sz w:val="20"/>
                <w:szCs w:val="20"/>
                <w:color w:val="auto"/>
              </w:rPr>
            </w:pPr>
            <w:r>
              <w:rPr>
                <w:rFonts w:ascii="Courier New" w:cs="Courier New" w:eastAsia="Courier New" w:hAnsi="Courier New"/>
                <w:sz w:val="12"/>
                <w:szCs w:val="12"/>
                <w:b w:val="1"/>
                <w:bCs w:val="1"/>
                <w:color w:val="auto"/>
              </w:rPr>
              <w:t>----------------</w:t>
            </w:r>
          </w:p>
        </w:tc>
        <w:tc>
          <w:tcPr>
            <w:tcW w:w="12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140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w w:val="99"/>
              </w:rPr>
              <w:t>---------------</w:t>
            </w:r>
          </w:p>
        </w:tc>
      </w:tr>
      <w:tr>
        <w:trPr>
          <w:trHeight w:val="137"/>
        </w:trPr>
        <w:tc>
          <w:tcPr>
            <w:tcW w:w="1900" w:type="dxa"/>
            <w:vAlign w:val="bottom"/>
          </w:tcPr>
          <w:p>
            <w:pPr>
              <w:spacing w:after="0"/>
              <w:rPr>
                <w:sz w:val="20"/>
                <w:szCs w:val="20"/>
                <w:color w:val="auto"/>
              </w:rPr>
            </w:pPr>
            <w:r>
              <w:rPr>
                <w:rFonts w:ascii="Courier New" w:cs="Courier New" w:eastAsia="Courier New" w:hAnsi="Courier New"/>
                <w:sz w:val="12"/>
                <w:szCs w:val="12"/>
                <w:b w:val="1"/>
                <w:bCs w:val="1"/>
                <w:color w:val="auto"/>
              </w:rPr>
              <w:t>Chelsea Japan............</w:t>
            </w:r>
          </w:p>
        </w:tc>
        <w:tc>
          <w:tcPr>
            <w:tcW w:w="9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$4,731</w:t>
            </w:r>
          </w:p>
        </w:tc>
        <w:tc>
          <w:tcPr>
            <w:tcW w:w="10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$1,573</w:t>
            </w:r>
          </w:p>
        </w:tc>
        <w:tc>
          <w:tcPr>
            <w:tcW w:w="1640" w:type="dxa"/>
            <w:vAlign w:val="bottom"/>
          </w:tcPr>
          <w:p>
            <w:pPr>
              <w:jc w:val="center"/>
              <w:ind w:left="19"/>
              <w:spacing w:after="0"/>
              <w:rPr>
                <w:sz w:val="20"/>
                <w:szCs w:val="20"/>
                <w:color w:val="auto"/>
              </w:rPr>
            </w:pPr>
            <w:r>
              <w:rPr>
                <w:rFonts w:ascii="Courier New" w:cs="Courier New" w:eastAsia="Courier New" w:hAnsi="Courier New"/>
                <w:sz w:val="12"/>
                <w:szCs w:val="12"/>
                <w:color w:val="auto"/>
              </w:rPr>
              <w:t>$3,158</w:t>
            </w: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$4,066</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$1,229</w:t>
            </w:r>
          </w:p>
        </w:tc>
        <w:tc>
          <w:tcPr>
            <w:tcW w:w="14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$2,837</w:t>
            </w:r>
          </w:p>
        </w:tc>
      </w:tr>
      <w:tr>
        <w:trPr>
          <w:trHeight w:val="270"/>
        </w:trPr>
        <w:tc>
          <w:tcPr>
            <w:tcW w:w="1900" w:type="dxa"/>
            <w:vAlign w:val="bottom"/>
          </w:tcPr>
          <w:p>
            <w:pPr>
              <w:spacing w:after="0"/>
              <w:rPr>
                <w:sz w:val="20"/>
                <w:szCs w:val="20"/>
                <w:color w:val="auto"/>
              </w:rPr>
            </w:pPr>
            <w:r>
              <w:rPr>
                <w:rFonts w:ascii="Courier New" w:cs="Courier New" w:eastAsia="Courier New" w:hAnsi="Courier New"/>
                <w:sz w:val="12"/>
                <w:szCs w:val="12"/>
                <w:b w:val="1"/>
                <w:bCs w:val="1"/>
                <w:color w:val="auto"/>
              </w:rPr>
              <w:t>Simon Ventures...........</w:t>
            </w:r>
          </w:p>
        </w:tc>
        <w:tc>
          <w:tcPr>
            <w:tcW w:w="9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3,926</w:t>
            </w:r>
          </w:p>
        </w:tc>
        <w:tc>
          <w:tcPr>
            <w:tcW w:w="10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1,045</w:t>
            </w:r>
          </w:p>
        </w:tc>
        <w:tc>
          <w:tcPr>
            <w:tcW w:w="16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2,881</w:t>
            </w: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2,640</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435</w:t>
            </w:r>
          </w:p>
        </w:tc>
        <w:tc>
          <w:tcPr>
            <w:tcW w:w="14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2,205</w:t>
            </w:r>
          </w:p>
        </w:tc>
      </w:tr>
      <w:tr>
        <w:trPr>
          <w:trHeight w:val="268"/>
        </w:trPr>
        <w:tc>
          <w:tcPr>
            <w:tcW w:w="1900" w:type="dxa"/>
            <w:vAlign w:val="bottom"/>
          </w:tcPr>
          <w:p>
            <w:pPr>
              <w:spacing w:after="0"/>
              <w:rPr>
                <w:sz w:val="20"/>
                <w:szCs w:val="20"/>
                <w:color w:val="auto"/>
              </w:rPr>
            </w:pPr>
            <w:r>
              <w:rPr>
                <w:rFonts w:ascii="Courier New" w:cs="Courier New" w:eastAsia="Courier New" w:hAnsi="Courier New"/>
                <w:sz w:val="12"/>
                <w:szCs w:val="12"/>
                <w:b w:val="1"/>
                <w:bCs w:val="1"/>
                <w:color w:val="auto"/>
              </w:rPr>
              <w:t>Chelsea Mexico...........</w:t>
            </w:r>
          </w:p>
        </w:tc>
        <w:tc>
          <w:tcPr>
            <w:tcW w:w="9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33</w:t>
            </w:r>
          </w:p>
        </w:tc>
        <w:tc>
          <w:tcPr>
            <w:tcW w:w="10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8</w:t>
            </w:r>
          </w:p>
        </w:tc>
        <w:tc>
          <w:tcPr>
            <w:tcW w:w="16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25</w:t>
            </w: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4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r>
      <w:tr>
        <w:trPr>
          <w:trHeight w:val="137"/>
        </w:trPr>
        <w:tc>
          <w:tcPr>
            <w:tcW w:w="1900" w:type="dxa"/>
            <w:vAlign w:val="bottom"/>
          </w:tcPr>
          <w:p>
            <w:pPr>
              <w:spacing w:after="0"/>
              <w:rPr>
                <w:sz w:val="11"/>
                <w:szCs w:val="11"/>
                <w:color w:val="auto"/>
              </w:rPr>
            </w:pPr>
          </w:p>
        </w:tc>
        <w:tc>
          <w:tcPr>
            <w:tcW w:w="9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center"/>
              <w:ind w:left="39"/>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1900" w:type="dxa"/>
            <w:vAlign w:val="bottom"/>
          </w:tcPr>
          <w:p>
            <w:pPr>
              <w:spacing w:after="0"/>
              <w:rPr>
                <w:sz w:val="20"/>
                <w:szCs w:val="20"/>
                <w:color w:val="auto"/>
              </w:rPr>
            </w:pPr>
            <w:r>
              <w:rPr>
                <w:rFonts w:ascii="Courier New" w:cs="Courier New" w:eastAsia="Courier New" w:hAnsi="Courier New"/>
                <w:sz w:val="12"/>
                <w:szCs w:val="12"/>
                <w:b w:val="1"/>
                <w:bCs w:val="1"/>
                <w:color w:val="auto"/>
              </w:rPr>
              <w:t>Total....................</w:t>
            </w:r>
          </w:p>
        </w:tc>
        <w:tc>
          <w:tcPr>
            <w:tcW w:w="98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$8,690</w:t>
            </w:r>
          </w:p>
        </w:tc>
        <w:tc>
          <w:tcPr>
            <w:tcW w:w="100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$2,626</w:t>
            </w:r>
          </w:p>
        </w:tc>
        <w:tc>
          <w:tcPr>
            <w:tcW w:w="1640" w:type="dxa"/>
            <w:vAlign w:val="bottom"/>
          </w:tcPr>
          <w:p>
            <w:pPr>
              <w:jc w:val="center"/>
              <w:ind w:left="19"/>
              <w:spacing w:after="0"/>
              <w:rPr>
                <w:sz w:val="20"/>
                <w:szCs w:val="20"/>
                <w:color w:val="auto"/>
              </w:rPr>
            </w:pPr>
            <w:r>
              <w:rPr>
                <w:rFonts w:ascii="Courier New" w:cs="Courier New" w:eastAsia="Courier New" w:hAnsi="Courier New"/>
                <w:sz w:val="12"/>
                <w:szCs w:val="12"/>
                <w:b w:val="1"/>
                <w:bCs w:val="1"/>
                <w:color w:val="auto"/>
              </w:rPr>
              <w:t>$6,064</w:t>
            </w: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$6,706</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$1,664</w:t>
            </w:r>
          </w:p>
        </w:tc>
        <w:tc>
          <w:tcPr>
            <w:tcW w:w="14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$5,042</w:t>
            </w:r>
          </w:p>
        </w:tc>
      </w:tr>
      <w:tr>
        <w:trPr>
          <w:trHeight w:val="137"/>
        </w:trPr>
        <w:tc>
          <w:tcPr>
            <w:tcW w:w="1900" w:type="dxa"/>
            <w:vAlign w:val="bottom"/>
          </w:tcPr>
          <w:p>
            <w:pPr>
              <w:spacing w:after="0"/>
              <w:rPr>
                <w:sz w:val="11"/>
                <w:szCs w:val="11"/>
                <w:color w:val="auto"/>
              </w:rPr>
            </w:pPr>
          </w:p>
        </w:tc>
        <w:tc>
          <w:tcPr>
            <w:tcW w:w="98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w:t>
            </w:r>
          </w:p>
        </w:tc>
        <w:tc>
          <w:tcPr>
            <w:tcW w:w="100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w:t>
            </w:r>
          </w:p>
        </w:tc>
        <w:tc>
          <w:tcPr>
            <w:tcW w:w="1640" w:type="dxa"/>
            <w:vAlign w:val="bottom"/>
          </w:tcPr>
          <w:p>
            <w:pPr>
              <w:jc w:val="center"/>
              <w:ind w:left="39"/>
              <w:spacing w:after="0"/>
              <w:rPr>
                <w:sz w:val="20"/>
                <w:szCs w:val="20"/>
                <w:color w:val="auto"/>
              </w:rPr>
            </w:pPr>
            <w:r>
              <w:rPr>
                <w:rFonts w:ascii="Courier New" w:cs="Courier New" w:eastAsia="Courier New" w:hAnsi="Courier New"/>
                <w:sz w:val="12"/>
                <w:szCs w:val="12"/>
                <w:b w:val="1"/>
                <w:bCs w:val="1"/>
                <w:color w:val="auto"/>
              </w:rPr>
              <w:t>================</w:t>
            </w:r>
          </w:p>
        </w:tc>
        <w:tc>
          <w:tcPr>
            <w:tcW w:w="12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79"/>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ind w:left="440" w:hanging="432"/>
        <w:spacing w:after="0"/>
        <w:tabs>
          <w:tab w:leader="none" w:pos="44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Investments in Affiliates (continued)</w:t>
      </w:r>
    </w:p>
    <w:p>
      <w:pPr>
        <w:spacing w:after="0" w:line="212"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Condensed financial information as of March 31, 2005 and December 31, 2004, and for the three months ended March 31, 2005 and 2004 for Chelsea Japan, Chelsea Mexico and Simon Ventures is as follows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220" w:type="dxa"/>
            <w:vAlign w:val="bottom"/>
            <w:gridSpan w:val="2"/>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1000" w:type="dxa"/>
            <w:vAlign w:val="bottom"/>
          </w:tcPr>
          <w:p>
            <w:pPr>
              <w:spacing w:after="0"/>
              <w:rPr>
                <w:sz w:val="17"/>
                <w:szCs w:val="17"/>
                <w:color w:val="auto"/>
              </w:rPr>
            </w:pPr>
          </w:p>
        </w:tc>
      </w:tr>
      <w:tr>
        <w:trPr>
          <w:trHeight w:val="203"/>
        </w:trPr>
        <w:tc>
          <w:tcPr>
            <w:tcW w:w="1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March</w:t>
            </w:r>
          </w:p>
        </w:tc>
        <w:tc>
          <w:tcPr>
            <w:tcW w:w="6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31, 2005................................................</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$372,332</w:t>
            </w:r>
          </w:p>
        </w:tc>
      </w:tr>
      <w:tr>
        <w:trPr>
          <w:trHeight w:val="203"/>
        </w:trPr>
        <w:tc>
          <w:tcPr>
            <w:tcW w:w="72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9"/>
              </w:rPr>
              <w:t>December 31, 2004.............................................</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367,700</w:t>
            </w:r>
          </w:p>
        </w:tc>
      </w:tr>
      <w:tr>
        <w:trPr>
          <w:trHeight w:val="405"/>
        </w:trPr>
        <w:tc>
          <w:tcPr>
            <w:tcW w:w="7220" w:type="dxa"/>
            <w:vAlign w:val="bottom"/>
            <w:gridSpan w:val="2"/>
          </w:tcPr>
          <w:p>
            <w:pPr>
              <w:spacing w:after="0"/>
              <w:rPr>
                <w:sz w:val="20"/>
                <w:szCs w:val="20"/>
                <w:color w:val="auto"/>
              </w:rPr>
            </w:pPr>
            <w:r>
              <w:rPr>
                <w:rFonts w:ascii="Courier New" w:cs="Courier New" w:eastAsia="Courier New" w:hAnsi="Courier New"/>
                <w:sz w:val="18"/>
                <w:szCs w:val="18"/>
                <w:color w:val="auto"/>
              </w:rPr>
              <w:t>Total assets</w:t>
            </w:r>
          </w:p>
        </w:tc>
        <w:tc>
          <w:tcPr>
            <w:tcW w:w="1000" w:type="dxa"/>
            <w:vAlign w:val="bottom"/>
          </w:tcPr>
          <w:p>
            <w:pPr>
              <w:spacing w:after="0"/>
              <w:rPr>
                <w:sz w:val="24"/>
                <w:szCs w:val="24"/>
                <w:color w:val="auto"/>
              </w:rPr>
            </w:pPr>
          </w:p>
        </w:tc>
      </w:tr>
      <w:tr>
        <w:trPr>
          <w:trHeight w:val="203"/>
        </w:trPr>
        <w:tc>
          <w:tcPr>
            <w:tcW w:w="1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March</w:t>
            </w:r>
          </w:p>
        </w:tc>
        <w:tc>
          <w:tcPr>
            <w:tcW w:w="6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31, 2005................................................</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559,761</w:t>
            </w:r>
          </w:p>
        </w:tc>
      </w:tr>
      <w:tr>
        <w:trPr>
          <w:trHeight w:val="203"/>
        </w:trPr>
        <w:tc>
          <w:tcPr>
            <w:tcW w:w="72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9"/>
              </w:rPr>
              <w:t>December 31, 2004.............................................</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548,621</w:t>
            </w:r>
          </w:p>
        </w:tc>
      </w:tr>
      <w:tr>
        <w:trPr>
          <w:trHeight w:val="405"/>
        </w:trPr>
        <w:tc>
          <w:tcPr>
            <w:tcW w:w="7220" w:type="dxa"/>
            <w:vAlign w:val="bottom"/>
            <w:gridSpan w:val="2"/>
          </w:tcPr>
          <w:p>
            <w:pPr>
              <w:spacing w:after="0"/>
              <w:rPr>
                <w:sz w:val="20"/>
                <w:szCs w:val="20"/>
                <w:color w:val="auto"/>
              </w:rPr>
            </w:pPr>
            <w:r>
              <w:rPr>
                <w:rFonts w:ascii="Courier New" w:cs="Courier New" w:eastAsia="Courier New" w:hAnsi="Courier New"/>
                <w:sz w:val="18"/>
                <w:szCs w:val="18"/>
                <w:color w:val="auto"/>
              </w:rPr>
              <w:t>Long term debt(1)</w:t>
            </w:r>
          </w:p>
        </w:tc>
        <w:tc>
          <w:tcPr>
            <w:tcW w:w="1000" w:type="dxa"/>
            <w:vAlign w:val="bottom"/>
          </w:tcPr>
          <w:p>
            <w:pPr>
              <w:spacing w:after="0"/>
              <w:rPr>
                <w:sz w:val="24"/>
                <w:szCs w:val="24"/>
                <w:color w:val="auto"/>
              </w:rPr>
            </w:pPr>
          </w:p>
        </w:tc>
      </w:tr>
      <w:tr>
        <w:trPr>
          <w:trHeight w:val="203"/>
        </w:trPr>
        <w:tc>
          <w:tcPr>
            <w:tcW w:w="1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March</w:t>
            </w:r>
          </w:p>
        </w:tc>
        <w:tc>
          <w:tcPr>
            <w:tcW w:w="6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31, 2005................................................</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162,550</w:t>
            </w:r>
          </w:p>
        </w:tc>
      </w:tr>
      <w:tr>
        <w:trPr>
          <w:trHeight w:val="203"/>
        </w:trPr>
        <w:tc>
          <w:tcPr>
            <w:tcW w:w="72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9"/>
              </w:rPr>
              <w:t>December 31, 2004.............................................</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195,552</w:t>
            </w:r>
          </w:p>
        </w:tc>
      </w:tr>
      <w:tr>
        <w:trPr>
          <w:trHeight w:val="405"/>
        </w:trPr>
        <w:tc>
          <w:tcPr>
            <w:tcW w:w="7220" w:type="dxa"/>
            <w:vAlign w:val="bottom"/>
            <w:gridSpan w:val="2"/>
          </w:tcPr>
          <w:p>
            <w:pPr>
              <w:spacing w:after="0"/>
              <w:rPr>
                <w:sz w:val="20"/>
                <w:szCs w:val="20"/>
                <w:color w:val="auto"/>
              </w:rPr>
            </w:pPr>
            <w:r>
              <w:rPr>
                <w:rFonts w:ascii="Courier New" w:cs="Courier New" w:eastAsia="Courier New" w:hAnsi="Courier New"/>
                <w:sz w:val="18"/>
                <w:szCs w:val="18"/>
                <w:color w:val="auto"/>
              </w:rPr>
              <w:t>Total liabilities</w:t>
            </w:r>
          </w:p>
        </w:tc>
        <w:tc>
          <w:tcPr>
            <w:tcW w:w="1000" w:type="dxa"/>
            <w:vAlign w:val="bottom"/>
          </w:tcPr>
          <w:p>
            <w:pPr>
              <w:spacing w:after="0"/>
              <w:rPr>
                <w:sz w:val="24"/>
                <w:szCs w:val="24"/>
                <w:color w:val="auto"/>
              </w:rPr>
            </w:pPr>
          </w:p>
        </w:tc>
      </w:tr>
      <w:tr>
        <w:trPr>
          <w:trHeight w:val="203"/>
        </w:trPr>
        <w:tc>
          <w:tcPr>
            <w:tcW w:w="1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March</w:t>
            </w:r>
          </w:p>
        </w:tc>
        <w:tc>
          <w:tcPr>
            <w:tcW w:w="6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31, 2005................................................</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317,877</w:t>
            </w:r>
          </w:p>
        </w:tc>
      </w:tr>
      <w:tr>
        <w:trPr>
          <w:trHeight w:val="203"/>
        </w:trPr>
        <w:tc>
          <w:tcPr>
            <w:tcW w:w="72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9"/>
              </w:rPr>
              <w:t>December 31, 2004.............................................</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304,122</w:t>
            </w:r>
          </w:p>
        </w:tc>
      </w:tr>
      <w:tr>
        <w:trPr>
          <w:trHeight w:val="405"/>
        </w:trPr>
        <w:tc>
          <w:tcPr>
            <w:tcW w:w="7220" w:type="dxa"/>
            <w:vAlign w:val="bottom"/>
            <w:gridSpan w:val="2"/>
          </w:tcPr>
          <w:p>
            <w:pPr>
              <w:spacing w:after="0"/>
              <w:rPr>
                <w:sz w:val="20"/>
                <w:szCs w:val="20"/>
                <w:color w:val="auto"/>
              </w:rPr>
            </w:pPr>
            <w:r>
              <w:rPr>
                <w:rFonts w:ascii="Courier New" w:cs="Courier New" w:eastAsia="Courier New" w:hAnsi="Courier New"/>
                <w:sz w:val="18"/>
                <w:szCs w:val="18"/>
                <w:color w:val="auto"/>
              </w:rPr>
              <w:t>Total revenues</w:t>
            </w:r>
          </w:p>
        </w:tc>
        <w:tc>
          <w:tcPr>
            <w:tcW w:w="1000" w:type="dxa"/>
            <w:vAlign w:val="bottom"/>
          </w:tcPr>
          <w:p>
            <w:pPr>
              <w:spacing w:after="0"/>
              <w:rPr>
                <w:sz w:val="24"/>
                <w:szCs w:val="24"/>
                <w:color w:val="auto"/>
              </w:rPr>
            </w:pPr>
          </w:p>
        </w:tc>
      </w:tr>
      <w:tr>
        <w:trPr>
          <w:trHeight w:val="203"/>
        </w:trPr>
        <w:tc>
          <w:tcPr>
            <w:tcW w:w="1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March</w:t>
            </w:r>
          </w:p>
        </w:tc>
        <w:tc>
          <w:tcPr>
            <w:tcW w:w="6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31, 2005................................................</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44,874</w:t>
            </w:r>
          </w:p>
        </w:tc>
      </w:tr>
      <w:tr>
        <w:trPr>
          <w:trHeight w:val="203"/>
        </w:trPr>
        <w:tc>
          <w:tcPr>
            <w:tcW w:w="1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March</w:t>
            </w:r>
          </w:p>
        </w:tc>
        <w:tc>
          <w:tcPr>
            <w:tcW w:w="6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31, 2004................................................</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32,293</w:t>
            </w:r>
          </w:p>
        </w:tc>
      </w:tr>
      <w:tr>
        <w:trPr>
          <w:trHeight w:val="405"/>
        </w:trPr>
        <w:tc>
          <w:tcPr>
            <w:tcW w:w="7220" w:type="dxa"/>
            <w:vAlign w:val="bottom"/>
            <w:gridSpan w:val="2"/>
          </w:tcPr>
          <w:p>
            <w:pPr>
              <w:spacing w:after="0"/>
              <w:rPr>
                <w:sz w:val="20"/>
                <w:szCs w:val="20"/>
                <w:color w:val="auto"/>
              </w:rPr>
            </w:pPr>
            <w:r>
              <w:rPr>
                <w:rFonts w:ascii="Courier New" w:cs="Courier New" w:eastAsia="Courier New" w:hAnsi="Courier New"/>
                <w:sz w:val="18"/>
                <w:szCs w:val="18"/>
                <w:color w:val="auto"/>
              </w:rPr>
              <w:t>Total expenses</w:t>
            </w:r>
          </w:p>
        </w:tc>
        <w:tc>
          <w:tcPr>
            <w:tcW w:w="1000" w:type="dxa"/>
            <w:vAlign w:val="bottom"/>
          </w:tcPr>
          <w:p>
            <w:pPr>
              <w:spacing w:after="0"/>
              <w:rPr>
                <w:sz w:val="24"/>
                <w:szCs w:val="24"/>
                <w:color w:val="auto"/>
              </w:rPr>
            </w:pPr>
          </w:p>
        </w:tc>
      </w:tr>
      <w:tr>
        <w:trPr>
          <w:trHeight w:val="203"/>
        </w:trPr>
        <w:tc>
          <w:tcPr>
            <w:tcW w:w="1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March</w:t>
            </w:r>
          </w:p>
        </w:tc>
        <w:tc>
          <w:tcPr>
            <w:tcW w:w="6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31, 2005................................................</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37,556</w:t>
            </w:r>
          </w:p>
        </w:tc>
      </w:tr>
      <w:tr>
        <w:trPr>
          <w:trHeight w:val="203"/>
        </w:trPr>
        <w:tc>
          <w:tcPr>
            <w:tcW w:w="1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March</w:t>
            </w:r>
          </w:p>
        </w:tc>
        <w:tc>
          <w:tcPr>
            <w:tcW w:w="6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31, 2004................................................</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25,914</w:t>
            </w:r>
          </w:p>
        </w:tc>
      </w:tr>
      <w:tr>
        <w:trPr>
          <w:trHeight w:val="405"/>
        </w:trPr>
        <w:tc>
          <w:tcPr>
            <w:tcW w:w="7220" w:type="dxa"/>
            <w:vAlign w:val="bottom"/>
            <w:gridSpan w:val="2"/>
          </w:tcPr>
          <w:p>
            <w:pPr>
              <w:spacing w:after="0"/>
              <w:rPr>
                <w:sz w:val="20"/>
                <w:szCs w:val="20"/>
                <w:color w:val="auto"/>
              </w:rPr>
            </w:pPr>
            <w:r>
              <w:rPr>
                <w:rFonts w:ascii="Courier New" w:cs="Courier New" w:eastAsia="Courier New" w:hAnsi="Courier New"/>
                <w:sz w:val="18"/>
                <w:szCs w:val="18"/>
                <w:color w:val="auto"/>
              </w:rPr>
              <w:t>Total net income</w:t>
            </w:r>
          </w:p>
        </w:tc>
        <w:tc>
          <w:tcPr>
            <w:tcW w:w="1000" w:type="dxa"/>
            <w:vAlign w:val="bottom"/>
          </w:tcPr>
          <w:p>
            <w:pPr>
              <w:spacing w:after="0"/>
              <w:rPr>
                <w:sz w:val="24"/>
                <w:szCs w:val="24"/>
                <w:color w:val="auto"/>
              </w:rPr>
            </w:pPr>
          </w:p>
        </w:tc>
      </w:tr>
      <w:tr>
        <w:trPr>
          <w:trHeight w:val="203"/>
        </w:trPr>
        <w:tc>
          <w:tcPr>
            <w:tcW w:w="1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March</w:t>
            </w:r>
          </w:p>
        </w:tc>
        <w:tc>
          <w:tcPr>
            <w:tcW w:w="6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31, 2005................................................</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7,318</w:t>
            </w:r>
          </w:p>
        </w:tc>
      </w:tr>
      <w:tr>
        <w:trPr>
          <w:trHeight w:val="203"/>
        </w:trPr>
        <w:tc>
          <w:tcPr>
            <w:tcW w:w="1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March</w:t>
            </w:r>
          </w:p>
        </w:tc>
        <w:tc>
          <w:tcPr>
            <w:tcW w:w="6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31, 2004................................................</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6,379</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OP's share</w:t>
            </w:r>
          </w:p>
        </w:tc>
        <w:tc>
          <w:tcPr>
            <w:tcW w:w="6100" w:type="dxa"/>
            <w:vAlign w:val="bottom"/>
          </w:tcPr>
          <w:p>
            <w:pPr>
              <w:ind w:left="40"/>
              <w:spacing w:after="0"/>
              <w:rPr>
                <w:sz w:val="20"/>
                <w:szCs w:val="20"/>
                <w:color w:val="auto"/>
              </w:rPr>
            </w:pPr>
            <w:r>
              <w:rPr>
                <w:rFonts w:ascii="Courier New" w:cs="Courier New" w:eastAsia="Courier New" w:hAnsi="Courier New"/>
                <w:sz w:val="18"/>
                <w:szCs w:val="18"/>
                <w:color w:val="auto"/>
              </w:rPr>
              <w:t>of net income</w:t>
            </w:r>
          </w:p>
        </w:tc>
        <w:tc>
          <w:tcPr>
            <w:tcW w:w="1000" w:type="dxa"/>
            <w:vAlign w:val="bottom"/>
          </w:tcPr>
          <w:p>
            <w:pPr>
              <w:spacing w:after="0"/>
              <w:rPr>
                <w:sz w:val="24"/>
                <w:szCs w:val="24"/>
                <w:color w:val="auto"/>
              </w:rPr>
            </w:pPr>
          </w:p>
        </w:tc>
      </w:tr>
      <w:tr>
        <w:trPr>
          <w:trHeight w:val="203"/>
        </w:trPr>
        <w:tc>
          <w:tcPr>
            <w:tcW w:w="1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March</w:t>
            </w:r>
          </w:p>
        </w:tc>
        <w:tc>
          <w:tcPr>
            <w:tcW w:w="6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31, 2005................................................</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3,413</w:t>
            </w:r>
          </w:p>
        </w:tc>
      </w:tr>
      <w:tr>
        <w:trPr>
          <w:trHeight w:val="203"/>
        </w:trPr>
        <w:tc>
          <w:tcPr>
            <w:tcW w:w="1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March</w:t>
            </w:r>
          </w:p>
        </w:tc>
        <w:tc>
          <w:tcPr>
            <w:tcW w:w="6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31, 2004................................................</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2,942</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Fee income</w:t>
            </w:r>
          </w:p>
        </w:tc>
        <w:tc>
          <w:tcPr>
            <w:tcW w:w="6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1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March</w:t>
            </w:r>
          </w:p>
        </w:tc>
        <w:tc>
          <w:tcPr>
            <w:tcW w:w="6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31, 2005................................................</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2,651</w:t>
            </w:r>
          </w:p>
        </w:tc>
      </w:tr>
      <w:tr>
        <w:trPr>
          <w:trHeight w:val="203"/>
        </w:trPr>
        <w:tc>
          <w:tcPr>
            <w:tcW w:w="1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March</w:t>
            </w:r>
          </w:p>
        </w:tc>
        <w:tc>
          <w:tcPr>
            <w:tcW w:w="6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31, 2004................................................</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2,100</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(1) Long-term debt consists of borrowings related to Chelsea Japan.</w:t>
      </w:r>
    </w:p>
    <w:p>
      <w:pPr>
        <w:spacing w:after="0" w:line="200"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79"/>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ind w:left="440" w:hanging="432"/>
        <w:spacing w:after="0"/>
        <w:tabs>
          <w:tab w:leader="none" w:pos="44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Debt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Unsecured Bank Debt</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 summary of the terms of the unsecured bank debt outstanding at March 31, 2005 and 2004, and the related effective interest rate, is as follows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6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Effective</w:t>
            </w:r>
          </w:p>
        </w:tc>
        <w:tc>
          <w:tcPr>
            <w:tcW w:w="1340" w:type="dxa"/>
            <w:vAlign w:val="bottom"/>
          </w:tcPr>
          <w:p>
            <w:pPr>
              <w:spacing w:after="0"/>
              <w:rPr>
                <w:sz w:val="11"/>
                <w:szCs w:val="11"/>
                <w:color w:val="auto"/>
              </w:rPr>
            </w:pPr>
          </w:p>
        </w:tc>
        <w:tc>
          <w:tcPr>
            <w:tcW w:w="100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Effective</w:t>
            </w:r>
          </w:p>
        </w:tc>
      </w:tr>
      <w:tr>
        <w:trPr>
          <w:trHeight w:val="135"/>
        </w:trPr>
        <w:tc>
          <w:tcPr>
            <w:tcW w:w="3620" w:type="dxa"/>
            <w:vAlign w:val="bottom"/>
          </w:tcPr>
          <w:p>
            <w:pPr>
              <w:spacing w:after="0"/>
              <w:rPr>
                <w:sz w:val="11"/>
                <w:szCs w:val="11"/>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March 31,</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interest</w:t>
            </w:r>
          </w:p>
        </w:tc>
        <w:tc>
          <w:tcPr>
            <w:tcW w:w="134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December 31,</w:t>
            </w:r>
          </w:p>
        </w:tc>
        <w:tc>
          <w:tcPr>
            <w:tcW w:w="100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interest</w:t>
            </w:r>
          </w:p>
        </w:tc>
      </w:tr>
      <w:tr>
        <w:trPr>
          <w:trHeight w:val="135"/>
        </w:trPr>
        <w:tc>
          <w:tcPr>
            <w:tcW w:w="3620" w:type="dxa"/>
            <w:vAlign w:val="bottom"/>
          </w:tcPr>
          <w:p>
            <w:pPr>
              <w:spacing w:after="0"/>
              <w:rPr>
                <w:sz w:val="11"/>
                <w:szCs w:val="11"/>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2005</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rate</w:t>
            </w:r>
          </w:p>
        </w:tc>
        <w:tc>
          <w:tcPr>
            <w:tcW w:w="134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2004</w:t>
            </w:r>
          </w:p>
        </w:tc>
        <w:tc>
          <w:tcPr>
            <w:tcW w:w="100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rate</w:t>
            </w:r>
          </w:p>
        </w:tc>
      </w:tr>
      <w:tr>
        <w:trPr>
          <w:trHeight w:val="135"/>
        </w:trPr>
        <w:tc>
          <w:tcPr>
            <w:tcW w:w="3620" w:type="dxa"/>
            <w:vAlign w:val="bottom"/>
          </w:tcPr>
          <w:p>
            <w:pPr>
              <w:spacing w:after="0"/>
              <w:rPr>
                <w:sz w:val="11"/>
                <w:szCs w:val="11"/>
                <w:color w:val="auto"/>
              </w:rPr>
            </w:pPr>
          </w:p>
        </w:tc>
        <w:tc>
          <w:tcPr>
            <w:tcW w:w="150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620" w:type="dxa"/>
            <w:vAlign w:val="bottom"/>
          </w:tcPr>
          <w:p>
            <w:pPr>
              <w:spacing w:after="0"/>
              <w:rPr>
                <w:sz w:val="20"/>
                <w:szCs w:val="20"/>
                <w:color w:val="auto"/>
              </w:rPr>
            </w:pPr>
            <w:r>
              <w:rPr>
                <w:rFonts w:ascii="Courier New" w:cs="Courier New" w:eastAsia="Courier New" w:hAnsi="Courier New"/>
                <w:sz w:val="12"/>
                <w:szCs w:val="12"/>
                <w:color w:val="auto"/>
              </w:rPr>
              <w:t>Term loan due April 2010 (1) ...................</w:t>
            </w:r>
          </w:p>
        </w:tc>
        <w:tc>
          <w:tcPr>
            <w:tcW w:w="15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$60,225</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7.26%</w:t>
            </w:r>
          </w:p>
        </w:tc>
        <w:tc>
          <w:tcPr>
            <w:tcW w:w="13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$60,475</w:t>
            </w:r>
          </w:p>
        </w:tc>
        <w:tc>
          <w:tcPr>
            <w:tcW w:w="10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7.26%</w:t>
            </w:r>
          </w:p>
        </w:tc>
      </w:tr>
      <w:tr>
        <w:trPr>
          <w:trHeight w:val="135"/>
        </w:trPr>
        <w:tc>
          <w:tcPr>
            <w:tcW w:w="3620" w:type="dxa"/>
            <w:vAlign w:val="bottom"/>
          </w:tcPr>
          <w:p>
            <w:pPr>
              <w:spacing w:after="0"/>
              <w:rPr>
                <w:sz w:val="20"/>
                <w:szCs w:val="20"/>
                <w:color w:val="auto"/>
              </w:rPr>
            </w:pPr>
            <w:r>
              <w:rPr>
                <w:rFonts w:ascii="Courier New" w:cs="Courier New" w:eastAsia="Courier New" w:hAnsi="Courier New"/>
                <w:sz w:val="12"/>
                <w:szCs w:val="12"/>
                <w:color w:val="auto"/>
              </w:rPr>
              <w:t>Peso credit facility due January 2007 (2) ......</w:t>
            </w:r>
          </w:p>
        </w:tc>
        <w:tc>
          <w:tcPr>
            <w:tcW w:w="15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spacing w:after="0"/>
              <w:rPr>
                <w:sz w:val="11"/>
                <w:szCs w:val="11"/>
                <w:color w:val="auto"/>
              </w:rPr>
            </w:pPr>
          </w:p>
        </w:tc>
        <w:tc>
          <w:tcPr>
            <w:tcW w:w="13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12,515</w:t>
            </w:r>
          </w:p>
        </w:tc>
        <w:tc>
          <w:tcPr>
            <w:tcW w:w="10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10.60%</w:t>
            </w:r>
          </w:p>
        </w:tc>
      </w:tr>
      <w:tr>
        <w:trPr>
          <w:trHeight w:val="135"/>
        </w:trPr>
        <w:tc>
          <w:tcPr>
            <w:tcW w:w="3620" w:type="dxa"/>
            <w:vAlign w:val="bottom"/>
          </w:tcPr>
          <w:p>
            <w:pPr>
              <w:spacing w:after="0"/>
              <w:rPr>
                <w:sz w:val="20"/>
                <w:szCs w:val="20"/>
                <w:color w:val="auto"/>
              </w:rPr>
            </w:pPr>
            <w:r>
              <w:rPr>
                <w:rFonts w:ascii="Courier New" w:cs="Courier New" w:eastAsia="Courier New" w:hAnsi="Courier New"/>
                <w:sz w:val="12"/>
                <w:szCs w:val="12"/>
                <w:color w:val="auto"/>
              </w:rPr>
              <w:t>Yen credit facility due April 2005 (3) .........</w:t>
            </w:r>
          </w:p>
        </w:tc>
        <w:tc>
          <w:tcPr>
            <w:tcW w:w="15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spacing w:after="0"/>
              <w:rPr>
                <w:sz w:val="11"/>
                <w:szCs w:val="11"/>
                <w:color w:val="auto"/>
              </w:rPr>
            </w:pPr>
          </w:p>
        </w:tc>
        <w:tc>
          <w:tcPr>
            <w:tcW w:w="13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11,845</w:t>
            </w:r>
          </w:p>
        </w:tc>
        <w:tc>
          <w:tcPr>
            <w:tcW w:w="10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1.31%</w:t>
            </w:r>
          </w:p>
        </w:tc>
      </w:tr>
      <w:tr>
        <w:trPr>
          <w:trHeight w:val="135"/>
        </w:trPr>
        <w:tc>
          <w:tcPr>
            <w:tcW w:w="3620" w:type="dxa"/>
            <w:vAlign w:val="bottom"/>
          </w:tcPr>
          <w:p>
            <w:pPr>
              <w:spacing w:after="0"/>
              <w:rPr>
                <w:sz w:val="11"/>
                <w:szCs w:val="11"/>
                <w:color w:val="auto"/>
              </w:rPr>
            </w:pPr>
          </w:p>
        </w:tc>
        <w:tc>
          <w:tcPr>
            <w:tcW w:w="150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spacing w:after="0"/>
              <w:rPr>
                <w:sz w:val="11"/>
                <w:szCs w:val="11"/>
                <w:color w:val="auto"/>
              </w:rPr>
            </w:pPr>
          </w:p>
        </w:tc>
        <w:tc>
          <w:tcPr>
            <w:tcW w:w="13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spacing w:after="0"/>
              <w:rPr>
                <w:sz w:val="11"/>
                <w:szCs w:val="11"/>
                <w:color w:val="auto"/>
              </w:rPr>
            </w:pPr>
          </w:p>
        </w:tc>
      </w:tr>
      <w:tr>
        <w:trPr>
          <w:trHeight w:val="135"/>
        </w:trPr>
        <w:tc>
          <w:tcPr>
            <w:tcW w:w="3620" w:type="dxa"/>
            <w:vAlign w:val="bottom"/>
          </w:tcPr>
          <w:p>
            <w:pPr>
              <w:spacing w:after="0"/>
              <w:rPr>
                <w:sz w:val="11"/>
                <w:szCs w:val="11"/>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$60,225</w:t>
            </w:r>
          </w:p>
        </w:tc>
        <w:tc>
          <w:tcPr>
            <w:tcW w:w="1160" w:type="dxa"/>
            <w:vAlign w:val="bottom"/>
          </w:tcPr>
          <w:p>
            <w:pPr>
              <w:spacing w:after="0"/>
              <w:rPr>
                <w:sz w:val="11"/>
                <w:szCs w:val="11"/>
                <w:color w:val="auto"/>
              </w:rPr>
            </w:pPr>
          </w:p>
        </w:tc>
        <w:tc>
          <w:tcPr>
            <w:tcW w:w="13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$84,835</w:t>
            </w:r>
          </w:p>
        </w:tc>
        <w:tc>
          <w:tcPr>
            <w:tcW w:w="1000" w:type="dxa"/>
            <w:vAlign w:val="bottom"/>
          </w:tcPr>
          <w:p>
            <w:pPr>
              <w:spacing w:after="0"/>
              <w:rPr>
                <w:sz w:val="11"/>
                <w:szCs w:val="11"/>
                <w:color w:val="auto"/>
              </w:rPr>
            </w:pPr>
          </w:p>
        </w:tc>
      </w:tr>
      <w:tr>
        <w:trPr>
          <w:trHeight w:val="137"/>
        </w:trPr>
        <w:tc>
          <w:tcPr>
            <w:tcW w:w="3620" w:type="dxa"/>
            <w:vAlign w:val="bottom"/>
          </w:tcPr>
          <w:p>
            <w:pPr>
              <w:spacing w:after="0"/>
              <w:rPr>
                <w:sz w:val="11"/>
                <w:szCs w:val="11"/>
                <w:color w:val="auto"/>
              </w:rPr>
            </w:pPr>
          </w:p>
        </w:tc>
        <w:tc>
          <w:tcPr>
            <w:tcW w:w="150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spacing w:after="0"/>
              <w:rPr>
                <w:sz w:val="11"/>
                <w:szCs w:val="11"/>
                <w:color w:val="auto"/>
              </w:rPr>
            </w:pPr>
          </w:p>
        </w:tc>
        <w:tc>
          <w:tcPr>
            <w:tcW w:w="13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spacing w:after="0"/>
              <w:rPr>
                <w:sz w:val="11"/>
                <w:szCs w:val="11"/>
                <w:color w:val="auto"/>
              </w:rPr>
            </w:pPr>
          </w:p>
        </w:tc>
      </w:tr>
    </w:tbl>
    <w:p>
      <w:pPr>
        <w:spacing w:after="0" w:line="200" w:lineRule="exact"/>
        <w:rPr>
          <w:sz w:val="20"/>
          <w:szCs w:val="20"/>
          <w:color w:val="auto"/>
        </w:rPr>
      </w:pPr>
    </w:p>
    <w:p>
      <w:pPr>
        <w:sectPr>
          <w:pgSz w:w="11900" w:h="16987" w:orient="portrait"/>
          <w:cols w:equalWidth="0" w:num="1">
            <w:col w:w="11360"/>
          </w:cols>
          <w:pgMar w:left="240" w:top="132" w:right="299" w:bottom="0" w:gutter="0" w:footer="0" w:header="0"/>
        </w:sectPr>
      </w:pPr>
    </w:p>
    <w:p>
      <w:pPr>
        <w:spacing w:after="0" w:line="161" w:lineRule="exact"/>
        <w:rPr>
          <w:sz w:val="20"/>
          <w:szCs w:val="20"/>
          <w:color w:val="auto"/>
        </w:rPr>
      </w:pPr>
    </w:p>
    <w:p>
      <w:pPr>
        <w:ind w:left="1160" w:right="80" w:hanging="571"/>
        <w:spacing w:after="0" w:line="328" w:lineRule="auto"/>
        <w:tabs>
          <w:tab w:leader="none" w:pos="1160" w:val="left"/>
        </w:tabs>
        <w:numPr>
          <w:ilvl w:val="0"/>
          <w:numId w:val="9"/>
        </w:numPr>
        <w:rPr>
          <w:rFonts w:ascii="Arial" w:cs="Arial" w:eastAsia="Arial" w:hAnsi="Arial"/>
          <w:sz w:val="19"/>
          <w:szCs w:val="19"/>
          <w:color w:val="auto"/>
        </w:rPr>
      </w:pPr>
      <w:r>
        <w:rPr>
          <w:rFonts w:ascii="Arial" w:cs="Arial" w:eastAsia="Arial" w:hAnsi="Arial"/>
          <w:sz w:val="19"/>
          <w:szCs w:val="19"/>
          <w:color w:val="auto"/>
        </w:rPr>
        <w:t>In February 2004, the OP amended its mortgage loan due April 2010 to unencumber four properties and reduce the interest rate from LIBOR plus 1.50% to LIBOR plus 1.25% (3.94% at March 31, 2005). The original terms remained</w:t>
      </w:r>
    </w:p>
    <w:p>
      <w:pPr>
        <w:sectPr>
          <w:pgSz w:w="11900" w:h="16987" w:orient="portrait"/>
          <w:cols w:equalWidth="0" w:num="1">
            <w:col w:w="11360"/>
          </w:cols>
          <w:pgMar w:left="240" w:top="132" w:right="299" w:bottom="0" w:gutter="0" w:footer="0" w:header="0"/>
          <w:type w:val="continuous"/>
        </w:sectPr>
      </w:pPr>
    </w:p>
    <w:bookmarkStart w:id="5" w:name="page6"/>
    <w:bookmarkEnd w:id="5"/>
    <w:p>
      <w:pPr>
        <w:ind w:left="1160" w:right="140"/>
        <w:spacing w:after="0" w:line="249" w:lineRule="auto"/>
        <w:rPr>
          <w:sz w:val="20"/>
          <w:szCs w:val="20"/>
          <w:color w:val="auto"/>
        </w:rPr>
      </w:pPr>
      <w:r>
        <w:rPr>
          <w:rFonts w:ascii="Arial" w:cs="Arial" w:eastAsia="Arial" w:hAnsi="Arial"/>
          <w:sz w:val="21"/>
          <w:szCs w:val="21"/>
          <w:color w:val="auto"/>
        </w:rPr>
        <w:t>unchanged requiring quarterly principal amortization of $0.25 million through April 2005 and $0.45 million per quarter thereafter until maturity. The OP maintains an interest rate swap that effectively fixes the interest rate on the mortgage debt on the term loan at 7.26% until January 2006. During the three months ended March 31, 2005 and 2004, the OP recognized interest expense of $0.5 million and $0.8 million, respectively, on the hedge that is included in interest expense in the accompanying financial statements.</w:t>
      </w:r>
    </w:p>
    <w:p>
      <w:pPr>
        <w:spacing w:after="0" w:line="206" w:lineRule="exact"/>
        <w:rPr>
          <w:sz w:val="20"/>
          <w:szCs w:val="20"/>
          <w:color w:val="auto"/>
        </w:rPr>
      </w:pPr>
    </w:p>
    <w:p>
      <w:pPr>
        <w:ind w:left="1160" w:right="20" w:hanging="571"/>
        <w:spacing w:after="0" w:line="248" w:lineRule="auto"/>
        <w:tabs>
          <w:tab w:leader="none" w:pos="1160" w:val="left"/>
        </w:tabs>
        <w:numPr>
          <w:ilvl w:val="0"/>
          <w:numId w:val="10"/>
        </w:numPr>
        <w:rPr>
          <w:rFonts w:ascii="Arial" w:cs="Arial" w:eastAsia="Arial" w:hAnsi="Arial"/>
          <w:sz w:val="21"/>
          <w:szCs w:val="21"/>
          <w:color w:val="auto"/>
        </w:rPr>
      </w:pPr>
      <w:r>
        <w:rPr>
          <w:rFonts w:ascii="Arial" w:cs="Arial" w:eastAsia="Arial" w:hAnsi="Arial"/>
          <w:sz w:val="21"/>
          <w:szCs w:val="21"/>
          <w:color w:val="auto"/>
        </w:rPr>
        <w:t>In January 2004, a wholly-owned subsidiary of the OP entered into a 180 million peso-denominated revolving facility, which had a three-year term and provided funding for projects in Mexico. In February 2005, the OP repaid the outstanding balance of the peso facility. The drawn funds bore interest at the Interbank Interest Equilibrium Rate ("TIIE") plus 0.825% plus the bank's cost of funds spread limited to 20% of the TIIE, with an annual facility fee on the unused balance of 0.15% per annum. The TIIE rate spread ranged from 0.725% to 1.37% depending on the OP's Senior Debt rating. The Company and OP guaranteed the facility.</w:t>
      </w:r>
    </w:p>
    <w:p>
      <w:pPr>
        <w:spacing w:after="0" w:line="204" w:lineRule="exact"/>
        <w:rPr>
          <w:rFonts w:ascii="Arial" w:cs="Arial" w:eastAsia="Arial" w:hAnsi="Arial"/>
          <w:sz w:val="21"/>
          <w:szCs w:val="21"/>
          <w:color w:val="auto"/>
        </w:rPr>
      </w:pPr>
    </w:p>
    <w:p>
      <w:pPr>
        <w:ind w:left="1160" w:right="220" w:hanging="571"/>
        <w:spacing w:after="0" w:line="297" w:lineRule="auto"/>
        <w:tabs>
          <w:tab w:leader="none" w:pos="11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OP's wholly-owned equity investee in Chelsea Japan Co. Ltd. had a 4.0 billion yen line of credit that provided funding for projects being developed in Japan. On March 31, 2005, the facility was repaid and extinguished through borrowings from Simon. See note 11. The yen line of credit bore interest at yen LIBOR plus 1.25%.</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19"/>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ind w:right="9220" w:firstLine="8"/>
        <w:spacing w:after="0" w:line="507" w:lineRule="auto"/>
        <w:tabs>
          <w:tab w:leader="none" w:pos="432"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Debt (continued) Unsecured Public Notes</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 summary of the terms of the unsecured publicly traded notes outstanding at March 31, 2005 and December 31, 2004 is as follows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2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March 31,</w:t>
            </w:r>
          </w:p>
        </w:tc>
        <w:tc>
          <w:tcPr>
            <w:tcW w:w="15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December  31,</w:t>
            </w:r>
          </w:p>
        </w:tc>
        <w:tc>
          <w:tcPr>
            <w:tcW w:w="1220" w:type="dxa"/>
            <w:vAlign w:val="bottom"/>
          </w:tcPr>
          <w:p>
            <w:pPr>
              <w:ind w:left="200"/>
              <w:spacing w:after="0"/>
              <w:rPr>
                <w:sz w:val="20"/>
                <w:szCs w:val="20"/>
                <w:color w:val="auto"/>
              </w:rPr>
            </w:pPr>
            <w:r>
              <w:rPr>
                <w:rFonts w:ascii="Courier New" w:cs="Courier New" w:eastAsia="Courier New" w:hAnsi="Courier New"/>
                <w:sz w:val="12"/>
                <w:szCs w:val="12"/>
                <w:color w:val="auto"/>
              </w:rPr>
              <w:t>Effective</w:t>
            </w:r>
          </w:p>
        </w:tc>
      </w:tr>
      <w:tr>
        <w:trPr>
          <w:trHeight w:val="135"/>
        </w:trPr>
        <w:tc>
          <w:tcPr>
            <w:tcW w:w="5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2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2005</w:t>
            </w:r>
          </w:p>
        </w:tc>
        <w:tc>
          <w:tcPr>
            <w:tcW w:w="15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2004</w:t>
            </w:r>
          </w:p>
        </w:tc>
        <w:tc>
          <w:tcPr>
            <w:tcW w:w="1220" w:type="dxa"/>
            <w:vAlign w:val="bottom"/>
          </w:tcPr>
          <w:p>
            <w:pPr>
              <w:ind w:left="200"/>
              <w:spacing w:after="0"/>
              <w:rPr>
                <w:sz w:val="20"/>
                <w:szCs w:val="20"/>
                <w:color w:val="auto"/>
              </w:rPr>
            </w:pPr>
            <w:r>
              <w:rPr>
                <w:rFonts w:ascii="Courier New" w:cs="Courier New" w:eastAsia="Courier New" w:hAnsi="Courier New"/>
                <w:sz w:val="12"/>
                <w:szCs w:val="12"/>
                <w:color w:val="auto"/>
              </w:rPr>
              <w:t>Yield (1)</w:t>
            </w:r>
          </w:p>
        </w:tc>
      </w:tr>
      <w:tr>
        <w:trPr>
          <w:trHeight w:val="135"/>
        </w:trPr>
        <w:tc>
          <w:tcPr>
            <w:tcW w:w="5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2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5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220" w:type="dxa"/>
            <w:vAlign w:val="bottom"/>
          </w:tcPr>
          <w:p>
            <w:pPr>
              <w:ind w:left="200"/>
              <w:spacing w:after="0"/>
              <w:rPr>
                <w:sz w:val="20"/>
                <w:szCs w:val="20"/>
                <w:color w:val="auto"/>
              </w:rPr>
            </w:pPr>
            <w:r>
              <w:rPr>
                <w:rFonts w:ascii="Courier New" w:cs="Courier New" w:eastAsia="Courier New" w:hAnsi="Courier New"/>
                <w:sz w:val="12"/>
                <w:szCs w:val="12"/>
                <w:color w:val="auto"/>
                <w:w w:val="99"/>
              </w:rPr>
              <w:t>--------------</w:t>
            </w:r>
          </w:p>
        </w:tc>
      </w:tr>
      <w:tr>
        <w:trPr>
          <w:trHeight w:val="135"/>
        </w:trPr>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8.375%</w:t>
            </w:r>
          </w:p>
        </w:tc>
        <w:tc>
          <w:tcPr>
            <w:tcW w:w="4300" w:type="dxa"/>
            <w:vAlign w:val="bottom"/>
          </w:tcPr>
          <w:p>
            <w:pPr>
              <w:ind w:left="80"/>
              <w:spacing w:after="0"/>
              <w:rPr>
                <w:sz w:val="20"/>
                <w:szCs w:val="20"/>
                <w:color w:val="auto"/>
              </w:rPr>
            </w:pPr>
            <w:r>
              <w:rPr>
                <w:rFonts w:ascii="Courier New" w:cs="Courier New" w:eastAsia="Courier New" w:hAnsi="Courier New"/>
                <w:sz w:val="12"/>
                <w:szCs w:val="12"/>
                <w:color w:val="auto"/>
              </w:rPr>
              <w:t>Notes due August 2005....................................</w:t>
            </w:r>
          </w:p>
        </w:tc>
        <w:tc>
          <w:tcPr>
            <w:tcW w:w="12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   49,990</w:t>
            </w:r>
          </w:p>
        </w:tc>
        <w:tc>
          <w:tcPr>
            <w:tcW w:w="15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$ 49,982</w:t>
            </w:r>
          </w:p>
        </w:tc>
        <w:tc>
          <w:tcPr>
            <w:tcW w:w="12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8.44%</w:t>
            </w:r>
          </w:p>
        </w:tc>
      </w:tr>
      <w:tr>
        <w:trPr>
          <w:trHeight w:val="135"/>
        </w:trPr>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7.250%</w:t>
            </w:r>
          </w:p>
        </w:tc>
        <w:tc>
          <w:tcPr>
            <w:tcW w:w="4300" w:type="dxa"/>
            <w:vAlign w:val="bottom"/>
          </w:tcPr>
          <w:p>
            <w:pPr>
              <w:ind w:left="80"/>
              <w:spacing w:after="0"/>
              <w:rPr>
                <w:sz w:val="20"/>
                <w:szCs w:val="20"/>
                <w:color w:val="auto"/>
              </w:rPr>
            </w:pPr>
            <w:r>
              <w:rPr>
                <w:rFonts w:ascii="Courier New" w:cs="Courier New" w:eastAsia="Courier New" w:hAnsi="Courier New"/>
                <w:sz w:val="12"/>
                <w:szCs w:val="12"/>
                <w:color w:val="auto"/>
              </w:rPr>
              <w:t>Notes due October 2007...................................</w:t>
            </w:r>
          </w:p>
        </w:tc>
        <w:tc>
          <w:tcPr>
            <w:tcW w:w="12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124,914</w:t>
            </w:r>
          </w:p>
        </w:tc>
        <w:tc>
          <w:tcPr>
            <w:tcW w:w="15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124,906</w:t>
            </w:r>
          </w:p>
        </w:tc>
        <w:tc>
          <w:tcPr>
            <w:tcW w:w="12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7.39%</w:t>
            </w:r>
          </w:p>
        </w:tc>
      </w:tr>
      <w:tr>
        <w:trPr>
          <w:trHeight w:val="135"/>
        </w:trPr>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3.500%</w:t>
            </w:r>
          </w:p>
        </w:tc>
        <w:tc>
          <w:tcPr>
            <w:tcW w:w="4300" w:type="dxa"/>
            <w:vAlign w:val="bottom"/>
          </w:tcPr>
          <w:p>
            <w:pPr>
              <w:ind w:left="80"/>
              <w:spacing w:after="0"/>
              <w:rPr>
                <w:sz w:val="20"/>
                <w:szCs w:val="20"/>
                <w:color w:val="auto"/>
              </w:rPr>
            </w:pPr>
            <w:r>
              <w:rPr>
                <w:rFonts w:ascii="Courier New" w:cs="Courier New" w:eastAsia="Courier New" w:hAnsi="Courier New"/>
                <w:sz w:val="12"/>
                <w:szCs w:val="12"/>
                <w:color w:val="auto"/>
              </w:rPr>
              <w:t>Notes due March 2009.....................................</w:t>
            </w:r>
          </w:p>
        </w:tc>
        <w:tc>
          <w:tcPr>
            <w:tcW w:w="12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99,631</w:t>
            </w:r>
          </w:p>
        </w:tc>
        <w:tc>
          <w:tcPr>
            <w:tcW w:w="15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99,608</w:t>
            </w:r>
          </w:p>
        </w:tc>
        <w:tc>
          <w:tcPr>
            <w:tcW w:w="12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3.60%</w:t>
            </w:r>
          </w:p>
        </w:tc>
      </w:tr>
      <w:tr>
        <w:trPr>
          <w:trHeight w:val="135"/>
        </w:trPr>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8.625%</w:t>
            </w:r>
          </w:p>
        </w:tc>
        <w:tc>
          <w:tcPr>
            <w:tcW w:w="4300" w:type="dxa"/>
            <w:vAlign w:val="bottom"/>
          </w:tcPr>
          <w:p>
            <w:pPr>
              <w:ind w:left="80"/>
              <w:spacing w:after="0"/>
              <w:rPr>
                <w:sz w:val="20"/>
                <w:szCs w:val="20"/>
                <w:color w:val="auto"/>
              </w:rPr>
            </w:pPr>
            <w:r>
              <w:rPr>
                <w:rFonts w:ascii="Courier New" w:cs="Courier New" w:eastAsia="Courier New" w:hAnsi="Courier New"/>
                <w:sz w:val="12"/>
                <w:szCs w:val="12"/>
                <w:color w:val="auto"/>
              </w:rPr>
              <w:t>Notes due August 2009....................................</w:t>
            </w:r>
          </w:p>
        </w:tc>
        <w:tc>
          <w:tcPr>
            <w:tcW w:w="12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49,956</w:t>
            </w:r>
          </w:p>
        </w:tc>
        <w:tc>
          <w:tcPr>
            <w:tcW w:w="15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49,953</w:t>
            </w:r>
          </w:p>
        </w:tc>
        <w:tc>
          <w:tcPr>
            <w:tcW w:w="12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8.76%</w:t>
            </w:r>
          </w:p>
        </w:tc>
      </w:tr>
      <w:tr>
        <w:trPr>
          <w:trHeight w:val="135"/>
        </w:trPr>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8.250%</w:t>
            </w:r>
          </w:p>
        </w:tc>
        <w:tc>
          <w:tcPr>
            <w:tcW w:w="4300" w:type="dxa"/>
            <w:vAlign w:val="bottom"/>
          </w:tcPr>
          <w:p>
            <w:pPr>
              <w:ind w:left="80"/>
              <w:spacing w:after="0"/>
              <w:rPr>
                <w:sz w:val="20"/>
                <w:szCs w:val="20"/>
                <w:color w:val="auto"/>
              </w:rPr>
            </w:pPr>
            <w:r>
              <w:rPr>
                <w:rFonts w:ascii="Courier New" w:cs="Courier New" w:eastAsia="Courier New" w:hAnsi="Courier New"/>
                <w:sz w:val="12"/>
                <w:szCs w:val="12"/>
                <w:color w:val="auto"/>
              </w:rPr>
              <w:t>Notes due February 2011..................................</w:t>
            </w:r>
          </w:p>
        </w:tc>
        <w:tc>
          <w:tcPr>
            <w:tcW w:w="12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149,147</w:t>
            </w:r>
          </w:p>
        </w:tc>
        <w:tc>
          <w:tcPr>
            <w:tcW w:w="15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149,110</w:t>
            </w:r>
          </w:p>
        </w:tc>
        <w:tc>
          <w:tcPr>
            <w:tcW w:w="12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8.40%</w:t>
            </w:r>
          </w:p>
        </w:tc>
      </w:tr>
      <w:tr>
        <w:trPr>
          <w:trHeight w:val="135"/>
        </w:trPr>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6.875%</w:t>
            </w:r>
          </w:p>
        </w:tc>
        <w:tc>
          <w:tcPr>
            <w:tcW w:w="4300" w:type="dxa"/>
            <w:vAlign w:val="bottom"/>
          </w:tcPr>
          <w:p>
            <w:pPr>
              <w:ind w:left="80"/>
              <w:spacing w:after="0"/>
              <w:rPr>
                <w:sz w:val="20"/>
                <w:szCs w:val="20"/>
                <w:color w:val="auto"/>
              </w:rPr>
            </w:pPr>
            <w:r>
              <w:rPr>
                <w:rFonts w:ascii="Courier New" w:cs="Courier New" w:eastAsia="Courier New" w:hAnsi="Courier New"/>
                <w:sz w:val="12"/>
                <w:szCs w:val="12"/>
                <w:color w:val="auto"/>
              </w:rPr>
              <w:t>Notes due June 2012......................................</w:t>
            </w:r>
          </w:p>
        </w:tc>
        <w:tc>
          <w:tcPr>
            <w:tcW w:w="12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99,901</w:t>
            </w:r>
          </w:p>
        </w:tc>
        <w:tc>
          <w:tcPr>
            <w:tcW w:w="15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99,897</w:t>
            </w:r>
          </w:p>
        </w:tc>
        <w:tc>
          <w:tcPr>
            <w:tcW w:w="12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6.90%</w:t>
            </w:r>
          </w:p>
        </w:tc>
      </w:tr>
      <w:tr>
        <w:trPr>
          <w:trHeight w:val="135"/>
        </w:trPr>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6.000%</w:t>
            </w:r>
          </w:p>
        </w:tc>
        <w:tc>
          <w:tcPr>
            <w:tcW w:w="4300" w:type="dxa"/>
            <w:vAlign w:val="bottom"/>
          </w:tcPr>
          <w:p>
            <w:pPr>
              <w:ind w:left="80"/>
              <w:spacing w:after="0"/>
              <w:rPr>
                <w:sz w:val="20"/>
                <w:szCs w:val="20"/>
                <w:color w:val="auto"/>
              </w:rPr>
            </w:pPr>
            <w:r>
              <w:rPr>
                <w:rFonts w:ascii="Courier New" w:cs="Courier New" w:eastAsia="Courier New" w:hAnsi="Courier New"/>
                <w:sz w:val="12"/>
                <w:szCs w:val="12"/>
                <w:color w:val="auto"/>
              </w:rPr>
              <w:t>Notes due January 2013...................................</w:t>
            </w:r>
          </w:p>
        </w:tc>
        <w:tc>
          <w:tcPr>
            <w:tcW w:w="12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148,443</w:t>
            </w:r>
          </w:p>
        </w:tc>
        <w:tc>
          <w:tcPr>
            <w:tcW w:w="15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148,393</w:t>
            </w:r>
          </w:p>
        </w:tc>
        <w:tc>
          <w:tcPr>
            <w:tcW w:w="12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6.18%</w:t>
            </w:r>
          </w:p>
        </w:tc>
      </w:tr>
      <w:tr>
        <w:trPr>
          <w:trHeight w:val="135"/>
        </w:trPr>
        <w:tc>
          <w:tcPr>
            <w:tcW w:w="5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2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5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220" w:type="dxa"/>
            <w:vAlign w:val="bottom"/>
          </w:tcPr>
          <w:p>
            <w:pPr>
              <w:spacing w:after="0"/>
              <w:rPr>
                <w:sz w:val="11"/>
                <w:szCs w:val="11"/>
                <w:color w:val="auto"/>
              </w:rPr>
            </w:pPr>
          </w:p>
        </w:tc>
      </w:tr>
      <w:tr>
        <w:trPr>
          <w:trHeight w:val="135"/>
        </w:trPr>
        <w:tc>
          <w:tcPr>
            <w:tcW w:w="5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2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$721,982</w:t>
            </w:r>
          </w:p>
        </w:tc>
        <w:tc>
          <w:tcPr>
            <w:tcW w:w="15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$721,849</w:t>
            </w:r>
          </w:p>
        </w:tc>
        <w:tc>
          <w:tcPr>
            <w:tcW w:w="1220" w:type="dxa"/>
            <w:vAlign w:val="bottom"/>
          </w:tcPr>
          <w:p>
            <w:pPr>
              <w:spacing w:after="0"/>
              <w:rPr>
                <w:sz w:val="11"/>
                <w:szCs w:val="11"/>
                <w:color w:val="auto"/>
              </w:rPr>
            </w:pPr>
          </w:p>
        </w:tc>
      </w:tr>
      <w:tr>
        <w:trPr>
          <w:trHeight w:val="137"/>
        </w:trPr>
        <w:tc>
          <w:tcPr>
            <w:tcW w:w="5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2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5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220" w:type="dxa"/>
            <w:vAlign w:val="bottom"/>
          </w:tcPr>
          <w:p>
            <w:pPr>
              <w:spacing w:after="0"/>
              <w:rPr>
                <w:sz w:val="11"/>
                <w:szCs w:val="11"/>
                <w:color w:val="auto"/>
              </w:rPr>
            </w:pPr>
          </w:p>
        </w:tc>
      </w:tr>
    </w:tbl>
    <w:p>
      <w:pPr>
        <w:spacing w:after="0" w:line="200" w:lineRule="exact"/>
        <w:rPr>
          <w:sz w:val="20"/>
          <w:szCs w:val="20"/>
          <w:color w:val="auto"/>
        </w:rPr>
      </w:pPr>
    </w:p>
    <w:p>
      <w:pPr>
        <w:spacing w:after="0" w:line="202"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Including discounts on the notes.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19"/>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ind w:right="9420" w:firstLine="8"/>
        <w:spacing w:after="0" w:line="507" w:lineRule="auto"/>
        <w:tabs>
          <w:tab w:leader="none" w:pos="432"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Debt (continued) Mortgage Debt</w:t>
      </w:r>
    </w:p>
    <w:p>
      <w:pPr>
        <w:spacing w:after="0" w:line="1" w:lineRule="exact"/>
        <w:rPr>
          <w:sz w:val="20"/>
          <w:szCs w:val="20"/>
          <w:color w:val="auto"/>
        </w:rPr>
      </w:pPr>
    </w:p>
    <w:p>
      <w:pPr>
        <w:ind w:right="200"/>
        <w:spacing w:after="0" w:line="274" w:lineRule="auto"/>
        <w:rPr>
          <w:sz w:val="20"/>
          <w:szCs w:val="20"/>
          <w:color w:val="auto"/>
        </w:rPr>
      </w:pPr>
      <w:r>
        <w:rPr>
          <w:rFonts w:ascii="Arial" w:cs="Arial" w:eastAsia="Arial" w:hAnsi="Arial"/>
          <w:sz w:val="21"/>
          <w:szCs w:val="21"/>
          <w:color w:val="auto"/>
        </w:rPr>
        <w:t>A summary of the terms of the mortgage debt outstanding at March 31, 2005 and December 31, 2004, and the related interest rate and Net Book Value ("NBV") of the associated collateral as of March 31, 2005, is as follows (in thousands):</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36"/>
        </w:trPr>
        <w:tc>
          <w:tcPr>
            <w:tcW w:w="1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54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March  31,</w:t>
            </w:r>
          </w:p>
        </w:tc>
        <w:tc>
          <w:tcPr>
            <w:tcW w:w="156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December  31,</w:t>
            </w:r>
          </w:p>
        </w:tc>
        <w:tc>
          <w:tcPr>
            <w:tcW w:w="138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Effective</w:t>
            </w:r>
          </w:p>
        </w:tc>
        <w:tc>
          <w:tcPr>
            <w:tcW w:w="1020" w:type="dxa"/>
            <w:vAlign w:val="bottom"/>
          </w:tcPr>
          <w:p>
            <w:pPr>
              <w:spacing w:after="0"/>
              <w:rPr>
                <w:sz w:val="11"/>
                <w:szCs w:val="11"/>
                <w:color w:val="auto"/>
              </w:rPr>
            </w:pPr>
          </w:p>
        </w:tc>
      </w:tr>
      <w:tr>
        <w:trPr>
          <w:trHeight w:val="135"/>
        </w:trPr>
        <w:tc>
          <w:tcPr>
            <w:tcW w:w="1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54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2005</w:t>
            </w:r>
          </w:p>
        </w:tc>
        <w:tc>
          <w:tcPr>
            <w:tcW w:w="156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2004</w:t>
            </w:r>
          </w:p>
        </w:tc>
        <w:tc>
          <w:tcPr>
            <w:tcW w:w="1380" w:type="dxa"/>
            <w:vAlign w:val="bottom"/>
          </w:tcPr>
          <w:p>
            <w:pPr>
              <w:jc w:val="center"/>
              <w:ind w:left="99"/>
              <w:spacing w:after="0"/>
              <w:rPr>
                <w:sz w:val="20"/>
                <w:szCs w:val="20"/>
                <w:color w:val="auto"/>
              </w:rPr>
            </w:pPr>
            <w:r>
              <w:rPr>
                <w:rFonts w:ascii="Courier New" w:cs="Courier New" w:eastAsia="Courier New" w:hAnsi="Courier New"/>
                <w:sz w:val="12"/>
                <w:szCs w:val="12"/>
                <w:b w:val="1"/>
                <w:bCs w:val="1"/>
                <w:color w:val="auto"/>
              </w:rPr>
              <w:t>Interest Rate</w:t>
            </w:r>
          </w:p>
        </w:tc>
        <w:tc>
          <w:tcPr>
            <w:tcW w:w="10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NBV</w:t>
            </w:r>
          </w:p>
        </w:tc>
      </w:tr>
      <w:tr>
        <w:trPr>
          <w:trHeight w:val="135"/>
        </w:trPr>
        <w:tc>
          <w:tcPr>
            <w:tcW w:w="1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54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w:t>
            </w:r>
          </w:p>
        </w:tc>
        <w:tc>
          <w:tcPr>
            <w:tcW w:w="15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138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r>
      <w:tr>
        <w:trPr>
          <w:trHeight w:val="135"/>
        </w:trPr>
        <w:tc>
          <w:tcPr>
            <w:tcW w:w="1320" w:type="dxa"/>
            <w:vAlign w:val="bottom"/>
          </w:tcPr>
          <w:p>
            <w:pPr>
              <w:spacing w:after="0"/>
              <w:rPr>
                <w:sz w:val="20"/>
                <w:szCs w:val="20"/>
                <w:color w:val="auto"/>
              </w:rPr>
            </w:pPr>
            <w:r>
              <w:rPr>
                <w:rFonts w:ascii="Courier New" w:cs="Courier New" w:eastAsia="Courier New" w:hAnsi="Courier New"/>
                <w:sz w:val="12"/>
                <w:szCs w:val="12"/>
                <w:color w:val="auto"/>
              </w:rPr>
              <w:t>Due July 2008 (1)</w:t>
            </w:r>
          </w:p>
        </w:tc>
        <w:tc>
          <w:tcPr>
            <w:tcW w:w="1340" w:type="dxa"/>
            <w:vAlign w:val="bottom"/>
          </w:tcPr>
          <w:p>
            <w:pPr>
              <w:jc w:val="right"/>
              <w:ind w:right="339"/>
              <w:spacing w:after="0"/>
              <w:rPr>
                <w:sz w:val="20"/>
                <w:szCs w:val="20"/>
                <w:color w:val="auto"/>
              </w:rPr>
            </w:pPr>
            <w:r>
              <w:rPr>
                <w:rFonts w:ascii="Courier New" w:cs="Courier New" w:eastAsia="Courier New" w:hAnsi="Courier New"/>
                <w:sz w:val="12"/>
                <w:szCs w:val="12"/>
                <w:color w:val="auto"/>
                <w:w w:val="98"/>
              </w:rPr>
              <w:t>.............</w:t>
            </w:r>
          </w:p>
        </w:tc>
        <w:tc>
          <w:tcPr>
            <w:tcW w:w="154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$160,669</w:t>
            </w:r>
          </w:p>
        </w:tc>
        <w:tc>
          <w:tcPr>
            <w:tcW w:w="15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$161,546</w:t>
            </w:r>
          </w:p>
        </w:tc>
        <w:tc>
          <w:tcPr>
            <w:tcW w:w="1380" w:type="dxa"/>
            <w:vAlign w:val="bottom"/>
          </w:tcPr>
          <w:p>
            <w:pPr>
              <w:jc w:val="center"/>
              <w:ind w:left="99"/>
              <w:spacing w:after="0"/>
              <w:rPr>
                <w:sz w:val="20"/>
                <w:szCs w:val="20"/>
                <w:color w:val="auto"/>
              </w:rPr>
            </w:pPr>
            <w:r>
              <w:rPr>
                <w:rFonts w:ascii="Courier New" w:cs="Courier New" w:eastAsia="Courier New" w:hAnsi="Courier New"/>
                <w:sz w:val="12"/>
                <w:szCs w:val="12"/>
                <w:color w:val="auto"/>
              </w:rPr>
              <w:t>7.26%</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$246,990</w:t>
            </w:r>
          </w:p>
        </w:tc>
      </w:tr>
      <w:tr>
        <w:trPr>
          <w:trHeight w:val="135"/>
        </w:trPr>
        <w:tc>
          <w:tcPr>
            <w:tcW w:w="1320" w:type="dxa"/>
            <w:vAlign w:val="bottom"/>
          </w:tcPr>
          <w:p>
            <w:pPr>
              <w:spacing w:after="0"/>
              <w:rPr>
                <w:sz w:val="20"/>
                <w:szCs w:val="20"/>
                <w:color w:val="auto"/>
              </w:rPr>
            </w:pPr>
            <w:r>
              <w:rPr>
                <w:rFonts w:ascii="Courier New" w:cs="Courier New" w:eastAsia="Courier New" w:hAnsi="Courier New"/>
                <w:sz w:val="12"/>
                <w:szCs w:val="12"/>
                <w:color w:val="auto"/>
              </w:rPr>
              <w:t>Due December 2012</w:t>
            </w:r>
          </w:p>
        </w:tc>
        <w:tc>
          <w:tcPr>
            <w:tcW w:w="1340" w:type="dxa"/>
            <w:vAlign w:val="bottom"/>
          </w:tcPr>
          <w:p>
            <w:pPr>
              <w:jc w:val="right"/>
              <w:ind w:right="339"/>
              <w:spacing w:after="0"/>
              <w:rPr>
                <w:sz w:val="20"/>
                <w:szCs w:val="20"/>
                <w:color w:val="auto"/>
              </w:rPr>
            </w:pPr>
            <w:r>
              <w:rPr>
                <w:rFonts w:ascii="Courier New" w:cs="Courier New" w:eastAsia="Courier New" w:hAnsi="Courier New"/>
                <w:sz w:val="12"/>
                <w:szCs w:val="12"/>
                <w:color w:val="auto"/>
                <w:w w:val="98"/>
              </w:rPr>
              <w:t>(2) .........</w:t>
            </w:r>
          </w:p>
        </w:tc>
        <w:tc>
          <w:tcPr>
            <w:tcW w:w="154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22,766</w:t>
            </w:r>
          </w:p>
        </w:tc>
        <w:tc>
          <w:tcPr>
            <w:tcW w:w="15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23,331</w:t>
            </w:r>
          </w:p>
        </w:tc>
        <w:tc>
          <w:tcPr>
            <w:tcW w:w="1380" w:type="dxa"/>
            <w:vAlign w:val="bottom"/>
          </w:tcPr>
          <w:p>
            <w:pPr>
              <w:jc w:val="center"/>
              <w:ind w:left="99"/>
              <w:spacing w:after="0"/>
              <w:rPr>
                <w:sz w:val="20"/>
                <w:szCs w:val="20"/>
                <w:color w:val="auto"/>
              </w:rPr>
            </w:pPr>
            <w:r>
              <w:rPr>
                <w:rFonts w:ascii="Courier New" w:cs="Courier New" w:eastAsia="Courier New" w:hAnsi="Courier New"/>
                <w:sz w:val="12"/>
                <w:szCs w:val="12"/>
                <w:color w:val="auto"/>
              </w:rPr>
              <w:t>6.29%</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99,238</w:t>
            </w:r>
          </w:p>
        </w:tc>
      </w:tr>
      <w:tr>
        <w:trPr>
          <w:trHeight w:val="135"/>
        </w:trPr>
        <w:tc>
          <w:tcPr>
            <w:tcW w:w="1320" w:type="dxa"/>
            <w:vAlign w:val="bottom"/>
          </w:tcPr>
          <w:p>
            <w:pPr>
              <w:spacing w:after="0"/>
              <w:rPr>
                <w:sz w:val="20"/>
                <w:szCs w:val="20"/>
                <w:color w:val="auto"/>
              </w:rPr>
            </w:pPr>
            <w:r>
              <w:rPr>
                <w:rFonts w:ascii="Courier New" w:cs="Courier New" w:eastAsia="Courier New" w:hAnsi="Courier New"/>
                <w:sz w:val="12"/>
                <w:szCs w:val="12"/>
                <w:color w:val="auto"/>
              </w:rPr>
              <w:t>Due December 2012</w:t>
            </w:r>
          </w:p>
        </w:tc>
        <w:tc>
          <w:tcPr>
            <w:tcW w:w="1340" w:type="dxa"/>
            <w:vAlign w:val="bottom"/>
          </w:tcPr>
          <w:p>
            <w:pPr>
              <w:jc w:val="right"/>
              <w:ind w:right="339"/>
              <w:spacing w:after="0"/>
              <w:rPr>
                <w:sz w:val="20"/>
                <w:szCs w:val="20"/>
                <w:color w:val="auto"/>
              </w:rPr>
            </w:pPr>
            <w:r>
              <w:rPr>
                <w:rFonts w:ascii="Courier New" w:cs="Courier New" w:eastAsia="Courier New" w:hAnsi="Courier New"/>
                <w:sz w:val="12"/>
                <w:szCs w:val="12"/>
                <w:color w:val="auto"/>
                <w:w w:val="98"/>
              </w:rPr>
              <w:t>(3) .........</w:t>
            </w:r>
          </w:p>
        </w:tc>
        <w:tc>
          <w:tcPr>
            <w:tcW w:w="154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69,065</w:t>
            </w:r>
          </w:p>
        </w:tc>
        <w:tc>
          <w:tcPr>
            <w:tcW w:w="15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69,372</w:t>
            </w:r>
          </w:p>
        </w:tc>
        <w:tc>
          <w:tcPr>
            <w:tcW w:w="1380" w:type="dxa"/>
            <w:vAlign w:val="bottom"/>
          </w:tcPr>
          <w:p>
            <w:pPr>
              <w:jc w:val="center"/>
              <w:ind w:left="99"/>
              <w:spacing w:after="0"/>
              <w:rPr>
                <w:sz w:val="20"/>
                <w:szCs w:val="20"/>
                <w:color w:val="auto"/>
              </w:rPr>
            </w:pPr>
            <w:r>
              <w:rPr>
                <w:rFonts w:ascii="Courier New" w:cs="Courier New" w:eastAsia="Courier New" w:hAnsi="Courier New"/>
                <w:sz w:val="12"/>
                <w:szCs w:val="12"/>
                <w:color w:val="auto"/>
              </w:rPr>
              <w:t>7.67%</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73,070</w:t>
            </w:r>
          </w:p>
        </w:tc>
      </w:tr>
      <w:tr>
        <w:trPr>
          <w:trHeight w:val="135"/>
        </w:trPr>
        <w:tc>
          <w:tcPr>
            <w:tcW w:w="1320" w:type="dxa"/>
            <w:vAlign w:val="bottom"/>
          </w:tcPr>
          <w:p>
            <w:pPr>
              <w:spacing w:after="0"/>
              <w:rPr>
                <w:sz w:val="20"/>
                <w:szCs w:val="20"/>
                <w:color w:val="auto"/>
              </w:rPr>
            </w:pPr>
            <w:r>
              <w:rPr>
                <w:rFonts w:ascii="Courier New" w:cs="Courier New" w:eastAsia="Courier New" w:hAnsi="Courier New"/>
                <w:sz w:val="12"/>
                <w:szCs w:val="12"/>
                <w:color w:val="auto"/>
              </w:rPr>
              <w:t>Due March 2013 (4)</w:t>
            </w:r>
          </w:p>
        </w:tc>
        <w:tc>
          <w:tcPr>
            <w:tcW w:w="13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61,734</w:t>
            </w:r>
          </w:p>
        </w:tc>
        <w:tc>
          <w:tcPr>
            <w:tcW w:w="15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62,105</w:t>
            </w:r>
          </w:p>
        </w:tc>
        <w:tc>
          <w:tcPr>
            <w:tcW w:w="1380" w:type="dxa"/>
            <w:vAlign w:val="bottom"/>
          </w:tcPr>
          <w:p>
            <w:pPr>
              <w:jc w:val="center"/>
              <w:ind w:left="99"/>
              <w:spacing w:after="0"/>
              <w:rPr>
                <w:sz w:val="20"/>
                <w:szCs w:val="20"/>
                <w:color w:val="auto"/>
              </w:rPr>
            </w:pPr>
            <w:r>
              <w:rPr>
                <w:rFonts w:ascii="Courier New" w:cs="Courier New" w:eastAsia="Courier New" w:hAnsi="Courier New"/>
                <w:sz w:val="12"/>
                <w:szCs w:val="12"/>
                <w:color w:val="auto"/>
              </w:rPr>
              <w:t>5.10%</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116,809</w:t>
            </w:r>
          </w:p>
        </w:tc>
      </w:tr>
      <w:tr>
        <w:trPr>
          <w:trHeight w:val="135"/>
        </w:trPr>
        <w:tc>
          <w:tcPr>
            <w:tcW w:w="1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54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w:t>
            </w:r>
          </w:p>
        </w:tc>
        <w:tc>
          <w:tcPr>
            <w:tcW w:w="15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54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$ 314,234</w:t>
            </w:r>
          </w:p>
        </w:tc>
        <w:tc>
          <w:tcPr>
            <w:tcW w:w="15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$316,354</w:t>
            </w:r>
          </w:p>
        </w:tc>
        <w:tc>
          <w:tcPr>
            <w:tcW w:w="13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$536,107</w:t>
            </w:r>
          </w:p>
        </w:tc>
      </w:tr>
      <w:tr>
        <w:trPr>
          <w:trHeight w:val="137"/>
        </w:trPr>
        <w:tc>
          <w:tcPr>
            <w:tcW w:w="1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54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w:t>
            </w:r>
          </w:p>
        </w:tc>
        <w:tc>
          <w:tcPr>
            <w:tcW w:w="15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361" w:lineRule="exact"/>
        <w:rPr>
          <w:sz w:val="20"/>
          <w:szCs w:val="20"/>
          <w:color w:val="auto"/>
        </w:rPr>
      </w:pPr>
    </w:p>
    <w:p>
      <w:pPr>
        <w:ind w:left="580" w:right="60" w:hanging="572"/>
        <w:spacing w:after="0" w:line="274" w:lineRule="auto"/>
        <w:tabs>
          <w:tab w:leader="none" w:pos="58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mortgage loan was consolidated as part of the a buyout of a partnership interest. The mortgage bears interest at 6.99% per annum through July 11, 2008, (the "Optional Prepayment Date") and thereafter at a rate equal to the greater of 8.4% plus 5.0% or the Treasury Rate, as defined, plus 6.5% until the earlier of the date the mortgage is paid in full or its maturity date of July 11, 2028. The stated rate was less than that available to the OP in the public debt markets. Accordingly, the OP recorded a $1.2 million debt discount that is amortized over the period of the loan, which increases the effective interest rate to 7.26%. The mortgage may be prepaid in whole or in part at any time after the Optional Prepayment Date without a prepayment penalty. The mortgage calls for a $1.2 million fixed monthly interest plus principal payment based on a 26-year amortization schedule. During the three months ended March 31, 2005 and 2004, the OP recognized $39,000 and $36,000, respectively, in debt discount amortization that is included in interest expense in the accompanying financial statements.</w:t>
      </w:r>
    </w:p>
    <w:p>
      <w:pPr>
        <w:sectPr>
          <w:pgSz w:w="11900" w:h="16838" w:orient="portrait"/>
          <w:cols w:equalWidth="0" w:num="1">
            <w:col w:w="11420"/>
          </w:cols>
          <w:pgMar w:left="240" w:top="118" w:right="239" w:bottom="0" w:gutter="0" w:footer="0" w:header="0"/>
        </w:sectPr>
      </w:pPr>
    </w:p>
    <w:bookmarkStart w:id="6" w:name="page7"/>
    <w:bookmarkEnd w:id="6"/>
    <w:p>
      <w:pPr>
        <w:spacing w:after="0" w:line="14" w:lineRule="exact"/>
        <w:rPr>
          <w:sz w:val="20"/>
          <w:szCs w:val="20"/>
          <w:color w:val="auto"/>
        </w:rPr>
      </w:pPr>
    </w:p>
    <w:p>
      <w:pPr>
        <w:ind w:left="580" w:right="60" w:hanging="572"/>
        <w:spacing w:after="0" w:line="235" w:lineRule="auto"/>
        <w:tabs>
          <w:tab w:leader="none" w:pos="5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mortgage loan was assumed as part of an acquisition. The stated interest rate of 8.12% was greater than that available to the OP for comparable debt. Consequently, the OP recognized a $1.9 million debt premium that is amortized over the period of the loan, which reduces the effective interest rate to 6.29%. The mortgage loan calls for a $0.3 million fixed monthly debt service payment on a 17-year amortization schedule. During the three months ended March 31, 2005 and 2004, the OP recognized approximately $0.1 million in debt premium amortization that is included in interest expense in the accompanying financial statements.</w:t>
      </w:r>
    </w:p>
    <w:p>
      <w:pPr>
        <w:spacing w:after="0" w:line="216" w:lineRule="exact"/>
        <w:rPr>
          <w:rFonts w:ascii="Arial" w:cs="Arial" w:eastAsia="Arial" w:hAnsi="Arial"/>
          <w:sz w:val="22"/>
          <w:szCs w:val="22"/>
          <w:color w:val="auto"/>
        </w:rPr>
      </w:pPr>
    </w:p>
    <w:p>
      <w:pPr>
        <w:ind w:left="580" w:right="20" w:hanging="572"/>
        <w:spacing w:after="0" w:line="234" w:lineRule="auto"/>
        <w:tabs>
          <w:tab w:leader="none" w:pos="5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mortgage loan was assumed as part of an acquisition. The stated interest rate of 9.1% was greater than that available to the OP in the public debt markets. Accordingly, the OP recorded a $6.9 million debt premium that will be amortized over the period of the loan, which reduces the effective interest rate to 7.67%. The loan calls for fixed monthly debt service payments of $0.5 million for interest plus principal based on a 26-year amortization schedule. The mortgage loan matures in March 2028 but can be prepaid beginning December 2012. During the three months ended March 31, 2005 and 2004, the OP recognized $0.1 million in debt premium amortization that is included in interest expense in the accompanying financial statements.</w:t>
      </w:r>
    </w:p>
    <w:p>
      <w:pPr>
        <w:spacing w:after="0" w:line="218" w:lineRule="exact"/>
        <w:rPr>
          <w:rFonts w:ascii="Arial" w:cs="Arial" w:eastAsia="Arial" w:hAnsi="Arial"/>
          <w:sz w:val="22"/>
          <w:szCs w:val="22"/>
          <w:color w:val="auto"/>
        </w:rPr>
      </w:pPr>
    </w:p>
    <w:p>
      <w:pPr>
        <w:ind w:left="580" w:right="60" w:hanging="572"/>
        <w:spacing w:after="0" w:line="235" w:lineRule="auto"/>
        <w:tabs>
          <w:tab w:leader="none" w:pos="5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mortgage loan was assumed as part of an acquisition. The stated interest rate of 5.85% was greater than that available to the OP for comparable debt. Accordingly, the OP recorded a $3.4 million debt premium that will be amortized over the period of the loan, which reduces the effective interest rate to 5.10%. The loan calls for a $0.4 million fixed monthly debt service payment on a 25-year amortization schedule. During the three months ended March 31, 2005 and 2004, the OP recognized approximately $0.1 million in debt premium amortization that is included in interest expense in the accompanying financial statements.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19"/>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Financial Instruments: Derivatives and Hedging</w:t>
      </w:r>
    </w:p>
    <w:p>
      <w:pPr>
        <w:spacing w:after="0" w:line="212"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The OP employs interest rate and foreign currency forwards or purchased options to hedge qualifying anticipated transactions. Gains and losses are deferred and recognized in net income in the same period that the underlying hedged transaction affects net income, expires or is otherwise terminated or assigned.</w:t>
      </w:r>
    </w:p>
    <w:p>
      <w:pPr>
        <w:spacing w:after="0" w:line="186"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At March 31, 2005, the OP's interest rate swap was reported at its fair value and classified as an other liability. At March 31, 2005, there were $1.0 million in deferred losses recorded in accumulated other comprehensive loss.</w:t>
      </w:r>
    </w:p>
    <w:p>
      <w:pPr>
        <w:sectPr>
          <w:pgSz w:w="11900" w:h="16852" w:orient="portrait"/>
          <w:cols w:equalWidth="0" w:num="1">
            <w:col w:w="11400"/>
          </w:cols>
          <w:pgMar w:left="240" w:top="118" w:right="259" w:bottom="0" w:gutter="0" w:footer="0" w:header="0"/>
        </w:sectPr>
      </w:pPr>
    </w:p>
    <w:p>
      <w:pPr>
        <w:spacing w:after="0" w:line="323" w:lineRule="exact"/>
        <w:rPr>
          <w:sz w:val="20"/>
          <w:szCs w:val="20"/>
          <w:color w:val="auto"/>
        </w:rPr>
      </w:pPr>
    </w:p>
    <w:p>
      <w:pPr>
        <w:ind w:left="1760"/>
        <w:spacing w:after="0"/>
        <w:rPr>
          <w:sz w:val="20"/>
          <w:szCs w:val="20"/>
          <w:color w:val="auto"/>
        </w:rPr>
      </w:pPr>
      <w:r>
        <w:rPr>
          <w:rFonts w:ascii="Courier New" w:cs="Courier New" w:eastAsia="Courier New" w:hAnsi="Courier New"/>
          <w:sz w:val="11"/>
          <w:szCs w:val="11"/>
          <w:b w:val="1"/>
          <w:bCs w:val="1"/>
          <w:color w:val="auto"/>
        </w:rPr>
        <w:t>Hedge Type</w:t>
      </w:r>
    </w:p>
    <w:p>
      <w:pPr>
        <w:spacing w:after="0" w:line="10" w:lineRule="exact"/>
        <w:rPr>
          <w:sz w:val="20"/>
          <w:szCs w:val="20"/>
          <w:color w:val="auto"/>
        </w:rPr>
      </w:pPr>
    </w:p>
    <w:p>
      <w:pPr>
        <w:ind w:left="960"/>
        <w:spacing w:after="0"/>
        <w:rPr>
          <w:sz w:val="20"/>
          <w:szCs w:val="20"/>
          <w:color w:val="auto"/>
        </w:rPr>
      </w:pPr>
      <w:r>
        <w:rPr>
          <w:rFonts w:ascii="Courier New" w:cs="Courier New" w:eastAsia="Courier New" w:hAnsi="Courier New"/>
          <w:sz w:val="12"/>
          <w:szCs w:val="12"/>
          <w:b w:val="1"/>
          <w:bCs w:val="1"/>
          <w:color w:val="auto"/>
        </w:rPr>
        <w:t>---------------------</w:t>
      </w:r>
    </w:p>
    <w:p>
      <w:pPr>
        <w:ind w:left="1400"/>
        <w:spacing w:after="0"/>
        <w:rPr>
          <w:sz w:val="20"/>
          <w:szCs w:val="20"/>
          <w:color w:val="auto"/>
        </w:rPr>
      </w:pPr>
      <w:r>
        <w:rPr>
          <w:rFonts w:ascii="Courier New" w:cs="Courier New" w:eastAsia="Courier New" w:hAnsi="Courier New"/>
          <w:sz w:val="11"/>
          <w:szCs w:val="11"/>
          <w:color w:val="auto"/>
        </w:rPr>
        <w:t>Swap, Cash Flow</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firstLine="146"/>
        <w:spacing w:after="0" w:line="239" w:lineRule="auto"/>
        <w:rPr>
          <w:sz w:val="20"/>
          <w:szCs w:val="20"/>
          <w:color w:val="auto"/>
        </w:rPr>
      </w:pPr>
      <w:r>
        <w:rPr>
          <w:rFonts w:ascii="Courier New" w:cs="Courier New" w:eastAsia="Courier New" w:hAnsi="Courier New"/>
          <w:sz w:val="12"/>
          <w:szCs w:val="12"/>
          <w:b w:val="1"/>
          <w:bCs w:val="1"/>
          <w:color w:val="auto"/>
        </w:rPr>
        <w:t xml:space="preserve">Notional Value ----------------- </w:t>
      </w:r>
      <w:r>
        <w:rPr>
          <w:rFonts w:ascii="Courier New" w:cs="Courier New" w:eastAsia="Courier New" w:hAnsi="Courier New"/>
          <w:sz w:val="12"/>
          <w:szCs w:val="12"/>
          <w:color w:val="auto"/>
        </w:rPr>
        <w:t>$65.3 million</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60"/>
        <w:spacing w:after="0"/>
        <w:rPr>
          <w:sz w:val="20"/>
          <w:szCs w:val="20"/>
          <w:color w:val="auto"/>
        </w:rPr>
      </w:pPr>
      <w:r>
        <w:rPr>
          <w:rFonts w:ascii="Courier New" w:cs="Courier New" w:eastAsia="Courier New" w:hAnsi="Courier New"/>
          <w:sz w:val="12"/>
          <w:szCs w:val="12"/>
          <w:b w:val="1"/>
          <w:bCs w:val="1"/>
          <w:color w:val="auto"/>
        </w:rPr>
        <w:t>Rate</w:t>
      </w:r>
    </w:p>
    <w:p>
      <w:pPr>
        <w:spacing w:after="0"/>
        <w:rPr>
          <w:sz w:val="20"/>
          <w:szCs w:val="20"/>
          <w:color w:val="auto"/>
        </w:rPr>
      </w:pPr>
      <w:r>
        <w:rPr>
          <w:rFonts w:ascii="Courier New" w:cs="Courier New" w:eastAsia="Courier New" w:hAnsi="Courier New"/>
          <w:sz w:val="12"/>
          <w:szCs w:val="12"/>
          <w:b w:val="1"/>
          <w:bCs w:val="1"/>
          <w:color w:val="auto"/>
        </w:rPr>
        <w:t>-----------</w:t>
      </w:r>
    </w:p>
    <w:p>
      <w:pPr>
        <w:ind w:left="200"/>
        <w:spacing w:after="0"/>
        <w:rPr>
          <w:sz w:val="20"/>
          <w:szCs w:val="20"/>
          <w:color w:val="auto"/>
        </w:rPr>
      </w:pPr>
      <w:r>
        <w:rPr>
          <w:rFonts w:ascii="Courier New" w:cs="Courier New" w:eastAsia="Courier New" w:hAnsi="Courier New"/>
          <w:sz w:val="12"/>
          <w:szCs w:val="12"/>
          <w:color w:val="auto"/>
        </w:rPr>
        <w:t>5.7625%</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220"/>
        <w:spacing w:after="0"/>
        <w:rPr>
          <w:sz w:val="20"/>
          <w:szCs w:val="20"/>
          <w:color w:val="auto"/>
        </w:rPr>
      </w:pPr>
      <w:r>
        <w:rPr>
          <w:rFonts w:ascii="Courier New" w:cs="Courier New" w:eastAsia="Courier New" w:hAnsi="Courier New"/>
          <w:sz w:val="12"/>
          <w:szCs w:val="12"/>
          <w:b w:val="1"/>
          <w:bCs w:val="1"/>
          <w:color w:val="auto"/>
        </w:rPr>
        <w:t>Maturity</w:t>
      </w:r>
    </w:p>
    <w:p>
      <w:pPr>
        <w:spacing w:after="0"/>
        <w:rPr>
          <w:sz w:val="20"/>
          <w:szCs w:val="20"/>
          <w:color w:val="auto"/>
        </w:rPr>
      </w:pPr>
      <w:r>
        <w:rPr>
          <w:rFonts w:ascii="Courier New" w:cs="Courier New" w:eastAsia="Courier New" w:hAnsi="Courier New"/>
          <w:sz w:val="12"/>
          <w:szCs w:val="12"/>
          <w:b w:val="1"/>
          <w:bCs w:val="1"/>
          <w:color w:val="auto"/>
        </w:rPr>
        <w:t>------------</w:t>
      </w:r>
    </w:p>
    <w:p>
      <w:pPr>
        <w:ind w:left="220"/>
        <w:spacing w:after="0"/>
        <w:rPr>
          <w:sz w:val="20"/>
          <w:szCs w:val="20"/>
          <w:color w:val="auto"/>
        </w:rPr>
      </w:pPr>
      <w:r>
        <w:rPr>
          <w:rFonts w:ascii="Courier New" w:cs="Courier New" w:eastAsia="Courier New" w:hAnsi="Courier New"/>
          <w:sz w:val="12"/>
          <w:szCs w:val="12"/>
          <w:color w:val="auto"/>
        </w:rPr>
        <w:t>1/1/2006</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280"/>
        <w:spacing w:after="0"/>
        <w:rPr>
          <w:sz w:val="20"/>
          <w:szCs w:val="20"/>
          <w:color w:val="auto"/>
        </w:rPr>
      </w:pPr>
      <w:r>
        <w:rPr>
          <w:rFonts w:ascii="Courier New" w:cs="Courier New" w:eastAsia="Courier New" w:hAnsi="Courier New"/>
          <w:sz w:val="12"/>
          <w:szCs w:val="12"/>
          <w:b w:val="1"/>
          <w:bCs w:val="1"/>
          <w:color w:val="auto"/>
        </w:rPr>
        <w:t>Fair Value</w:t>
      </w:r>
    </w:p>
    <w:p>
      <w:pPr>
        <w:spacing w:after="0"/>
        <w:rPr>
          <w:sz w:val="20"/>
          <w:szCs w:val="20"/>
          <w:color w:val="auto"/>
        </w:rPr>
      </w:pPr>
      <w:r>
        <w:rPr>
          <w:rFonts w:ascii="Courier New" w:cs="Courier New" w:eastAsia="Courier New" w:hAnsi="Courier New"/>
          <w:sz w:val="11"/>
          <w:szCs w:val="11"/>
          <w:b w:val="1"/>
          <w:bCs w:val="1"/>
          <w:color w:val="auto"/>
        </w:rPr>
        <w:t>---------------</w:t>
      </w:r>
    </w:p>
    <w:p>
      <w:pPr>
        <w:spacing w:after="0" w:line="10" w:lineRule="exact"/>
        <w:rPr>
          <w:sz w:val="20"/>
          <w:szCs w:val="20"/>
          <w:color w:val="auto"/>
        </w:rPr>
      </w:pPr>
    </w:p>
    <w:p>
      <w:pPr>
        <w:ind w:left="60"/>
        <w:spacing w:after="0"/>
        <w:rPr>
          <w:sz w:val="20"/>
          <w:szCs w:val="20"/>
          <w:color w:val="auto"/>
        </w:rPr>
      </w:pPr>
      <w:r>
        <w:rPr>
          <w:rFonts w:ascii="Courier New" w:cs="Courier New" w:eastAsia="Courier New" w:hAnsi="Courier New"/>
          <w:sz w:val="12"/>
          <w:szCs w:val="12"/>
          <w:color w:val="auto"/>
        </w:rPr>
        <w:t>($1.1 million)</w:t>
      </w:r>
    </w:p>
    <w:p>
      <w:pPr>
        <w:spacing w:after="0" w:line="200" w:lineRule="exact"/>
        <w:rPr>
          <w:sz w:val="20"/>
          <w:szCs w:val="20"/>
          <w:color w:val="auto"/>
        </w:rPr>
      </w:pPr>
    </w:p>
    <w:p>
      <w:pPr>
        <w:sectPr>
          <w:pgSz w:w="11900" w:h="16852" w:orient="portrait"/>
          <w:cols w:equalWidth="0" w:num="5">
            <w:col w:w="2480" w:space="300"/>
            <w:col w:w="1240" w:space="300"/>
            <w:col w:w="800" w:space="280"/>
            <w:col w:w="880" w:space="300"/>
            <w:col w:w="4820"/>
          </w:cols>
          <w:pgMar w:left="240" w:top="118" w:right="259" w:bottom="0" w:gutter="0" w:footer="0" w:header="0"/>
          <w:type w:val="continuous"/>
        </w:sectPr>
      </w:pPr>
    </w:p>
    <w:p>
      <w:pPr>
        <w:spacing w:after="0" w:line="203" w:lineRule="exact"/>
        <w:rPr>
          <w:sz w:val="20"/>
          <w:szCs w:val="20"/>
          <w:color w:val="auto"/>
        </w:rPr>
      </w:pPr>
    </w:p>
    <w:p>
      <w:pPr>
        <w:ind w:right="160"/>
        <w:spacing w:after="0" w:line="328" w:lineRule="auto"/>
        <w:rPr>
          <w:sz w:val="20"/>
          <w:szCs w:val="20"/>
          <w:color w:val="auto"/>
        </w:rPr>
      </w:pPr>
      <w:r>
        <w:rPr>
          <w:rFonts w:ascii="Arial" w:cs="Arial" w:eastAsia="Arial" w:hAnsi="Arial"/>
          <w:sz w:val="19"/>
          <w:szCs w:val="19"/>
          <w:color w:val="auto"/>
        </w:rPr>
        <w:t>The notional value and fair value of the above hedge provides an indication of the extent of the OP's involvement in financial derivative instruments at March 31, 2005, but does not represent exposure to credit, interest rate, foreign exchange or market risk.</w:t>
      </w:r>
    </w:p>
    <w:p>
      <w:pPr>
        <w:spacing w:after="0" w:line="99" w:lineRule="exact"/>
        <w:rPr>
          <w:sz w:val="20"/>
          <w:szCs w:val="20"/>
          <w:color w:val="auto"/>
        </w:rPr>
      </w:pPr>
    </w:p>
    <w:p>
      <w:pPr>
        <w:ind w:left="440" w:hanging="432"/>
        <w:spacing w:after="0"/>
        <w:tabs>
          <w:tab w:leader="none" w:pos="44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Preferred Units</w:t>
      </w:r>
    </w:p>
    <w:p>
      <w:pPr>
        <w:spacing w:after="0" w:line="212" w:lineRule="exact"/>
        <w:rPr>
          <w:sz w:val="20"/>
          <w:szCs w:val="20"/>
          <w:color w:val="auto"/>
        </w:rPr>
      </w:pPr>
    </w:p>
    <w:p>
      <w:pPr>
        <w:ind w:right="100"/>
        <w:spacing w:after="0" w:line="248" w:lineRule="auto"/>
        <w:rPr>
          <w:sz w:val="20"/>
          <w:szCs w:val="20"/>
          <w:color w:val="auto"/>
        </w:rPr>
      </w:pPr>
      <w:r>
        <w:rPr>
          <w:rFonts w:ascii="Arial" w:cs="Arial" w:eastAsia="Arial" w:hAnsi="Arial"/>
          <w:sz w:val="21"/>
          <w:szCs w:val="21"/>
          <w:color w:val="auto"/>
        </w:rPr>
        <w:t>In September 2004, the Company completed a private sale of $65 million of Series C Variable Rate Preferred Stock (the Series C Preferred Stock). Proceeds from the sale were used to redeem the OP's Series B Cumulative Redeemable Preferred Units for approximately $65 million. The private sale was for 2.6 million restricted shares having a liquidation preference of $25.00 per unit share. The Series C Preferred Stock was redeemable at the Company's option, and paid a cumulative quarterly dividend at a rate equal to the London Interbank Offered Rate ("LIBOR") plus 1.0%. Pursuant to the Merger Agreement, on October 13, 2004, the Series C Preferred Stock was fully redeemed.</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In September 1999, the OP completed a private sale of $65 million of Series B Cumulative Redeemable Preferred Units ("Preferred Units") to an institutional investor. The private placement was for 1.3 million Preferred Units at a stated value of $50 each. The Preferred Units were called at par at the OP's option, in September 2004. The Preferred Units had no stated maturity or mandatory redemption and paid a cumulative quarterly dividend at an annualized rate of 9.0%. The Preferred Units were exchangeable into Series B Cumulative Redeemable Preferred Stock of the Company after ten years.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39"/>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ind w:left="440" w:hanging="432"/>
        <w:spacing w:after="0"/>
        <w:tabs>
          <w:tab w:leader="none" w:pos="44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Partners' Capital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Following is a schedule of partner's capital balances at March 31, 2005 (in thousands):</w:t>
      </w:r>
    </w:p>
    <w:p>
      <w:pPr>
        <w:spacing w:after="0" w:line="355" w:lineRule="exact"/>
        <w:rPr>
          <w:sz w:val="20"/>
          <w:szCs w:val="20"/>
          <w:color w:val="auto"/>
        </w:rPr>
      </w:pPr>
    </w:p>
    <w:tbl>
      <w:tblPr>
        <w:tblLayout w:type="fixed"/>
        <w:tblInd w:w="440" w:type="dxa"/>
        <w:tblCellMar>
          <w:top w:w="0" w:type="dxa"/>
          <w:left w:w="0" w:type="dxa"/>
          <w:bottom w:w="0" w:type="dxa"/>
          <w:right w:w="0" w:type="dxa"/>
        </w:tblCellMar>
      </w:tblPr>
      <w:tr>
        <w:trPr>
          <w:trHeight w:val="136"/>
        </w:trPr>
        <w:tc>
          <w:tcPr>
            <w:tcW w:w="3060" w:type="dxa"/>
            <w:vAlign w:val="bottom"/>
          </w:tcPr>
          <w:p>
            <w:pPr>
              <w:spacing w:after="0"/>
              <w:rPr>
                <w:sz w:val="11"/>
                <w:szCs w:val="11"/>
                <w:color w:val="auto"/>
              </w:rPr>
            </w:pPr>
          </w:p>
        </w:tc>
        <w:tc>
          <w:tcPr>
            <w:tcW w:w="1240" w:type="dxa"/>
            <w:vAlign w:val="bottom"/>
          </w:tcPr>
          <w:p>
            <w:pPr>
              <w:jc w:val="right"/>
              <w:ind w:right="359"/>
              <w:spacing w:after="0"/>
              <w:rPr>
                <w:sz w:val="20"/>
                <w:szCs w:val="20"/>
                <w:color w:val="auto"/>
              </w:rPr>
            </w:pPr>
            <w:r>
              <w:rPr>
                <w:rFonts w:ascii="Courier New" w:cs="Courier New" w:eastAsia="Courier New" w:hAnsi="Courier New"/>
                <w:sz w:val="12"/>
                <w:szCs w:val="12"/>
                <w:b w:val="1"/>
                <w:bCs w:val="1"/>
                <w:color w:val="auto"/>
              </w:rPr>
              <w:t>General</w:t>
            </w:r>
          </w:p>
        </w:tc>
        <w:tc>
          <w:tcPr>
            <w:tcW w:w="1360" w:type="dxa"/>
            <w:vAlign w:val="bottom"/>
          </w:tcPr>
          <w:p>
            <w:pPr>
              <w:jc w:val="center"/>
              <w:ind w:right="39"/>
              <w:spacing w:after="0"/>
              <w:rPr>
                <w:sz w:val="20"/>
                <w:szCs w:val="20"/>
                <w:color w:val="auto"/>
              </w:rPr>
            </w:pPr>
            <w:r>
              <w:rPr>
                <w:rFonts w:ascii="Courier New" w:cs="Courier New" w:eastAsia="Courier New" w:hAnsi="Courier New"/>
                <w:sz w:val="12"/>
                <w:szCs w:val="12"/>
                <w:b w:val="1"/>
                <w:bCs w:val="1"/>
                <w:color w:val="auto"/>
                <w:w w:val="99"/>
              </w:rPr>
              <w:t>Limited</w:t>
            </w:r>
          </w:p>
        </w:tc>
        <w:tc>
          <w:tcPr>
            <w:tcW w:w="1420" w:type="dxa"/>
            <w:vAlign w:val="bottom"/>
            <w:gridSpan w:val="2"/>
          </w:tcPr>
          <w:p>
            <w:pPr>
              <w:jc w:val="right"/>
              <w:ind w:right="519"/>
              <w:spacing w:after="0"/>
              <w:rPr>
                <w:sz w:val="20"/>
                <w:szCs w:val="20"/>
                <w:color w:val="auto"/>
              </w:rPr>
            </w:pPr>
            <w:r>
              <w:rPr>
                <w:rFonts w:ascii="Courier New" w:cs="Courier New" w:eastAsia="Courier New" w:hAnsi="Courier New"/>
                <w:sz w:val="12"/>
                <w:szCs w:val="12"/>
                <w:b w:val="1"/>
                <w:bCs w:val="1"/>
                <w:color w:val="auto"/>
              </w:rPr>
              <w:t>Accum.</w:t>
            </w:r>
          </w:p>
        </w:tc>
        <w:tc>
          <w:tcPr>
            <w:tcW w:w="1020" w:type="dxa"/>
            <w:vAlign w:val="bottom"/>
          </w:tcPr>
          <w:p>
            <w:pPr>
              <w:spacing w:after="0"/>
              <w:rPr>
                <w:sz w:val="11"/>
                <w:szCs w:val="11"/>
                <w:color w:val="auto"/>
              </w:rPr>
            </w:pPr>
          </w:p>
        </w:tc>
      </w:tr>
      <w:tr>
        <w:trPr>
          <w:trHeight w:val="135"/>
        </w:trPr>
        <w:tc>
          <w:tcPr>
            <w:tcW w:w="3060" w:type="dxa"/>
            <w:vAlign w:val="bottom"/>
          </w:tcPr>
          <w:p>
            <w:pPr>
              <w:spacing w:after="0"/>
              <w:rPr>
                <w:sz w:val="11"/>
                <w:szCs w:val="11"/>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rPr>
              <w:t>Partner's</w:t>
            </w:r>
          </w:p>
        </w:tc>
        <w:tc>
          <w:tcPr>
            <w:tcW w:w="1360" w:type="dxa"/>
            <w:vAlign w:val="bottom"/>
          </w:tcPr>
          <w:p>
            <w:pPr>
              <w:jc w:val="center"/>
              <w:ind w:right="39"/>
              <w:spacing w:after="0"/>
              <w:rPr>
                <w:sz w:val="20"/>
                <w:szCs w:val="20"/>
                <w:color w:val="auto"/>
              </w:rPr>
            </w:pPr>
            <w:r>
              <w:rPr>
                <w:rFonts w:ascii="Courier New" w:cs="Courier New" w:eastAsia="Courier New" w:hAnsi="Courier New"/>
                <w:sz w:val="12"/>
                <w:szCs w:val="12"/>
                <w:b w:val="1"/>
                <w:bCs w:val="1"/>
                <w:color w:val="auto"/>
              </w:rPr>
              <w:t>Partners'</w:t>
            </w:r>
          </w:p>
        </w:tc>
        <w:tc>
          <w:tcPr>
            <w:tcW w:w="6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Other</w:t>
            </w:r>
          </w:p>
        </w:tc>
        <w:tc>
          <w:tcPr>
            <w:tcW w:w="760" w:type="dxa"/>
            <w:vAlign w:val="bottom"/>
          </w:tcPr>
          <w:p>
            <w:pPr>
              <w:ind w:left="40"/>
              <w:spacing w:after="0"/>
              <w:rPr>
                <w:sz w:val="20"/>
                <w:szCs w:val="20"/>
                <w:color w:val="auto"/>
              </w:rPr>
            </w:pPr>
            <w:r>
              <w:rPr>
                <w:rFonts w:ascii="Courier New" w:cs="Courier New" w:eastAsia="Courier New" w:hAnsi="Courier New"/>
                <w:sz w:val="12"/>
                <w:szCs w:val="12"/>
                <w:b w:val="1"/>
                <w:bCs w:val="1"/>
                <w:color w:val="auto"/>
              </w:rPr>
              <w:t>Comp.</w:t>
            </w:r>
          </w:p>
        </w:tc>
        <w:tc>
          <w:tcPr>
            <w:tcW w:w="1020" w:type="dxa"/>
            <w:vAlign w:val="bottom"/>
          </w:tcPr>
          <w:p>
            <w:pPr>
              <w:spacing w:after="0"/>
              <w:rPr>
                <w:sz w:val="11"/>
                <w:szCs w:val="11"/>
                <w:color w:val="auto"/>
              </w:rPr>
            </w:pPr>
          </w:p>
        </w:tc>
      </w:tr>
      <w:tr>
        <w:trPr>
          <w:trHeight w:val="135"/>
        </w:trPr>
        <w:tc>
          <w:tcPr>
            <w:tcW w:w="3060" w:type="dxa"/>
            <w:vAlign w:val="bottom"/>
          </w:tcPr>
          <w:p>
            <w:pPr>
              <w:spacing w:after="0"/>
              <w:rPr>
                <w:sz w:val="11"/>
                <w:szCs w:val="11"/>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w w:val="99"/>
              </w:rPr>
              <w:t>Capital</w:t>
            </w:r>
          </w:p>
        </w:tc>
        <w:tc>
          <w:tcPr>
            <w:tcW w:w="1360" w:type="dxa"/>
            <w:vAlign w:val="bottom"/>
          </w:tcPr>
          <w:p>
            <w:pPr>
              <w:jc w:val="center"/>
              <w:ind w:right="39"/>
              <w:spacing w:after="0"/>
              <w:rPr>
                <w:sz w:val="20"/>
                <w:szCs w:val="20"/>
                <w:color w:val="auto"/>
              </w:rPr>
            </w:pPr>
            <w:r>
              <w:rPr>
                <w:rFonts w:ascii="Courier New" w:cs="Courier New" w:eastAsia="Courier New" w:hAnsi="Courier New"/>
                <w:sz w:val="12"/>
                <w:szCs w:val="12"/>
                <w:b w:val="1"/>
                <w:bCs w:val="1"/>
                <w:color w:val="auto"/>
                <w:w w:val="99"/>
              </w:rPr>
              <w:t>Capital</w:t>
            </w:r>
          </w:p>
        </w:tc>
        <w:tc>
          <w:tcPr>
            <w:tcW w:w="6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(Loss)</w:t>
            </w:r>
          </w:p>
        </w:tc>
        <w:tc>
          <w:tcPr>
            <w:tcW w:w="760" w:type="dxa"/>
            <w:vAlign w:val="bottom"/>
          </w:tcPr>
          <w:p>
            <w:pPr>
              <w:ind w:left="40"/>
              <w:spacing w:after="0"/>
              <w:rPr>
                <w:sz w:val="20"/>
                <w:szCs w:val="20"/>
                <w:color w:val="auto"/>
              </w:rPr>
            </w:pPr>
            <w:r>
              <w:rPr>
                <w:rFonts w:ascii="Courier New" w:cs="Courier New" w:eastAsia="Courier New" w:hAnsi="Courier New"/>
                <w:sz w:val="12"/>
                <w:szCs w:val="12"/>
                <w:b w:val="1"/>
                <w:bCs w:val="1"/>
                <w:color w:val="auto"/>
              </w:rPr>
              <w:t>Income</w:t>
            </w:r>
          </w:p>
        </w:tc>
        <w:tc>
          <w:tcPr>
            <w:tcW w:w="1020" w:type="dxa"/>
            <w:vAlign w:val="bottom"/>
          </w:tcPr>
          <w:p>
            <w:pPr>
              <w:ind w:left="300"/>
              <w:spacing w:after="0"/>
              <w:rPr>
                <w:sz w:val="20"/>
                <w:szCs w:val="20"/>
                <w:color w:val="auto"/>
              </w:rPr>
            </w:pPr>
            <w:r>
              <w:rPr>
                <w:rFonts w:ascii="Courier New" w:cs="Courier New" w:eastAsia="Courier New" w:hAnsi="Courier New"/>
                <w:sz w:val="12"/>
                <w:szCs w:val="12"/>
                <w:b w:val="1"/>
                <w:bCs w:val="1"/>
                <w:color w:val="auto"/>
              </w:rPr>
              <w:t>Total</w:t>
            </w:r>
          </w:p>
        </w:tc>
      </w:tr>
      <w:tr>
        <w:trPr>
          <w:trHeight w:val="135"/>
        </w:trPr>
        <w:tc>
          <w:tcPr>
            <w:tcW w:w="3060" w:type="dxa"/>
            <w:vAlign w:val="bottom"/>
          </w:tcPr>
          <w:p>
            <w:pPr>
              <w:spacing w:after="0"/>
              <w:rPr>
                <w:sz w:val="11"/>
                <w:szCs w:val="11"/>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rPr>
              <w:t>---------------</w:t>
            </w:r>
          </w:p>
        </w:tc>
        <w:tc>
          <w:tcPr>
            <w:tcW w:w="1360" w:type="dxa"/>
            <w:vAlign w:val="bottom"/>
          </w:tcPr>
          <w:p>
            <w:pPr>
              <w:jc w:val="center"/>
              <w:ind w:right="39"/>
              <w:spacing w:after="0"/>
              <w:rPr>
                <w:sz w:val="20"/>
                <w:szCs w:val="20"/>
                <w:color w:val="auto"/>
              </w:rPr>
            </w:pPr>
            <w:r>
              <w:rPr>
                <w:rFonts w:ascii="Courier New" w:cs="Courier New" w:eastAsia="Courier New" w:hAnsi="Courier New"/>
                <w:sz w:val="12"/>
                <w:szCs w:val="12"/>
                <w:b w:val="1"/>
                <w:bCs w:val="1"/>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2"/>
                <w:szCs w:val="12"/>
                <w:b w:val="1"/>
                <w:bCs w:val="1"/>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r>
      <w:tr>
        <w:trPr>
          <w:trHeight w:val="137"/>
        </w:trPr>
        <w:tc>
          <w:tcPr>
            <w:tcW w:w="3060" w:type="dxa"/>
            <w:vAlign w:val="bottom"/>
          </w:tcPr>
          <w:p>
            <w:pPr>
              <w:spacing w:after="0"/>
              <w:rPr>
                <w:sz w:val="20"/>
                <w:szCs w:val="20"/>
                <w:color w:val="auto"/>
              </w:rPr>
            </w:pPr>
            <w:r>
              <w:rPr>
                <w:rFonts w:ascii="Courier New" w:cs="Courier New" w:eastAsia="Courier New" w:hAnsi="Courier New"/>
                <w:sz w:val="12"/>
                <w:szCs w:val="12"/>
                <w:b w:val="1"/>
                <w:bCs w:val="1"/>
                <w:color w:val="auto"/>
              </w:rPr>
              <w:t>Balance December 31, 2004</w:t>
            </w:r>
            <w:r>
              <w:rPr>
                <w:rFonts w:ascii="Courier New" w:cs="Courier New" w:eastAsia="Courier New" w:hAnsi="Courier New"/>
                <w:sz w:val="12"/>
                <w:szCs w:val="12"/>
                <w:color w:val="auto"/>
              </w:rPr>
              <w:t>................</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$528,613</w:t>
            </w:r>
          </w:p>
        </w:tc>
        <w:tc>
          <w:tcPr>
            <w:tcW w:w="136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$144,343</w:t>
            </w:r>
          </w:p>
        </w:tc>
        <w:tc>
          <w:tcPr>
            <w:tcW w:w="66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Courier New" w:cs="Courier New" w:eastAsia="Courier New" w:hAnsi="Courier New"/>
                <w:sz w:val="12"/>
                <w:szCs w:val="12"/>
                <w:color w:val="auto"/>
              </w:rPr>
              <w:t>$(749)</w:t>
            </w:r>
          </w:p>
        </w:tc>
        <w:tc>
          <w:tcPr>
            <w:tcW w:w="1020" w:type="dxa"/>
            <w:vAlign w:val="bottom"/>
          </w:tcPr>
          <w:p>
            <w:pPr>
              <w:ind w:left="300"/>
              <w:spacing w:after="0"/>
              <w:rPr>
                <w:sz w:val="20"/>
                <w:szCs w:val="20"/>
                <w:color w:val="auto"/>
              </w:rPr>
            </w:pPr>
            <w:r>
              <w:rPr>
                <w:rFonts w:ascii="Courier New" w:cs="Courier New" w:eastAsia="Courier New" w:hAnsi="Courier New"/>
                <w:sz w:val="12"/>
                <w:szCs w:val="12"/>
                <w:color w:val="auto"/>
              </w:rPr>
              <w:t>$672,207</w:t>
            </w:r>
          </w:p>
        </w:tc>
      </w:tr>
    </w:tbl>
    <w:p>
      <w:pPr>
        <w:sectPr>
          <w:pgSz w:w="11900" w:h="16852" w:orient="portrait"/>
          <w:cols w:equalWidth="0" w:num="1">
            <w:col w:w="11400"/>
          </w:cols>
          <w:pgMar w:left="240" w:top="118" w:right="259" w:bottom="0" w:gutter="0" w:footer="0" w:header="0"/>
          <w:type w:val="continuous"/>
        </w:sectPr>
      </w:pPr>
    </w:p>
    <w:bookmarkStart w:id="7" w:name="page8"/>
    <w:bookmarkEnd w:id="7"/>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136"/>
        </w:trPr>
        <w:tc>
          <w:tcPr>
            <w:tcW w:w="3060" w:type="dxa"/>
            <w:vAlign w:val="bottom"/>
          </w:tcPr>
          <w:p>
            <w:pPr>
              <w:jc w:val="right"/>
              <w:spacing w:after="0"/>
              <w:rPr>
                <w:sz w:val="20"/>
                <w:szCs w:val="20"/>
                <w:color w:val="auto"/>
              </w:rPr>
            </w:pPr>
            <w:r>
              <w:rPr>
                <w:rFonts w:ascii="Courier New" w:cs="Courier New" w:eastAsia="Courier New" w:hAnsi="Courier New"/>
                <w:sz w:val="12"/>
                <w:szCs w:val="12"/>
                <w:color w:val="auto"/>
              </w:rPr>
              <w:t>Net income...............................</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32,540</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6,010</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38,550</w:t>
            </w:r>
          </w:p>
        </w:tc>
      </w:tr>
      <w:tr>
        <w:trPr>
          <w:trHeight w:val="135"/>
        </w:trPr>
        <w:tc>
          <w:tcPr>
            <w:tcW w:w="3060" w:type="dxa"/>
            <w:vAlign w:val="bottom"/>
          </w:tcPr>
          <w:p>
            <w:pPr>
              <w:jc w:val="right"/>
              <w:ind w:right="1019"/>
              <w:spacing w:after="0"/>
              <w:rPr>
                <w:sz w:val="20"/>
                <w:szCs w:val="20"/>
                <w:color w:val="auto"/>
              </w:rPr>
            </w:pPr>
            <w:r>
              <w:rPr>
                <w:rFonts w:ascii="Courier New" w:cs="Courier New" w:eastAsia="Courier New" w:hAnsi="Courier New"/>
                <w:sz w:val="12"/>
                <w:szCs w:val="12"/>
                <w:color w:val="auto"/>
              </w:rPr>
              <w:t>Other comprehensive income:</w:t>
            </w:r>
          </w:p>
        </w:tc>
        <w:tc>
          <w:tcPr>
            <w:tcW w:w="1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35"/>
        </w:trPr>
        <w:tc>
          <w:tcPr>
            <w:tcW w:w="3060" w:type="dxa"/>
            <w:vAlign w:val="bottom"/>
          </w:tcPr>
          <w:p>
            <w:pPr>
              <w:jc w:val="right"/>
              <w:spacing w:after="0"/>
              <w:rPr>
                <w:sz w:val="20"/>
                <w:szCs w:val="20"/>
                <w:color w:val="auto"/>
              </w:rPr>
            </w:pPr>
            <w:r>
              <w:rPr>
                <w:rFonts w:ascii="Courier New" w:cs="Courier New" w:eastAsia="Courier New" w:hAnsi="Courier New"/>
                <w:sz w:val="12"/>
                <w:szCs w:val="12"/>
                <w:color w:val="auto"/>
              </w:rPr>
              <w:t>Foreign currency translation...........</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(239)</w:t>
            </w:r>
          </w:p>
        </w:tc>
        <w:tc>
          <w:tcPr>
            <w:tcW w:w="1100" w:type="dxa"/>
            <w:vAlign w:val="bottom"/>
          </w:tcPr>
          <w:p>
            <w:pPr>
              <w:jc w:val="right"/>
              <w:ind w:right="99"/>
              <w:spacing w:after="0"/>
              <w:rPr>
                <w:sz w:val="20"/>
                <w:szCs w:val="20"/>
                <w:color w:val="auto"/>
              </w:rPr>
            </w:pPr>
            <w:r>
              <w:rPr>
                <w:rFonts w:ascii="Courier New" w:cs="Courier New" w:eastAsia="Courier New" w:hAnsi="Courier New"/>
                <w:sz w:val="12"/>
                <w:szCs w:val="12"/>
                <w:color w:val="auto"/>
              </w:rPr>
              <w:t>(239)</w:t>
            </w:r>
          </w:p>
        </w:tc>
      </w:tr>
      <w:tr>
        <w:trPr>
          <w:trHeight w:val="135"/>
        </w:trPr>
        <w:tc>
          <w:tcPr>
            <w:tcW w:w="3060" w:type="dxa"/>
            <w:vAlign w:val="bottom"/>
          </w:tcPr>
          <w:p>
            <w:pPr>
              <w:jc w:val="right"/>
              <w:spacing w:after="0"/>
              <w:rPr>
                <w:sz w:val="20"/>
                <w:szCs w:val="20"/>
                <w:color w:val="auto"/>
              </w:rPr>
            </w:pPr>
            <w:r>
              <w:rPr>
                <w:rFonts w:ascii="Courier New" w:cs="Courier New" w:eastAsia="Courier New" w:hAnsi="Courier New"/>
                <w:sz w:val="12"/>
                <w:szCs w:val="12"/>
                <w:color w:val="auto"/>
              </w:rPr>
              <w:t>Interest rate swap.....................</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14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640</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640</w:t>
            </w:r>
          </w:p>
        </w:tc>
      </w:tr>
      <w:tr>
        <w:trPr>
          <w:trHeight w:val="135"/>
        </w:trPr>
        <w:tc>
          <w:tcPr>
            <w:tcW w:w="30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2"/>
                <w:szCs w:val="12"/>
                <w:color w:val="auto"/>
              </w:rPr>
              <w:t>-------------</w:t>
            </w:r>
          </w:p>
        </w:tc>
      </w:tr>
      <w:tr>
        <w:trPr>
          <w:trHeight w:val="135"/>
        </w:trPr>
        <w:tc>
          <w:tcPr>
            <w:tcW w:w="3060" w:type="dxa"/>
            <w:vAlign w:val="bottom"/>
          </w:tcPr>
          <w:p>
            <w:pPr>
              <w:jc w:val="right"/>
              <w:spacing w:after="0"/>
              <w:rPr>
                <w:sz w:val="20"/>
                <w:szCs w:val="20"/>
                <w:color w:val="auto"/>
              </w:rPr>
            </w:pPr>
            <w:r>
              <w:rPr>
                <w:rFonts w:ascii="Courier New" w:cs="Courier New" w:eastAsia="Courier New" w:hAnsi="Courier New"/>
                <w:sz w:val="12"/>
                <w:szCs w:val="12"/>
                <w:color w:val="auto"/>
              </w:rPr>
              <w:t>Total comprehensive income...............</w:t>
            </w:r>
          </w:p>
        </w:tc>
        <w:tc>
          <w:tcPr>
            <w:tcW w:w="1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38,951</w:t>
            </w:r>
          </w:p>
        </w:tc>
      </w:tr>
      <w:tr>
        <w:trPr>
          <w:trHeight w:val="135"/>
        </w:trPr>
        <w:tc>
          <w:tcPr>
            <w:tcW w:w="30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2"/>
                <w:szCs w:val="12"/>
                <w:color w:val="auto"/>
              </w:rPr>
              <w:t>-------------</w:t>
            </w:r>
          </w:p>
        </w:tc>
      </w:tr>
      <w:tr>
        <w:trPr>
          <w:trHeight w:val="135"/>
        </w:trPr>
        <w:tc>
          <w:tcPr>
            <w:tcW w:w="3060" w:type="dxa"/>
            <w:vAlign w:val="bottom"/>
          </w:tcPr>
          <w:p>
            <w:pPr>
              <w:jc w:val="right"/>
              <w:spacing w:after="0"/>
              <w:rPr>
                <w:sz w:val="20"/>
                <w:szCs w:val="20"/>
                <w:color w:val="auto"/>
              </w:rPr>
            </w:pPr>
            <w:r>
              <w:rPr>
                <w:rFonts w:ascii="Courier New" w:cs="Courier New" w:eastAsia="Courier New" w:hAnsi="Courier New"/>
                <w:sz w:val="12"/>
                <w:szCs w:val="12"/>
                <w:color w:val="auto"/>
              </w:rPr>
              <w:t>Distributions............................</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(25,323)</w:t>
            </w:r>
          </w:p>
        </w:tc>
        <w:tc>
          <w:tcPr>
            <w:tcW w:w="13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(4,677)</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99"/>
              <w:spacing w:after="0"/>
              <w:rPr>
                <w:sz w:val="20"/>
                <w:szCs w:val="20"/>
                <w:color w:val="auto"/>
              </w:rPr>
            </w:pPr>
            <w:r>
              <w:rPr>
                <w:rFonts w:ascii="Courier New" w:cs="Courier New" w:eastAsia="Courier New" w:hAnsi="Courier New"/>
                <w:sz w:val="12"/>
                <w:szCs w:val="12"/>
                <w:color w:val="auto"/>
              </w:rPr>
              <w:t>(30,000)</w:t>
            </w:r>
          </w:p>
        </w:tc>
      </w:tr>
      <w:tr>
        <w:trPr>
          <w:trHeight w:val="135"/>
        </w:trPr>
        <w:tc>
          <w:tcPr>
            <w:tcW w:w="30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3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4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ind w:left="80"/>
              <w:spacing w:after="0"/>
              <w:rPr>
                <w:sz w:val="20"/>
                <w:szCs w:val="20"/>
                <w:color w:val="auto"/>
              </w:rPr>
            </w:pPr>
            <w:r>
              <w:rPr>
                <w:rFonts w:ascii="Courier New" w:cs="Courier New" w:eastAsia="Courier New" w:hAnsi="Courier New"/>
                <w:sz w:val="12"/>
                <w:szCs w:val="12"/>
                <w:color w:val="auto"/>
                <w:w w:val="99"/>
              </w:rPr>
              <w:t>--------------</w:t>
            </w:r>
          </w:p>
        </w:tc>
      </w:tr>
      <w:tr>
        <w:trPr>
          <w:trHeight w:val="135"/>
        </w:trPr>
        <w:tc>
          <w:tcPr>
            <w:tcW w:w="30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Balance March 31, 2005 ..................</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$535,830</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$145,676</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$(348)</w:t>
            </w:r>
          </w:p>
        </w:tc>
        <w:tc>
          <w:tcPr>
            <w:tcW w:w="110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$681,158</w:t>
            </w:r>
          </w:p>
        </w:tc>
      </w:tr>
      <w:tr>
        <w:trPr>
          <w:trHeight w:val="137"/>
        </w:trPr>
        <w:tc>
          <w:tcPr>
            <w:tcW w:w="30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132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146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w:t>
            </w:r>
          </w:p>
        </w:tc>
        <w:tc>
          <w:tcPr>
            <w:tcW w:w="1100" w:type="dxa"/>
            <w:vAlign w:val="bottom"/>
          </w:tcPr>
          <w:p>
            <w:pPr>
              <w:ind w:left="80"/>
              <w:spacing w:after="0"/>
              <w:rPr>
                <w:sz w:val="20"/>
                <w:szCs w:val="20"/>
                <w:color w:val="auto"/>
              </w:rPr>
            </w:pPr>
            <w:r>
              <w:rPr>
                <w:rFonts w:ascii="Courier New" w:cs="Courier New" w:eastAsia="Courier New" w:hAnsi="Courier New"/>
                <w:sz w:val="12"/>
                <w:szCs w:val="12"/>
                <w:b w:val="1"/>
                <w:bCs w:val="1"/>
                <w:color w:val="auto"/>
                <w:w w:val="99"/>
              </w:rPr>
              <w:t>==============</w:t>
            </w:r>
          </w:p>
        </w:tc>
      </w:tr>
    </w:tbl>
    <w:p>
      <w:pPr>
        <w:spacing w:after="0" w:line="396" w:lineRule="exact"/>
        <w:rPr>
          <w:sz w:val="20"/>
          <w:szCs w:val="20"/>
          <w:color w:val="auto"/>
        </w:rPr>
      </w:pPr>
    </w:p>
    <w:p>
      <w:pPr>
        <w:ind w:left="440" w:hanging="432"/>
        <w:spacing w:after="0"/>
        <w:tabs>
          <w:tab w:leader="none" w:pos="44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Taxes</w:t>
      </w:r>
    </w:p>
    <w:p>
      <w:pPr>
        <w:spacing w:after="0" w:line="212"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No provision has been made for income taxes in the accompanying consolidated financial statements since such taxes, if any, are the responsibility of the individual partners.</w:t>
      </w:r>
    </w:p>
    <w:p>
      <w:pPr>
        <w:spacing w:after="0" w:line="167" w:lineRule="exact"/>
        <w:rPr>
          <w:sz w:val="20"/>
          <w:szCs w:val="20"/>
          <w:color w:val="auto"/>
        </w:rPr>
      </w:pPr>
    </w:p>
    <w:p>
      <w:pPr>
        <w:ind w:left="440" w:hanging="432"/>
        <w:spacing w:after="0"/>
        <w:tabs>
          <w:tab w:leader="none" w:pos="44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Net Income Per Partnership Unit</w:t>
      </w:r>
    </w:p>
    <w:p>
      <w:pPr>
        <w:spacing w:after="0" w:line="212" w:lineRule="exact"/>
        <w:rPr>
          <w:sz w:val="20"/>
          <w:szCs w:val="20"/>
          <w:color w:val="auto"/>
        </w:rPr>
      </w:pPr>
    </w:p>
    <w:p>
      <w:pPr>
        <w:ind w:right="600"/>
        <w:spacing w:after="0"/>
        <w:rPr>
          <w:sz w:val="20"/>
          <w:szCs w:val="20"/>
          <w:color w:val="auto"/>
        </w:rPr>
      </w:pPr>
      <w:r>
        <w:rPr>
          <w:rFonts w:ascii="Arial" w:cs="Arial" w:eastAsia="Arial" w:hAnsi="Arial"/>
          <w:sz w:val="22"/>
          <w:szCs w:val="22"/>
          <w:color w:val="auto"/>
        </w:rPr>
        <w:t>Net income per partnership unit is determined by allocating net income to the general partner (including the general partner's preferred unit allocation) and the limited partners based on their weighted average partnership units outstanding during the respective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Commitments and Contingencies</w:t>
      </w:r>
    </w:p>
    <w:p>
      <w:pPr>
        <w:spacing w:after="0" w:line="212"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Borrowings related to Chelsea Japan for which the OP has provided guarantees for repayment of debt as of March 31, 2005, are as follows (in thousands):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00" w:type="dxa"/>
            <w:vAlign w:val="bottom"/>
          </w:tcPr>
          <w:p>
            <w:pPr>
              <w:spacing w:after="0"/>
              <w:rPr>
                <w:sz w:val="11"/>
                <w:szCs w:val="11"/>
                <w:color w:val="auto"/>
              </w:rPr>
            </w:pPr>
          </w:p>
        </w:tc>
        <w:tc>
          <w:tcPr>
            <w:tcW w:w="980" w:type="dxa"/>
            <w:vAlign w:val="bottom"/>
          </w:tcPr>
          <w:p>
            <w:pPr>
              <w:ind w:left="580"/>
              <w:spacing w:after="0"/>
              <w:rPr>
                <w:sz w:val="20"/>
                <w:szCs w:val="20"/>
                <w:color w:val="auto"/>
              </w:rPr>
            </w:pPr>
            <w:r>
              <w:rPr>
                <w:rFonts w:ascii="Courier New" w:cs="Courier New" w:eastAsia="Courier New" w:hAnsi="Courier New"/>
                <w:sz w:val="12"/>
                <w:szCs w:val="12"/>
                <w:b w:val="1"/>
                <w:bCs w:val="1"/>
                <w:color w:val="auto"/>
              </w:rPr>
              <w:t>Total</w:t>
            </w:r>
          </w:p>
        </w:tc>
        <w:tc>
          <w:tcPr>
            <w:tcW w:w="1360" w:type="dxa"/>
            <w:vAlign w:val="bottom"/>
            <w:gridSpan w:val="2"/>
          </w:tcPr>
          <w:p>
            <w:pPr>
              <w:ind w:left="40"/>
              <w:spacing w:after="0"/>
              <w:rPr>
                <w:sz w:val="20"/>
                <w:szCs w:val="20"/>
                <w:color w:val="auto"/>
              </w:rPr>
            </w:pPr>
            <w:r>
              <w:rPr>
                <w:rFonts w:ascii="Courier New" w:cs="Courier New" w:eastAsia="Courier New" w:hAnsi="Courier New"/>
                <w:sz w:val="12"/>
                <w:szCs w:val="12"/>
                <w:b w:val="1"/>
                <w:bCs w:val="1"/>
                <w:color w:val="auto"/>
              </w:rPr>
              <w:t>Facility</w:t>
            </w:r>
          </w:p>
        </w:tc>
        <w:tc>
          <w:tcPr>
            <w:tcW w:w="2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60" w:type="dxa"/>
            <w:vAlign w:val="bottom"/>
            <w:gridSpan w:val="2"/>
          </w:tcPr>
          <w:p>
            <w:pPr>
              <w:jc w:val="right"/>
              <w:ind w:right="519"/>
              <w:spacing w:after="0"/>
              <w:rPr>
                <w:sz w:val="20"/>
                <w:szCs w:val="20"/>
                <w:color w:val="auto"/>
              </w:rPr>
            </w:pPr>
            <w:r>
              <w:rPr>
                <w:rFonts w:ascii="Courier New" w:cs="Courier New" w:eastAsia="Courier New" w:hAnsi="Courier New"/>
                <w:sz w:val="12"/>
                <w:szCs w:val="12"/>
                <w:b w:val="1"/>
                <w:bCs w:val="1"/>
                <w:color w:val="auto"/>
              </w:rPr>
              <w:t>Outstanding</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1280" w:type="dxa"/>
            <w:vAlign w:val="bottom"/>
            <w:gridSpan w:val="2"/>
          </w:tcPr>
          <w:p>
            <w:pPr>
              <w:ind w:left="160"/>
              <w:spacing w:after="0"/>
              <w:rPr>
                <w:sz w:val="20"/>
                <w:szCs w:val="20"/>
                <w:color w:val="auto"/>
              </w:rPr>
            </w:pPr>
            <w:r>
              <w:rPr>
                <w:rFonts w:ascii="Courier New" w:cs="Courier New" w:eastAsia="Courier New" w:hAnsi="Courier New"/>
                <w:sz w:val="7"/>
                <w:szCs w:val="7"/>
                <w:b w:val="1"/>
                <w:bCs w:val="1"/>
                <w:color w:val="auto"/>
                <w:w w:val="74"/>
              </w:rPr>
              <w:t>-----------------------------------</w:t>
            </w: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960" w:type="dxa"/>
            <w:vAlign w:val="bottom"/>
            <w:gridSpan w:val="2"/>
          </w:tcPr>
          <w:p>
            <w:pPr>
              <w:ind w:left="80"/>
              <w:spacing w:after="0"/>
              <w:rPr>
                <w:sz w:val="20"/>
                <w:szCs w:val="20"/>
                <w:color w:val="auto"/>
              </w:rPr>
            </w:pPr>
            <w:r>
              <w:rPr>
                <w:rFonts w:ascii="Courier New" w:cs="Courier New" w:eastAsia="Courier New" w:hAnsi="Courier New"/>
                <w:sz w:val="2"/>
                <w:szCs w:val="2"/>
                <w:b w:val="1"/>
                <w:bCs w:val="1"/>
                <w:color w:val="auto"/>
              </w:rPr>
              <w:t>---------------------------------------------------------------------</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Due</w:t>
            </w:r>
          </w:p>
        </w:tc>
        <w:tc>
          <w:tcPr>
            <w:tcW w:w="7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Interest</w:t>
            </w:r>
          </w:p>
        </w:tc>
      </w:tr>
      <w:tr>
        <w:trPr>
          <w:trHeight w:val="135"/>
        </w:trPr>
        <w:tc>
          <w:tcPr>
            <w:tcW w:w="1280" w:type="dxa"/>
            <w:vAlign w:val="bottom"/>
            <w:gridSpan w:val="2"/>
          </w:tcPr>
          <w:p>
            <w:pPr>
              <w:ind w:left="160"/>
              <w:spacing w:after="0"/>
              <w:rPr>
                <w:sz w:val="20"/>
                <w:szCs w:val="20"/>
                <w:color w:val="auto"/>
              </w:rPr>
            </w:pPr>
            <w:r>
              <w:rPr>
                <w:rFonts w:ascii="Courier New" w:cs="Courier New" w:eastAsia="Courier New" w:hAnsi="Courier New"/>
                <w:sz w:val="12"/>
                <w:szCs w:val="12"/>
                <w:b w:val="1"/>
                <w:bCs w:val="1"/>
                <w:color w:val="auto"/>
              </w:rPr>
              <w:t>Yen</w:t>
            </w:r>
          </w:p>
        </w:tc>
        <w:tc>
          <w:tcPr>
            <w:tcW w:w="440" w:type="dxa"/>
            <w:vAlign w:val="bottom"/>
          </w:tcPr>
          <w:p>
            <w:pPr>
              <w:ind w:left="120"/>
              <w:spacing w:after="0"/>
              <w:rPr>
                <w:sz w:val="20"/>
                <w:szCs w:val="20"/>
                <w:color w:val="auto"/>
              </w:rPr>
            </w:pPr>
            <w:r>
              <w:rPr>
                <w:rFonts w:ascii="Courier New" w:cs="Courier New" w:eastAsia="Courier New" w:hAnsi="Courier New"/>
                <w:sz w:val="12"/>
                <w:szCs w:val="12"/>
                <w:b w:val="1"/>
                <w:bCs w:val="1"/>
                <w:color w:val="auto"/>
              </w:rPr>
              <w:t>US $</w:t>
            </w:r>
          </w:p>
        </w:tc>
        <w:tc>
          <w:tcPr>
            <w:tcW w:w="920" w:type="dxa"/>
            <w:vAlign w:val="bottom"/>
          </w:tcPr>
          <w:p>
            <w:pPr>
              <w:ind w:left="40"/>
              <w:spacing w:after="0"/>
              <w:rPr>
                <w:sz w:val="20"/>
                <w:szCs w:val="20"/>
                <w:color w:val="auto"/>
              </w:rPr>
            </w:pPr>
            <w:r>
              <w:rPr>
                <w:rFonts w:ascii="Courier New" w:cs="Courier New" w:eastAsia="Courier New" w:hAnsi="Courier New"/>
                <w:sz w:val="12"/>
                <w:szCs w:val="12"/>
                <w:b w:val="1"/>
                <w:bCs w:val="1"/>
                <w:color w:val="auto"/>
              </w:rPr>
              <w:t>Equivalent</w:t>
            </w:r>
          </w:p>
        </w:tc>
        <w:tc>
          <w:tcPr>
            <w:tcW w:w="2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36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Courier New" w:cs="Courier New" w:eastAsia="Courier New" w:hAnsi="Courier New"/>
                <w:sz w:val="12"/>
                <w:szCs w:val="12"/>
                <w:b w:val="1"/>
                <w:bCs w:val="1"/>
                <w:color w:val="auto"/>
              </w:rPr>
              <w:t>Yen</w:t>
            </w: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rPr>
              <w:t>US $ Equivalent</w:t>
            </w:r>
          </w:p>
        </w:tc>
        <w:tc>
          <w:tcPr>
            <w:tcW w:w="5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US $</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Guarantee</w:t>
            </w:r>
          </w:p>
        </w:tc>
        <w:tc>
          <w:tcPr>
            <w:tcW w:w="62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Date</w:t>
            </w:r>
          </w:p>
        </w:tc>
        <w:tc>
          <w:tcPr>
            <w:tcW w:w="7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Rate</w:t>
            </w:r>
          </w:p>
        </w:tc>
      </w:tr>
      <w:tr>
        <w:trPr>
          <w:trHeight w:val="135"/>
        </w:trPr>
        <w:tc>
          <w:tcPr>
            <w:tcW w:w="128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w:t>
            </w:r>
          </w:p>
        </w:tc>
        <w:tc>
          <w:tcPr>
            <w:tcW w:w="136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46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00" w:type="dxa"/>
            <w:vAlign w:val="bottom"/>
          </w:tcPr>
          <w:p>
            <w:pPr>
              <w:jc w:val="right"/>
              <w:ind w:right="24"/>
              <w:spacing w:after="0"/>
              <w:rPr>
                <w:sz w:val="20"/>
                <w:szCs w:val="20"/>
                <w:color w:val="auto"/>
              </w:rPr>
            </w:pPr>
            <w:r>
              <w:rPr>
                <w:rFonts w:ascii="Courier New" w:cs="Courier New" w:eastAsia="Courier New" w:hAnsi="Courier New"/>
                <w:sz w:val="12"/>
                <w:szCs w:val="12"/>
                <w:color w:val="auto"/>
                <w:w w:val="92"/>
              </w:rPr>
              <w:t>3.8</w:t>
            </w:r>
          </w:p>
        </w:tc>
        <w:tc>
          <w:tcPr>
            <w:tcW w:w="980" w:type="dxa"/>
            <w:vAlign w:val="bottom"/>
          </w:tcPr>
          <w:p>
            <w:pPr>
              <w:spacing w:after="0"/>
              <w:rPr>
                <w:sz w:val="20"/>
                <w:szCs w:val="20"/>
                <w:color w:val="auto"/>
              </w:rPr>
            </w:pPr>
            <w:r>
              <w:rPr>
                <w:rFonts w:ascii="Courier New" w:cs="Courier New" w:eastAsia="Courier New" w:hAnsi="Courier New"/>
                <w:sz w:val="12"/>
                <w:szCs w:val="12"/>
                <w:color w:val="auto"/>
              </w:rPr>
              <w:t>billion (1)</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$35.5</w:t>
            </w:r>
          </w:p>
        </w:tc>
        <w:tc>
          <w:tcPr>
            <w:tcW w:w="92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ind w:left="80"/>
              <w:spacing w:after="0"/>
              <w:rPr>
                <w:sz w:val="20"/>
                <w:szCs w:val="20"/>
                <w:color w:val="auto"/>
              </w:rPr>
            </w:pPr>
            <w:r>
              <w:rPr>
                <w:rFonts w:ascii="Courier New" w:cs="Courier New" w:eastAsia="Courier New" w:hAnsi="Courier New"/>
                <w:sz w:val="12"/>
                <w:szCs w:val="12"/>
                <w:color w:val="auto"/>
              </w:rPr>
              <w:t>2.9</w:t>
            </w:r>
          </w:p>
        </w:tc>
        <w:tc>
          <w:tcPr>
            <w:tcW w:w="600" w:type="dxa"/>
            <w:vAlign w:val="bottom"/>
          </w:tcPr>
          <w:p>
            <w:pPr>
              <w:spacing w:after="0"/>
              <w:rPr>
                <w:sz w:val="20"/>
                <w:szCs w:val="20"/>
                <w:color w:val="auto"/>
              </w:rPr>
            </w:pPr>
            <w:r>
              <w:rPr>
                <w:rFonts w:ascii="Courier New" w:cs="Courier New" w:eastAsia="Courier New" w:hAnsi="Courier New"/>
                <w:sz w:val="12"/>
                <w:szCs w:val="12"/>
                <w:color w:val="auto"/>
              </w:rPr>
              <w:t>billion</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$27.3</w:t>
            </w:r>
          </w:p>
        </w:tc>
        <w:tc>
          <w:tcPr>
            <w:tcW w:w="6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million</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$10.9</w:t>
            </w:r>
          </w:p>
        </w:tc>
        <w:tc>
          <w:tcPr>
            <w:tcW w:w="9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million</w:t>
            </w:r>
          </w:p>
        </w:tc>
        <w:tc>
          <w:tcPr>
            <w:tcW w:w="620" w:type="dxa"/>
            <w:vAlign w:val="bottom"/>
          </w:tcPr>
          <w:p>
            <w:pPr>
              <w:ind w:left="160"/>
              <w:spacing w:after="0"/>
              <w:rPr>
                <w:sz w:val="20"/>
                <w:szCs w:val="20"/>
                <w:color w:val="auto"/>
              </w:rPr>
            </w:pPr>
            <w:r>
              <w:rPr>
                <w:rFonts w:ascii="Courier New" w:cs="Courier New" w:eastAsia="Courier New" w:hAnsi="Courier New"/>
                <w:sz w:val="12"/>
                <w:szCs w:val="12"/>
                <w:color w:val="auto"/>
              </w:rPr>
              <w:t>2015</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2.06%</w:t>
            </w:r>
          </w:p>
        </w:tc>
      </w:tr>
      <w:tr>
        <w:trPr>
          <w:trHeight w:val="137"/>
        </w:trPr>
        <w:tc>
          <w:tcPr>
            <w:tcW w:w="300" w:type="dxa"/>
            <w:vAlign w:val="bottom"/>
          </w:tcPr>
          <w:p>
            <w:pPr>
              <w:jc w:val="right"/>
              <w:ind w:right="24"/>
              <w:spacing w:after="0"/>
              <w:rPr>
                <w:sz w:val="20"/>
                <w:szCs w:val="20"/>
                <w:color w:val="auto"/>
              </w:rPr>
            </w:pPr>
            <w:r>
              <w:rPr>
                <w:rFonts w:ascii="Courier New" w:cs="Courier New" w:eastAsia="Courier New" w:hAnsi="Courier New"/>
                <w:sz w:val="12"/>
                <w:szCs w:val="12"/>
                <w:color w:val="auto"/>
                <w:w w:val="92"/>
              </w:rPr>
              <w:t>0.6</w:t>
            </w:r>
          </w:p>
        </w:tc>
        <w:tc>
          <w:tcPr>
            <w:tcW w:w="980" w:type="dxa"/>
            <w:vAlign w:val="bottom"/>
          </w:tcPr>
          <w:p>
            <w:pPr>
              <w:spacing w:after="0"/>
              <w:rPr>
                <w:sz w:val="20"/>
                <w:szCs w:val="20"/>
                <w:color w:val="auto"/>
              </w:rPr>
            </w:pPr>
            <w:r>
              <w:rPr>
                <w:rFonts w:ascii="Courier New" w:cs="Courier New" w:eastAsia="Courier New" w:hAnsi="Courier New"/>
                <w:sz w:val="12"/>
                <w:szCs w:val="12"/>
                <w:color w:val="auto"/>
              </w:rPr>
              <w:t>billion (1)</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5.6</w:t>
            </w:r>
          </w:p>
        </w:tc>
        <w:tc>
          <w:tcPr>
            <w:tcW w:w="92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ind w:left="80"/>
              <w:spacing w:after="0"/>
              <w:rPr>
                <w:sz w:val="20"/>
                <w:szCs w:val="20"/>
                <w:color w:val="auto"/>
              </w:rPr>
            </w:pPr>
            <w:r>
              <w:rPr>
                <w:rFonts w:ascii="Courier New" w:cs="Courier New" w:eastAsia="Courier New" w:hAnsi="Courier New"/>
                <w:sz w:val="12"/>
                <w:szCs w:val="12"/>
                <w:color w:val="auto"/>
              </w:rPr>
              <w:t>0.4</w:t>
            </w:r>
          </w:p>
        </w:tc>
        <w:tc>
          <w:tcPr>
            <w:tcW w:w="600" w:type="dxa"/>
            <w:vAlign w:val="bottom"/>
          </w:tcPr>
          <w:p>
            <w:pPr>
              <w:spacing w:after="0"/>
              <w:rPr>
                <w:sz w:val="20"/>
                <w:szCs w:val="20"/>
                <w:color w:val="auto"/>
              </w:rPr>
            </w:pPr>
            <w:r>
              <w:rPr>
                <w:rFonts w:ascii="Courier New" w:cs="Courier New" w:eastAsia="Courier New" w:hAnsi="Courier New"/>
                <w:sz w:val="12"/>
                <w:szCs w:val="12"/>
                <w:color w:val="auto"/>
              </w:rPr>
              <w:t>billion</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4.1</w:t>
            </w:r>
          </w:p>
        </w:tc>
        <w:tc>
          <w:tcPr>
            <w:tcW w:w="6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million</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1.6</w:t>
            </w:r>
          </w:p>
        </w:tc>
        <w:tc>
          <w:tcPr>
            <w:tcW w:w="9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million</w:t>
            </w:r>
          </w:p>
        </w:tc>
        <w:tc>
          <w:tcPr>
            <w:tcW w:w="620" w:type="dxa"/>
            <w:vAlign w:val="bottom"/>
          </w:tcPr>
          <w:p>
            <w:pPr>
              <w:ind w:left="160"/>
              <w:spacing w:after="0"/>
              <w:rPr>
                <w:sz w:val="20"/>
                <w:szCs w:val="20"/>
                <w:color w:val="auto"/>
              </w:rPr>
            </w:pPr>
            <w:r>
              <w:rPr>
                <w:rFonts w:ascii="Courier New" w:cs="Courier New" w:eastAsia="Courier New" w:hAnsi="Courier New"/>
                <w:sz w:val="12"/>
                <w:szCs w:val="12"/>
                <w:color w:val="auto"/>
              </w:rPr>
              <w:t>2012</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1.50%</w:t>
            </w: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1"/>
          <w:szCs w:val="21"/>
          <w:color w:val="auto"/>
        </w:rPr>
        <w:t>(1) Facilities entered into by Chelsea Japan, secured by Gotemba and Rinku and 40% severally guaranteed by the OP.</w:t>
      </w:r>
    </w:p>
    <w:p>
      <w:pPr>
        <w:spacing w:after="0" w:line="212"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19"/>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Commitments and Contingencies (continued)</w:t>
      </w:r>
    </w:p>
    <w:p>
      <w:pPr>
        <w:spacing w:after="0" w:line="212"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In May 2002, the OP entered into a 50/50 joint venture agreement with Sordo Madaleno y Asociados and affiliates to jointly develop Premium Outlet centers in Mexico. The 232,000 square-foot first phase of Premium Outlets Punta Norte located in Mexico City opened in December 2004. At March 31, 2005, the OP had contributed approximately $15.8 million toward its 50% share of total expected development costs of $16.5 million. In January 2004, a wholly- owned subsidiary of the OP entered into a 180 million peso denominated credit facility, which is guaranteed by the OP, to fund its share of construction costs. The outstanding balance on the peso facility was fully repaid in February 2005.</w:t>
      </w:r>
    </w:p>
    <w:p>
      <w:pPr>
        <w:spacing w:after="0" w:line="177"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As of March 31, 2005, the OP had provided limited debt service guarantees of approximately $12.7 million to Value Retail and affiliates, under a standby facility for loans provided to Value Retail and affiliates to construct outlet centers in Europe. The standby facility, which had a maximum limit of $22.0 million, expired in November 2001, and outstanding guarantees, shall not survive more than five years after project completion. The outstanding guarantees expire on or before September 30, 2005.</w:t>
      </w:r>
    </w:p>
    <w:p>
      <w:pPr>
        <w:spacing w:after="0" w:line="143"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At March 31, 2005, other assets include $4.5 million and accrued expenses and other liabilities include $21.1 million related to the 2002 deferred unit incentive program, which may be paid to certain key officers in 2007.</w:t>
      </w:r>
    </w:p>
    <w:p>
      <w:pPr>
        <w:spacing w:after="0" w:line="17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OP is not presently involved in any material litigation nor, to its knowledge, is any material litigation threatened against the OP or its properties, other than routine litigation arising in the ordinary course of business. Management believes the costs incurred by the OP related to any of its litigation will not be material and have been adequately provided for in the consolidated financial statements.</w:t>
      </w:r>
    </w:p>
    <w:p>
      <w:pPr>
        <w:spacing w:after="0" w:line="179"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Related Party Information</w:t>
      </w:r>
    </w:p>
    <w:p>
      <w:pPr>
        <w:spacing w:after="0" w:line="212" w:lineRule="exact"/>
        <w:rPr>
          <w:sz w:val="20"/>
          <w:szCs w:val="20"/>
          <w:color w:val="auto"/>
        </w:rPr>
      </w:pPr>
    </w:p>
    <w:p>
      <w:pPr>
        <w:ind w:right="80"/>
        <w:spacing w:after="0"/>
        <w:rPr>
          <w:sz w:val="20"/>
          <w:szCs w:val="20"/>
          <w:color w:val="auto"/>
        </w:rPr>
      </w:pPr>
      <w:r>
        <w:rPr>
          <w:rFonts w:ascii="Arial" w:cs="Arial" w:eastAsia="Arial" w:hAnsi="Arial"/>
          <w:sz w:val="22"/>
          <w:szCs w:val="22"/>
          <w:color w:val="auto"/>
        </w:rPr>
        <w:t>Pursuant to the merger with Simon in 2004, the Company purchased two annuity contracts in consideration of the non-competition covenants of its CEO and a President totaling $21.5 million. These contracts are included in restricted cash-escrows in the accompanying financial statements.</w:t>
      </w:r>
    </w:p>
    <w:p>
      <w:pPr>
        <w:spacing w:after="0" w:line="186" w:lineRule="exact"/>
        <w:rPr>
          <w:sz w:val="20"/>
          <w:szCs w:val="20"/>
          <w:color w:val="auto"/>
        </w:rPr>
      </w:pPr>
    </w:p>
    <w:p>
      <w:pPr>
        <w:ind w:right="440"/>
        <w:spacing w:after="0" w:line="258" w:lineRule="auto"/>
        <w:rPr>
          <w:sz w:val="20"/>
          <w:szCs w:val="20"/>
          <w:color w:val="auto"/>
        </w:rPr>
      </w:pPr>
      <w:r>
        <w:rPr>
          <w:rFonts w:ascii="Arial" w:cs="Arial" w:eastAsia="Arial" w:hAnsi="Arial"/>
          <w:sz w:val="21"/>
          <w:szCs w:val="21"/>
          <w:color w:val="auto"/>
        </w:rPr>
        <w:t>In October 2004, the OP borrowed $235.3 million from Simon and issued an unsecured promissory note due August 1, 2005. Interest is payable at maturity at LIBOR plus 1% per annum. The borrowed funds were used primarily to repay the OP's senior unsecured line of credit, the $5 million term loan, and the $100 million term loan.</w:t>
      </w:r>
    </w:p>
    <w:p>
      <w:pPr>
        <w:sectPr>
          <w:pgSz w:w="11900" w:h="16838" w:orient="portrait"/>
          <w:cols w:equalWidth="0" w:num="1">
            <w:col w:w="11400"/>
          </w:cols>
          <w:pgMar w:left="240" w:top="267" w:right="259" w:bottom="0" w:gutter="0" w:footer="0" w:header="0"/>
        </w:sectPr>
      </w:pPr>
    </w:p>
    <w:bookmarkStart w:id="8" w:name="page9"/>
    <w:bookmarkEnd w:id="8"/>
    <w:p>
      <w:pPr>
        <w:ind w:right="260"/>
        <w:spacing w:after="0" w:line="252" w:lineRule="auto"/>
        <w:rPr>
          <w:sz w:val="20"/>
          <w:szCs w:val="20"/>
          <w:color w:val="auto"/>
        </w:rPr>
      </w:pPr>
      <w:r>
        <w:rPr>
          <w:rFonts w:ascii="Arial" w:cs="Arial" w:eastAsia="Arial" w:hAnsi="Arial"/>
          <w:sz w:val="21"/>
          <w:szCs w:val="21"/>
          <w:color w:val="auto"/>
        </w:rPr>
        <w:t>Also in October 2004, the OP borrowed $65.0 million from Simon and issued an unsecured promissory note due December 31, 2004. In January 2005, accrued and unpaid interest of $0.6 million was added to the principal balance and the note was extended until August 1, 2005. Interest is payable at maturity at LIBOR plus 1% per annum. The borrowed funds were used to redeem the Series C Preferred Stock prior to the merger closing on October 14, 2004.</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39"/>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Related Party Information (continued)</w:t>
      </w:r>
    </w:p>
    <w:p>
      <w:pPr>
        <w:spacing w:after="0" w:line="212"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In March 2005, a wholly owned equity investee in Japan, Chelsea International Operating Corp., entered into a 4.0 billion yen line of credit agreement with Simon pursuant to which it borrowed 1.9 billion yen (approximately $17.3 million) from Simon and issued an unsecured promissory note due January 2008. Interest is currently payable monthly at yen LIBOR plus 0.55% per annum, but the interest rate may adjust depending on Simon's credit rating. The borrowed funds were used to repay and extinguish the 4 billion yen line of credit, which provided funding for projects being developed in Japan. The three loans made by Simon are included in notes payable-related parties in the accompanying financial statements.</w:t>
      </w:r>
    </w:p>
    <w:p>
      <w:pPr>
        <w:spacing w:after="0" w:line="177" w:lineRule="exact"/>
        <w:rPr>
          <w:sz w:val="20"/>
          <w:szCs w:val="20"/>
          <w:color w:val="auto"/>
        </w:rPr>
      </w:pPr>
    </w:p>
    <w:p>
      <w:pPr>
        <w:ind w:right="360"/>
        <w:spacing w:after="0" w:line="276" w:lineRule="auto"/>
        <w:rPr>
          <w:sz w:val="20"/>
          <w:szCs w:val="20"/>
          <w:color w:val="auto"/>
        </w:rPr>
      </w:pPr>
      <w:r>
        <w:rPr>
          <w:rFonts w:ascii="Arial" w:cs="Arial" w:eastAsia="Arial" w:hAnsi="Arial"/>
          <w:sz w:val="19"/>
          <w:szCs w:val="19"/>
          <w:color w:val="auto"/>
        </w:rPr>
        <w:t>Chelsea International Operating Corp. has advanced partner loans to Chelsea Japan totaling 2.1 billion yen (approximately US $19.2 million) at March 31, 2005. The loans, which were used to fund construction costs, bear interest at yen LIBOR plus 3.0%</w:t>
      </w:r>
    </w:p>
    <w:p>
      <w:pPr>
        <w:spacing w:after="0" w:line="2" w:lineRule="exact"/>
        <w:rPr>
          <w:sz w:val="20"/>
          <w:szCs w:val="20"/>
          <w:color w:val="auto"/>
        </w:rPr>
      </w:pPr>
    </w:p>
    <w:p>
      <w:pPr>
        <w:ind w:right="60"/>
        <w:spacing w:after="0" w:line="237" w:lineRule="auto"/>
        <w:rPr>
          <w:sz w:val="20"/>
          <w:szCs w:val="20"/>
          <w:color w:val="auto"/>
        </w:rPr>
      </w:pPr>
      <w:r>
        <w:rPr>
          <w:rFonts w:ascii="Arial" w:cs="Arial" w:eastAsia="Arial" w:hAnsi="Arial"/>
          <w:sz w:val="22"/>
          <w:szCs w:val="22"/>
          <w:color w:val="auto"/>
        </w:rPr>
        <w:t>(3.05% at March 31, 2005) and mature in 2005 (810 million yen), in 2014 (612 million yen) and 2015 (640 million yen). The loans are included in notes receivable-related parties in the accompanying financial statements.</w:t>
      </w:r>
    </w:p>
    <w:p>
      <w:pPr>
        <w:spacing w:after="0" w:line="179"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Fair Value of Financial Instruments</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The following disclosures of estimated fair value were determined by management, using available market information and appropriate valuation methodologies. Considerable judgment is necessary to interpret market data and develop estimated fair value. Accordingly, the estimates presented herein are not necessarily indicative of the amounts the OP could realize on disposition of the financial instruments. The use of different market assumptions and/or estimation methodologies may have a material effect on the estimated fair value amounts.</w:t>
      </w:r>
    </w:p>
    <w:p>
      <w:pPr>
        <w:spacing w:after="0" w:line="188" w:lineRule="exact"/>
        <w:rPr>
          <w:sz w:val="20"/>
          <w:szCs w:val="20"/>
          <w:color w:val="auto"/>
        </w:rPr>
      </w:pPr>
    </w:p>
    <w:p>
      <w:pPr>
        <w:ind w:right="180"/>
        <w:spacing w:after="0" w:line="252" w:lineRule="auto"/>
        <w:rPr>
          <w:sz w:val="20"/>
          <w:szCs w:val="20"/>
          <w:color w:val="auto"/>
        </w:rPr>
      </w:pPr>
      <w:r>
        <w:rPr>
          <w:rFonts w:ascii="Arial" w:cs="Arial" w:eastAsia="Arial" w:hAnsi="Arial"/>
          <w:sz w:val="21"/>
          <w:szCs w:val="21"/>
          <w:color w:val="auto"/>
        </w:rPr>
        <w:t>Disclosure about fair value of financial instruments is based on pertinent information available to management as of March 31, 2005. Although management is not aware of any factors that would significantly affect the reasonable fair value amounts, such amounts have not been comprehensively revalued for purposes of these financial statements since such date and current estimates of fair value may differ significantly from the amounts presented herein.</w:t>
      </w:r>
    </w:p>
    <w:p>
      <w:pPr>
        <w:spacing w:after="0" w:line="174"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Cash equivalents, accounts receivable, accounts payable, and revolving credit facilities balances reasonably approximate their fair values due to the short maturities of these items. Mortgage debt and the unsecured notes payable have an estimated fair value based on discounted cash flow models of approximately $1.1 billion, which exceeds the book value by approximately $0.1 billion. Unsecured bank debt is carried at an amount which reasonably approximates its fair value since it is a variable rate instrument whose interest rate reprices frequently.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The following discussion should be read in connection with the accompanying unaudited condensed consolidated financial statements and notes thereto. These financial statements include all adjustments, which in the opinion of management are necessary to reflect a fair statement of results for all interim periods presented, and all such adjustments are of a normal recurring nature. You should read the following discussion in conjunction with the financial statements and notes thereto that are included in the OP's annual report on Form 10-K for the period ended December 31, 2004. Certain statements made in this section or elsewhere in this report may be deemed "forward-looking statements" within the meaning of the Private Securities Litigation Reform Act of 1995. Although we believe the expectations reflected in any forward-looking statements are based on reasonable assumptions, we can give no assurance that our expectations will be attained, and it is possible that our actual results may differ materially from those indicated by these forward-looking statements due to a variety of risks and uncertainties. Those risks and uncertainties incidental to the ownership and operation of commercial real estate include, but are not limited to: national, international, regional and local economic climates, competitive market forces, changes in market rental rates, trends in the retail industry, the inability to collect rent due to the bankruptcy or insolvency of tenants or otherwise, risks associated with acquisitions, the impact of terrorist activities, environmental liabilities, maintenance of the Company's REIT status, the availability of financing, and changes in market rates of interest and fluctuations in exchange rates of foreign currencies. We undertake no duty or obligation to update or revise these forward-looking statements, whether as a result of new information, future developments, or otherwise.</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12"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The OP's discussion and analysis of its financial condition and results of operations are based upon the OP's consolidated financial statements which have been prepared in accordance with accounting principles generally accepted in the United States. The preparation of these financial statements requires the OP to make estimates and judgments that affect the reported amounts of assets, liabilities, revenues and expenses. The OP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ectPr>
          <w:pgSz w:w="11900" w:h="16838" w:orient="portrait"/>
          <w:cols w:equalWidth="0" w:num="1">
            <w:col w:w="11400"/>
          </w:cols>
          <w:pgMar w:left="240" w:top="118" w:right="259" w:bottom="0" w:gutter="0" w:footer="0" w:header="0"/>
        </w:sectPr>
      </w:pPr>
    </w:p>
    <w:bookmarkStart w:id="9" w:name="page10"/>
    <w:bookmarkEnd w:id="9"/>
    <w:p>
      <w:pPr>
        <w:ind w:right="940"/>
        <w:spacing w:after="0" w:line="251" w:lineRule="auto"/>
        <w:rPr>
          <w:sz w:val="20"/>
          <w:szCs w:val="20"/>
          <w:color w:val="auto"/>
        </w:rPr>
      </w:pPr>
      <w:r>
        <w:rPr>
          <w:rFonts w:ascii="Arial" w:cs="Arial" w:eastAsia="Arial" w:hAnsi="Arial"/>
          <w:sz w:val="22"/>
          <w:szCs w:val="22"/>
          <w:color w:val="auto"/>
        </w:rPr>
        <w:t>The OP believes the following critical accounting policies affect its more significant judgments and estimates used in the preparation of its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Purchase Price Allocation</w:t>
      </w:r>
    </w:p>
    <w:p>
      <w:pPr>
        <w:spacing w:after="0" w:line="212"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The OP allocates the purchase price of real estate to land, building, and tenant improvements and if determined to be material, intangibles, such as the value of above, below and at market leases and origination cost associated with in-place leases. The OP depreciates the amount allocated to building and other intangible assets over their estimated useful lives, which generally range from five to forty years. The values of the above and below market leases are amortized and recorded as either an increase (in the case of below market leases) or a decrease (in the case of above market leases) to rental income over the remaining term of the associated lease. The values associated with in-place leases are amortized over the term of the lease. If a tenant vacates its space prior to the contractual termination of the lease and no rental payments are being made on the lease, any unamortized balance of the related intangible will be written off. The tenant improvements and origination costs are amortized as an expense over the remaining life of the lease (or charged against earnings if the lease is terminated prior to contractual expiration date). The OP assesses fair value based on estimated cash flow projections that utilize appropriate discount and capitalization rates and available market information. Estimates of future cash flows are based on a number of factors including the historical operating results, known trends and market/economic conditions that may affect the property.</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Bad Debt</w:t>
      </w:r>
    </w:p>
    <w:p>
      <w:pPr>
        <w:spacing w:after="0" w:line="212"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The OP maintains an allowance for doubtful accounts for estimated losses resulting from the inability of its tenants to make required rent payments. If the financial condition of the OP's tenants were to deteriorate, resulting in an impairment of their ability to make payments, additional allowances may be required. The OP's allowance for doubtful accounts included in tenant accounts receivable totaled $2.7 million and $2.2 million at March 31, 2005, and December 31, 2004,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Valuation of Investments</w:t>
      </w:r>
    </w:p>
    <w:p>
      <w:pPr>
        <w:spacing w:after="0" w:line="212"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On a periodic basis, management assesses whether there are any indicators that the value of real estate properties, including joint venture properties, may be impaired. If the carrying amount of the property is greater than the estimated expected future cash flow (undiscounted and without interest charges) of the asset, impairment has occurred. In first quarter 2004, the OP sold and recognized an impairment loss of $0.9 million on the disposition of two non-core properties; Lake George, New York and Iowa, Louisiana, which is reflected in other expense in the accompanying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Overview</w:t>
      </w:r>
    </w:p>
    <w:p>
      <w:pPr>
        <w:spacing w:after="0" w:line="212"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From April 1, 2004 to March 31, 2005, rental revenue from wholly-owned assets grew by $6.4 million or 9.1% to $76.6 million from $70.2 million. Total revenue during the first quarter 2005 increased by $10.0 million or 10.8% to $102.8 million from $92.8 million in 2004, driven by higher rents, acquisitions, new development and expansions.</w:t>
      </w:r>
    </w:p>
    <w:p>
      <w:pPr>
        <w:spacing w:after="0" w:line="186" w:lineRule="exact"/>
        <w:rPr>
          <w:sz w:val="20"/>
          <w:szCs w:val="20"/>
          <w:color w:val="auto"/>
        </w:rPr>
      </w:pPr>
    </w:p>
    <w:p>
      <w:pPr>
        <w:ind w:right="580"/>
        <w:spacing w:after="0" w:line="251" w:lineRule="auto"/>
        <w:rPr>
          <w:sz w:val="20"/>
          <w:szCs w:val="20"/>
          <w:color w:val="auto"/>
        </w:rPr>
      </w:pPr>
      <w:r>
        <w:rPr>
          <w:rFonts w:ascii="Arial" w:cs="Arial" w:eastAsia="Arial" w:hAnsi="Arial"/>
          <w:sz w:val="22"/>
          <w:szCs w:val="22"/>
          <w:color w:val="auto"/>
        </w:rPr>
        <w:t>Income from unconsolidated investments rose 20.3%, or $1.0 million, primarily from new development of Chicago Premium Outlets in May 2004 and Toki Premium Outlets in March 2005.</w:t>
      </w:r>
    </w:p>
    <w:p>
      <w:pPr>
        <w:spacing w:after="0" w:line="173"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At March 31, 2005, the OP's portfolio consisted of 60 wholly or partially owned properties containing 16.9 million square feet of GLA. The OP's Outlets include 41 centers containing 14.5 million square feet of GLA and Other Retail includes 19 centers containing 2.4 million square feet of GLA.</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Details of the 0.6 million square feet of net GLA added since April 1, 2004 are as follows:</w:t>
      </w:r>
    </w:p>
    <w:p>
      <w:pPr>
        <w:spacing w:after="0" w:line="355" w:lineRule="exact"/>
        <w:rPr>
          <w:sz w:val="20"/>
          <w:szCs w:val="20"/>
          <w:color w:val="auto"/>
        </w:rPr>
      </w:pPr>
    </w:p>
    <w:tbl>
      <w:tblPr>
        <w:tblLayout w:type="fixed"/>
        <w:tblInd w:w="300" w:type="dxa"/>
        <w:tblCellMar>
          <w:top w:w="0" w:type="dxa"/>
          <w:left w:w="0" w:type="dxa"/>
          <w:bottom w:w="0" w:type="dxa"/>
          <w:right w:w="0" w:type="dxa"/>
        </w:tblCellMar>
      </w:tblPr>
      <w:tr>
        <w:trPr>
          <w:trHeight w:val="136"/>
        </w:trPr>
        <w:tc>
          <w:tcPr>
            <w:tcW w:w="3640" w:type="dxa"/>
            <w:vAlign w:val="bottom"/>
          </w:tcPr>
          <w:p>
            <w:pPr>
              <w:spacing w:after="0"/>
              <w:rPr>
                <w:sz w:val="11"/>
                <w:szCs w:val="11"/>
                <w:color w:val="auto"/>
              </w:rPr>
            </w:pPr>
          </w:p>
        </w:tc>
        <w:tc>
          <w:tcPr>
            <w:tcW w:w="168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12 months</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3 months</w:t>
            </w:r>
          </w:p>
        </w:tc>
        <w:tc>
          <w:tcPr>
            <w:tcW w:w="11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9 months</w:t>
            </w: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168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ended</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ended</w:t>
            </w:r>
          </w:p>
        </w:tc>
        <w:tc>
          <w:tcPr>
            <w:tcW w:w="11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ended</w:t>
            </w: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168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March 31,</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March 31,</w:t>
            </w:r>
          </w:p>
        </w:tc>
        <w:tc>
          <w:tcPr>
            <w:tcW w:w="11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December 31,</w:t>
            </w: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168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2005</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2005</w:t>
            </w:r>
          </w:p>
        </w:tc>
        <w:tc>
          <w:tcPr>
            <w:tcW w:w="11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2004</w:t>
            </w:r>
          </w:p>
        </w:tc>
        <w:tc>
          <w:tcPr>
            <w:tcW w:w="0" w:type="dxa"/>
            <w:vAlign w:val="bottom"/>
          </w:tcPr>
          <w:p>
            <w:pPr>
              <w:spacing w:after="0"/>
              <w:rPr>
                <w:sz w:val="1"/>
                <w:szCs w:val="1"/>
                <w:color w:val="auto"/>
              </w:rPr>
            </w:pPr>
          </w:p>
        </w:tc>
      </w:tr>
      <w:tr>
        <w:trPr>
          <w:trHeight w:val="137"/>
        </w:trPr>
        <w:tc>
          <w:tcPr>
            <w:tcW w:w="3640" w:type="dxa"/>
            <w:vAlign w:val="bottom"/>
            <w:vMerge w:val="restart"/>
          </w:tcPr>
          <w:p>
            <w:pPr>
              <w:spacing w:after="0"/>
              <w:rPr>
                <w:sz w:val="20"/>
                <w:szCs w:val="20"/>
                <w:color w:val="auto"/>
              </w:rPr>
            </w:pPr>
            <w:r>
              <w:rPr>
                <w:rFonts w:ascii="Courier New" w:cs="Courier New" w:eastAsia="Courier New" w:hAnsi="Courier New"/>
                <w:sz w:val="12"/>
                <w:szCs w:val="12"/>
                <w:b w:val="1"/>
                <w:bCs w:val="1"/>
                <w:color w:val="auto"/>
              </w:rPr>
              <w:t>Changes in GLA (sf in 000's):</w:t>
            </w:r>
          </w:p>
        </w:tc>
        <w:tc>
          <w:tcPr>
            <w:tcW w:w="168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0" w:type="dxa"/>
            <w:vAlign w:val="bottom"/>
          </w:tcPr>
          <w:p>
            <w:pPr>
              <w:spacing w:after="0"/>
              <w:rPr>
                <w:sz w:val="1"/>
                <w:szCs w:val="1"/>
                <w:color w:val="auto"/>
              </w:rPr>
            </w:pPr>
          </w:p>
        </w:tc>
      </w:tr>
      <w:tr>
        <w:trPr>
          <w:trHeight w:val="135"/>
        </w:trPr>
        <w:tc>
          <w:tcPr>
            <w:tcW w:w="3640" w:type="dxa"/>
            <w:vAlign w:val="bottom"/>
            <w:vMerge w:val="continue"/>
          </w:tcPr>
          <w:p>
            <w:pPr>
              <w:spacing w:after="0"/>
              <w:rPr>
                <w:sz w:val="11"/>
                <w:szCs w:val="11"/>
                <w:color w:val="auto"/>
              </w:rPr>
            </w:pPr>
          </w:p>
        </w:tc>
        <w:tc>
          <w:tcPr>
            <w:tcW w:w="16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640" w:type="dxa"/>
            <w:vAlign w:val="bottom"/>
          </w:tcPr>
          <w:p>
            <w:pPr>
              <w:spacing w:after="0"/>
              <w:rPr>
                <w:sz w:val="20"/>
                <w:szCs w:val="20"/>
                <w:color w:val="auto"/>
              </w:rPr>
            </w:pPr>
            <w:r>
              <w:rPr>
                <w:rFonts w:ascii="Courier New" w:cs="Courier New" w:eastAsia="Courier New" w:hAnsi="Courier New"/>
                <w:sz w:val="12"/>
                <w:szCs w:val="12"/>
                <w:b w:val="1"/>
                <w:bCs w:val="1"/>
                <w:color w:val="auto"/>
              </w:rPr>
              <w:t>New centers developed:</w:t>
            </w:r>
          </w:p>
        </w:tc>
        <w:tc>
          <w:tcPr>
            <w:tcW w:w="1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640" w:type="dxa"/>
            <w:vAlign w:val="bottom"/>
          </w:tcPr>
          <w:p>
            <w:pPr>
              <w:ind w:left="220"/>
              <w:spacing w:after="0"/>
              <w:rPr>
                <w:sz w:val="20"/>
                <w:szCs w:val="20"/>
                <w:color w:val="auto"/>
              </w:rPr>
            </w:pPr>
            <w:r>
              <w:rPr>
                <w:rFonts w:ascii="Courier New" w:cs="Courier New" w:eastAsia="Courier New" w:hAnsi="Courier New"/>
                <w:sz w:val="12"/>
                <w:szCs w:val="12"/>
                <w:color w:val="auto"/>
              </w:rPr>
              <w:t>Chicago Premium Outlets (50% owned)</w:t>
            </w:r>
          </w:p>
        </w:tc>
        <w:tc>
          <w:tcPr>
            <w:tcW w:w="16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438</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438</w:t>
            </w:r>
          </w:p>
        </w:tc>
        <w:tc>
          <w:tcPr>
            <w:tcW w:w="0" w:type="dxa"/>
            <w:vAlign w:val="bottom"/>
          </w:tcPr>
          <w:p>
            <w:pPr>
              <w:spacing w:after="0"/>
              <w:rPr>
                <w:sz w:val="1"/>
                <w:szCs w:val="1"/>
                <w:color w:val="auto"/>
              </w:rPr>
            </w:pPr>
          </w:p>
        </w:tc>
      </w:tr>
      <w:tr>
        <w:trPr>
          <w:trHeight w:val="135"/>
        </w:trPr>
        <w:tc>
          <w:tcPr>
            <w:tcW w:w="3640" w:type="dxa"/>
            <w:vAlign w:val="bottom"/>
          </w:tcPr>
          <w:p>
            <w:pPr>
              <w:ind w:left="220"/>
              <w:spacing w:after="0"/>
              <w:rPr>
                <w:sz w:val="20"/>
                <w:szCs w:val="20"/>
                <w:color w:val="auto"/>
              </w:rPr>
            </w:pPr>
            <w:r>
              <w:rPr>
                <w:rFonts w:ascii="Courier New" w:cs="Courier New" w:eastAsia="Courier New" w:hAnsi="Courier New"/>
                <w:sz w:val="12"/>
                <w:szCs w:val="12"/>
                <w:color w:val="auto"/>
              </w:rPr>
              <w:t>Premium Outlets Punta Norte (50% owned)</w:t>
            </w:r>
          </w:p>
        </w:tc>
        <w:tc>
          <w:tcPr>
            <w:tcW w:w="16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232</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232</w:t>
            </w:r>
          </w:p>
        </w:tc>
        <w:tc>
          <w:tcPr>
            <w:tcW w:w="0" w:type="dxa"/>
            <w:vAlign w:val="bottom"/>
          </w:tcPr>
          <w:p>
            <w:pPr>
              <w:spacing w:after="0"/>
              <w:rPr>
                <w:sz w:val="1"/>
                <w:szCs w:val="1"/>
                <w:color w:val="auto"/>
              </w:rPr>
            </w:pPr>
          </w:p>
        </w:tc>
      </w:tr>
      <w:tr>
        <w:trPr>
          <w:trHeight w:val="135"/>
        </w:trPr>
        <w:tc>
          <w:tcPr>
            <w:tcW w:w="3640" w:type="dxa"/>
            <w:vAlign w:val="bottom"/>
          </w:tcPr>
          <w:p>
            <w:pPr>
              <w:ind w:left="220"/>
              <w:spacing w:after="0"/>
              <w:rPr>
                <w:sz w:val="20"/>
                <w:szCs w:val="20"/>
                <w:color w:val="auto"/>
              </w:rPr>
            </w:pPr>
            <w:r>
              <w:rPr>
                <w:rFonts w:ascii="Courier New" w:cs="Courier New" w:eastAsia="Courier New" w:hAnsi="Courier New"/>
                <w:sz w:val="12"/>
                <w:szCs w:val="12"/>
                <w:color w:val="auto"/>
              </w:rPr>
              <w:t>Toki Premium Outlets (40% owned)</w:t>
            </w:r>
          </w:p>
        </w:tc>
        <w:tc>
          <w:tcPr>
            <w:tcW w:w="16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178</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178</w:t>
            </w: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7"/>
        </w:trPr>
        <w:tc>
          <w:tcPr>
            <w:tcW w:w="3640" w:type="dxa"/>
            <w:vAlign w:val="bottom"/>
          </w:tcPr>
          <w:p>
            <w:pPr>
              <w:spacing w:after="0"/>
              <w:rPr>
                <w:sz w:val="11"/>
                <w:szCs w:val="11"/>
                <w:color w:val="auto"/>
              </w:rPr>
            </w:pPr>
          </w:p>
        </w:tc>
        <w:tc>
          <w:tcPr>
            <w:tcW w:w="16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b w:val="1"/>
                <w:bCs w:val="1"/>
                <w:color w:val="auto"/>
              </w:rPr>
              <w:t>Total new centers</w:t>
            </w:r>
          </w:p>
        </w:tc>
        <w:tc>
          <w:tcPr>
            <w:tcW w:w="16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848</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178</w:t>
            </w: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670</w:t>
            </w:r>
          </w:p>
        </w:tc>
        <w:tc>
          <w:tcPr>
            <w:tcW w:w="0" w:type="dxa"/>
            <w:vAlign w:val="bottom"/>
          </w:tcPr>
          <w:p>
            <w:pPr>
              <w:spacing w:after="0"/>
              <w:rPr>
                <w:sz w:val="1"/>
                <w:szCs w:val="1"/>
                <w:color w:val="auto"/>
              </w:rPr>
            </w:pPr>
          </w:p>
        </w:tc>
      </w:tr>
      <w:tr>
        <w:trPr>
          <w:trHeight w:val="268"/>
        </w:trPr>
        <w:tc>
          <w:tcPr>
            <w:tcW w:w="3640" w:type="dxa"/>
            <w:vAlign w:val="bottom"/>
          </w:tcPr>
          <w:p>
            <w:pPr>
              <w:spacing w:after="0"/>
              <w:rPr>
                <w:sz w:val="20"/>
                <w:szCs w:val="20"/>
                <w:color w:val="auto"/>
              </w:rPr>
            </w:pPr>
            <w:r>
              <w:rPr>
                <w:rFonts w:ascii="Courier New" w:cs="Courier New" w:eastAsia="Courier New" w:hAnsi="Courier New"/>
                <w:sz w:val="12"/>
                <w:szCs w:val="12"/>
                <w:b w:val="1"/>
                <w:bCs w:val="1"/>
                <w:color w:val="auto"/>
              </w:rPr>
              <w:t>Centers expanded:</w:t>
            </w:r>
          </w:p>
        </w:tc>
        <w:tc>
          <w:tcPr>
            <w:tcW w:w="1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640" w:type="dxa"/>
            <w:vAlign w:val="bottom"/>
          </w:tcPr>
          <w:p>
            <w:pPr>
              <w:ind w:left="220"/>
              <w:spacing w:after="0"/>
              <w:rPr>
                <w:sz w:val="20"/>
                <w:szCs w:val="20"/>
                <w:color w:val="auto"/>
              </w:rPr>
            </w:pPr>
            <w:r>
              <w:rPr>
                <w:rFonts w:ascii="Courier New" w:cs="Courier New" w:eastAsia="Courier New" w:hAnsi="Courier New"/>
                <w:sz w:val="12"/>
                <w:szCs w:val="12"/>
                <w:color w:val="auto"/>
              </w:rPr>
              <w:t>Rinku Premium Outlets (40% owned)</w:t>
            </w:r>
          </w:p>
        </w:tc>
        <w:tc>
          <w:tcPr>
            <w:tcW w:w="16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71</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71</w:t>
            </w:r>
          </w:p>
        </w:tc>
        <w:tc>
          <w:tcPr>
            <w:tcW w:w="0" w:type="dxa"/>
            <w:vAlign w:val="bottom"/>
          </w:tcPr>
          <w:p>
            <w:pPr>
              <w:spacing w:after="0"/>
              <w:rPr>
                <w:sz w:val="1"/>
                <w:szCs w:val="1"/>
                <w:color w:val="auto"/>
              </w:rPr>
            </w:pPr>
          </w:p>
        </w:tc>
      </w:tr>
      <w:tr>
        <w:trPr>
          <w:trHeight w:val="135"/>
        </w:trPr>
        <w:tc>
          <w:tcPr>
            <w:tcW w:w="3640" w:type="dxa"/>
            <w:vAlign w:val="bottom"/>
          </w:tcPr>
          <w:p>
            <w:pPr>
              <w:ind w:left="220"/>
              <w:spacing w:after="0"/>
              <w:rPr>
                <w:sz w:val="20"/>
                <w:szCs w:val="20"/>
                <w:color w:val="auto"/>
              </w:rPr>
            </w:pPr>
            <w:r>
              <w:rPr>
                <w:rFonts w:ascii="Courier New" w:cs="Courier New" w:eastAsia="Courier New" w:hAnsi="Courier New"/>
                <w:sz w:val="12"/>
                <w:szCs w:val="12"/>
                <w:color w:val="auto"/>
              </w:rPr>
              <w:t>Sano Premium Outlets (40% owned)</w:t>
            </w:r>
          </w:p>
        </w:tc>
        <w:tc>
          <w:tcPr>
            <w:tcW w:w="16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51</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51</w:t>
            </w:r>
          </w:p>
        </w:tc>
        <w:tc>
          <w:tcPr>
            <w:tcW w:w="0" w:type="dxa"/>
            <w:vAlign w:val="bottom"/>
          </w:tcPr>
          <w:p>
            <w:pPr>
              <w:spacing w:after="0"/>
              <w:rPr>
                <w:sz w:val="1"/>
                <w:szCs w:val="1"/>
                <w:color w:val="auto"/>
              </w:rPr>
            </w:pPr>
          </w:p>
        </w:tc>
      </w:tr>
      <w:tr>
        <w:trPr>
          <w:trHeight w:val="135"/>
        </w:trPr>
        <w:tc>
          <w:tcPr>
            <w:tcW w:w="3640" w:type="dxa"/>
            <w:vAlign w:val="bottom"/>
          </w:tcPr>
          <w:p>
            <w:pPr>
              <w:ind w:left="220"/>
              <w:spacing w:after="0"/>
              <w:rPr>
                <w:sz w:val="20"/>
                <w:szCs w:val="20"/>
                <w:color w:val="auto"/>
              </w:rPr>
            </w:pPr>
            <w:r>
              <w:rPr>
                <w:rFonts w:ascii="Courier New" w:cs="Courier New" w:eastAsia="Courier New" w:hAnsi="Courier New"/>
                <w:sz w:val="12"/>
                <w:szCs w:val="12"/>
                <w:color w:val="auto"/>
              </w:rPr>
              <w:t>The Crossings Premium Outlets</w:t>
            </w:r>
          </w:p>
        </w:tc>
        <w:tc>
          <w:tcPr>
            <w:tcW w:w="16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22</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22</w:t>
            </w:r>
          </w:p>
        </w:tc>
        <w:tc>
          <w:tcPr>
            <w:tcW w:w="0" w:type="dxa"/>
            <w:vAlign w:val="bottom"/>
          </w:tcPr>
          <w:p>
            <w:pPr>
              <w:spacing w:after="0"/>
              <w:rPr>
                <w:sz w:val="1"/>
                <w:szCs w:val="1"/>
                <w:color w:val="auto"/>
              </w:rPr>
            </w:pPr>
          </w:p>
        </w:tc>
      </w:tr>
      <w:tr>
        <w:trPr>
          <w:trHeight w:val="135"/>
        </w:trPr>
        <w:tc>
          <w:tcPr>
            <w:tcW w:w="3640" w:type="dxa"/>
            <w:vAlign w:val="bottom"/>
          </w:tcPr>
          <w:p>
            <w:pPr>
              <w:ind w:left="220"/>
              <w:spacing w:after="0"/>
              <w:rPr>
                <w:sz w:val="20"/>
                <w:szCs w:val="20"/>
                <w:color w:val="auto"/>
              </w:rPr>
            </w:pPr>
            <w:r>
              <w:rPr>
                <w:rFonts w:ascii="Courier New" w:cs="Courier New" w:eastAsia="Courier New" w:hAnsi="Courier New"/>
                <w:sz w:val="12"/>
                <w:szCs w:val="12"/>
                <w:color w:val="auto"/>
              </w:rPr>
              <w:t>Other (net)</w:t>
            </w:r>
          </w:p>
        </w:tc>
        <w:tc>
          <w:tcPr>
            <w:tcW w:w="16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(32)</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(33)</w:t>
            </w: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w:t>
            </w:r>
          </w:p>
        </w:tc>
        <w:tc>
          <w:tcPr>
            <w:tcW w:w="0" w:type="dxa"/>
            <w:vAlign w:val="bottom"/>
          </w:tcPr>
          <w:p>
            <w:pPr>
              <w:spacing w:after="0"/>
              <w:rPr>
                <w:sz w:val="1"/>
                <w:szCs w:val="1"/>
                <w:color w:val="auto"/>
              </w:rPr>
            </w:pPr>
          </w:p>
        </w:tc>
      </w:tr>
      <w:tr>
        <w:trPr>
          <w:trHeight w:val="137"/>
        </w:trPr>
        <w:tc>
          <w:tcPr>
            <w:tcW w:w="3640" w:type="dxa"/>
            <w:vAlign w:val="bottom"/>
          </w:tcPr>
          <w:p>
            <w:pPr>
              <w:spacing w:after="0"/>
              <w:rPr>
                <w:sz w:val="11"/>
                <w:szCs w:val="11"/>
                <w:color w:val="auto"/>
              </w:rPr>
            </w:pPr>
          </w:p>
        </w:tc>
        <w:tc>
          <w:tcPr>
            <w:tcW w:w="16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b w:val="1"/>
                <w:bCs w:val="1"/>
                <w:color w:val="auto"/>
              </w:rPr>
              <w:t>Total centers expanded</w:t>
            </w:r>
          </w:p>
        </w:tc>
        <w:tc>
          <w:tcPr>
            <w:tcW w:w="168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112</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(33)</w:t>
            </w: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145</w:t>
            </w:r>
          </w:p>
        </w:tc>
        <w:tc>
          <w:tcPr>
            <w:tcW w:w="0" w:type="dxa"/>
            <w:vAlign w:val="bottom"/>
          </w:tcPr>
          <w:p>
            <w:pPr>
              <w:spacing w:after="0"/>
              <w:rPr>
                <w:sz w:val="1"/>
                <w:szCs w:val="1"/>
                <w:color w:val="auto"/>
              </w:rPr>
            </w:pPr>
          </w:p>
        </w:tc>
      </w:tr>
      <w:tr>
        <w:trPr>
          <w:trHeight w:val="268"/>
        </w:trPr>
        <w:tc>
          <w:tcPr>
            <w:tcW w:w="3640" w:type="dxa"/>
            <w:vAlign w:val="bottom"/>
          </w:tcPr>
          <w:p>
            <w:pPr>
              <w:spacing w:after="0"/>
              <w:rPr>
                <w:sz w:val="20"/>
                <w:szCs w:val="20"/>
                <w:color w:val="auto"/>
              </w:rPr>
            </w:pPr>
            <w:r>
              <w:rPr>
                <w:rFonts w:ascii="Courier New" w:cs="Courier New" w:eastAsia="Courier New" w:hAnsi="Courier New"/>
                <w:sz w:val="12"/>
                <w:szCs w:val="12"/>
                <w:b w:val="1"/>
                <w:bCs w:val="1"/>
                <w:color w:val="auto"/>
              </w:rPr>
              <w:t>Centers Acquired:</w:t>
            </w:r>
          </w:p>
        </w:tc>
        <w:tc>
          <w:tcPr>
            <w:tcW w:w="1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640" w:type="dxa"/>
            <w:vAlign w:val="bottom"/>
          </w:tcPr>
          <w:p>
            <w:pPr>
              <w:ind w:left="220"/>
              <w:spacing w:after="0"/>
              <w:rPr>
                <w:sz w:val="20"/>
                <w:szCs w:val="20"/>
                <w:color w:val="auto"/>
              </w:rPr>
            </w:pPr>
            <w:r>
              <w:rPr>
                <w:rFonts w:ascii="Courier New" w:cs="Courier New" w:eastAsia="Courier New" w:hAnsi="Courier New"/>
                <w:sz w:val="12"/>
                <w:szCs w:val="12"/>
                <w:color w:val="auto"/>
              </w:rPr>
              <w:t>Carlsbad Premium Outlets</w:t>
            </w:r>
          </w:p>
        </w:tc>
        <w:tc>
          <w:tcPr>
            <w:tcW w:w="16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288</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288</w:t>
            </w:r>
          </w:p>
        </w:tc>
        <w:tc>
          <w:tcPr>
            <w:tcW w:w="0" w:type="dxa"/>
            <w:vAlign w:val="bottom"/>
          </w:tcPr>
          <w:p>
            <w:pPr>
              <w:spacing w:after="0"/>
              <w:rPr>
                <w:sz w:val="1"/>
                <w:szCs w:val="1"/>
                <w:color w:val="auto"/>
              </w:rPr>
            </w:pPr>
          </w:p>
        </w:tc>
      </w:tr>
      <w:tr>
        <w:trPr>
          <w:trHeight w:val="137"/>
        </w:trPr>
        <w:tc>
          <w:tcPr>
            <w:tcW w:w="3640" w:type="dxa"/>
            <w:vAlign w:val="bottom"/>
          </w:tcPr>
          <w:p>
            <w:pPr>
              <w:spacing w:after="0"/>
              <w:rPr>
                <w:sz w:val="11"/>
                <w:szCs w:val="11"/>
                <w:color w:val="auto"/>
              </w:rPr>
            </w:pPr>
          </w:p>
        </w:tc>
        <w:tc>
          <w:tcPr>
            <w:tcW w:w="16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b w:val="1"/>
                <w:bCs w:val="1"/>
                <w:color w:val="auto"/>
              </w:rPr>
              <w:t>Total centers acquired</w:t>
            </w:r>
          </w:p>
        </w:tc>
        <w:tc>
          <w:tcPr>
            <w:tcW w:w="16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288</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288</w:t>
            </w:r>
          </w:p>
        </w:tc>
        <w:tc>
          <w:tcPr>
            <w:tcW w:w="0" w:type="dxa"/>
            <w:vAlign w:val="bottom"/>
          </w:tcPr>
          <w:p>
            <w:pPr>
              <w:spacing w:after="0"/>
              <w:rPr>
                <w:sz w:val="1"/>
                <w:szCs w:val="1"/>
                <w:color w:val="auto"/>
              </w:rPr>
            </w:pPr>
          </w:p>
        </w:tc>
      </w:tr>
      <w:tr>
        <w:trPr>
          <w:trHeight w:val="268"/>
        </w:trPr>
        <w:tc>
          <w:tcPr>
            <w:tcW w:w="3640" w:type="dxa"/>
            <w:vAlign w:val="bottom"/>
          </w:tcPr>
          <w:p>
            <w:pPr>
              <w:spacing w:after="0"/>
              <w:rPr>
                <w:sz w:val="20"/>
                <w:szCs w:val="20"/>
                <w:color w:val="auto"/>
              </w:rPr>
            </w:pPr>
            <w:r>
              <w:rPr>
                <w:rFonts w:ascii="Courier New" w:cs="Courier New" w:eastAsia="Courier New" w:hAnsi="Courier New"/>
                <w:sz w:val="12"/>
                <w:szCs w:val="12"/>
                <w:b w:val="1"/>
                <w:bCs w:val="1"/>
                <w:color w:val="auto"/>
              </w:rPr>
              <w:t>Centers Disposed:</w:t>
            </w:r>
          </w:p>
        </w:tc>
        <w:tc>
          <w:tcPr>
            <w:tcW w:w="1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640" w:type="dxa"/>
            <w:vAlign w:val="bottom"/>
          </w:tcPr>
          <w:p>
            <w:pPr>
              <w:ind w:left="220"/>
              <w:spacing w:after="0"/>
              <w:rPr>
                <w:sz w:val="20"/>
                <w:szCs w:val="20"/>
                <w:color w:val="auto"/>
              </w:rPr>
            </w:pPr>
            <w:r>
              <w:rPr>
                <w:rFonts w:ascii="Courier New" w:cs="Courier New" w:eastAsia="Courier New" w:hAnsi="Courier New"/>
                <w:sz w:val="12"/>
                <w:szCs w:val="12"/>
                <w:color w:val="auto"/>
              </w:rPr>
              <w:t>Santa Fe Premium Outlets</w:t>
            </w:r>
          </w:p>
        </w:tc>
        <w:tc>
          <w:tcPr>
            <w:tcW w:w="1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(125)</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(125)</w:t>
            </w:r>
          </w:p>
        </w:tc>
        <w:tc>
          <w:tcPr>
            <w:tcW w:w="0" w:type="dxa"/>
            <w:vAlign w:val="bottom"/>
          </w:tcPr>
          <w:p>
            <w:pPr>
              <w:spacing w:after="0"/>
              <w:rPr>
                <w:sz w:val="1"/>
                <w:szCs w:val="1"/>
                <w:color w:val="auto"/>
              </w:rPr>
            </w:pPr>
          </w:p>
        </w:tc>
      </w:tr>
      <w:tr>
        <w:trPr>
          <w:trHeight w:val="135"/>
        </w:trPr>
        <w:tc>
          <w:tcPr>
            <w:tcW w:w="3640" w:type="dxa"/>
            <w:vAlign w:val="bottom"/>
          </w:tcPr>
          <w:p>
            <w:pPr>
              <w:ind w:left="220"/>
              <w:spacing w:after="0"/>
              <w:rPr>
                <w:sz w:val="20"/>
                <w:szCs w:val="20"/>
                <w:color w:val="auto"/>
              </w:rPr>
            </w:pPr>
            <w:r>
              <w:rPr>
                <w:rFonts w:ascii="Courier New" w:cs="Courier New" w:eastAsia="Courier New" w:hAnsi="Courier New"/>
                <w:sz w:val="12"/>
                <w:szCs w:val="12"/>
                <w:color w:val="auto"/>
              </w:rPr>
              <w:t>Other Retail (1)</w:t>
            </w:r>
          </w:p>
        </w:tc>
        <w:tc>
          <w:tcPr>
            <w:tcW w:w="1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(536)</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(319)</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(217)</w:t>
            </w:r>
          </w:p>
        </w:tc>
        <w:tc>
          <w:tcPr>
            <w:tcW w:w="0" w:type="dxa"/>
            <w:vAlign w:val="bottom"/>
          </w:tcPr>
          <w:p>
            <w:pPr>
              <w:spacing w:after="0"/>
              <w:rPr>
                <w:sz w:val="1"/>
                <w:szCs w:val="1"/>
                <w:color w:val="auto"/>
              </w:rPr>
            </w:pPr>
          </w:p>
        </w:tc>
      </w:tr>
      <w:tr>
        <w:trPr>
          <w:trHeight w:val="137"/>
        </w:trPr>
        <w:tc>
          <w:tcPr>
            <w:tcW w:w="3640" w:type="dxa"/>
            <w:vAlign w:val="bottom"/>
          </w:tcPr>
          <w:p>
            <w:pPr>
              <w:spacing w:after="0"/>
              <w:rPr>
                <w:sz w:val="11"/>
                <w:szCs w:val="11"/>
                <w:color w:val="auto"/>
              </w:rPr>
            </w:pPr>
          </w:p>
        </w:tc>
        <w:tc>
          <w:tcPr>
            <w:tcW w:w="16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b w:val="1"/>
                <w:bCs w:val="1"/>
                <w:color w:val="auto"/>
              </w:rPr>
              <w:t>Total centers disposed</w:t>
            </w:r>
          </w:p>
        </w:tc>
        <w:tc>
          <w:tcPr>
            <w:tcW w:w="1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(661)</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(319)</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(342)</w:t>
            </w:r>
          </w:p>
        </w:tc>
        <w:tc>
          <w:tcPr>
            <w:tcW w:w="0" w:type="dxa"/>
            <w:vAlign w:val="bottom"/>
          </w:tcPr>
          <w:p>
            <w:pPr>
              <w:spacing w:after="0"/>
              <w:rPr>
                <w:sz w:val="1"/>
                <w:szCs w:val="1"/>
                <w:color w:val="auto"/>
              </w:rPr>
            </w:pPr>
          </w:p>
        </w:tc>
      </w:tr>
    </w:tbl>
    <w:p>
      <w:pPr>
        <w:sectPr>
          <w:pgSz w:w="11900" w:h="16838" w:orient="portrait"/>
          <w:cols w:equalWidth="0" w:num="1">
            <w:col w:w="11400"/>
          </w:cols>
          <w:pgMar w:left="240" w:top="118" w:right="259" w:bottom="0" w:gutter="0" w:footer="0" w:header="0"/>
        </w:sectPr>
      </w:pPr>
    </w:p>
    <w:bookmarkStart w:id="10" w:name="page11"/>
    <w:bookmarkEnd w:id="10"/>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37"/>
        </w:trPr>
        <w:tc>
          <w:tcPr>
            <w:tcW w:w="260" w:type="dxa"/>
            <w:vAlign w:val="bottom"/>
          </w:tcPr>
          <w:p>
            <w:pPr>
              <w:spacing w:after="0"/>
              <w:rPr>
                <w:sz w:val="20"/>
                <w:szCs w:val="20"/>
                <w:color w:val="auto"/>
              </w:rPr>
            </w:pPr>
            <w:r>
              <w:rPr>
                <w:rFonts w:ascii="Courier New" w:cs="Courier New" w:eastAsia="Courier New" w:hAnsi="Courier New"/>
                <w:sz w:val="12"/>
                <w:szCs w:val="12"/>
                <w:b w:val="1"/>
                <w:bCs w:val="1"/>
                <w:color w:val="auto"/>
              </w:rPr>
              <w:t>Net</w:t>
            </w:r>
          </w:p>
        </w:tc>
        <w:tc>
          <w:tcPr>
            <w:tcW w:w="3160" w:type="dxa"/>
            <w:vAlign w:val="bottom"/>
          </w:tcPr>
          <w:p>
            <w:pPr>
              <w:ind w:left="40"/>
              <w:spacing w:after="0"/>
              <w:rPr>
                <w:sz w:val="20"/>
                <w:szCs w:val="20"/>
                <w:color w:val="auto"/>
              </w:rPr>
            </w:pPr>
            <w:r>
              <w:rPr>
                <w:rFonts w:ascii="Courier New" w:cs="Courier New" w:eastAsia="Courier New" w:hAnsi="Courier New"/>
                <w:sz w:val="12"/>
                <w:szCs w:val="12"/>
                <w:b w:val="1"/>
                <w:bCs w:val="1"/>
                <w:color w:val="auto"/>
              </w:rPr>
              <w:t>GLA added during the period</w:t>
            </w:r>
          </w:p>
        </w:tc>
        <w:tc>
          <w:tcPr>
            <w:tcW w:w="20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587</w:t>
            </w:r>
          </w:p>
        </w:tc>
        <w:tc>
          <w:tcPr>
            <w:tcW w:w="13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(174)</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761</w:t>
            </w:r>
          </w:p>
        </w:tc>
      </w:tr>
      <w:tr>
        <w:trPr>
          <w:trHeight w:val="270"/>
        </w:trPr>
        <w:tc>
          <w:tcPr>
            <w:tcW w:w="260" w:type="dxa"/>
            <w:vAlign w:val="bottom"/>
          </w:tcPr>
          <w:p>
            <w:pPr>
              <w:spacing w:after="0"/>
              <w:rPr>
                <w:sz w:val="20"/>
                <w:szCs w:val="20"/>
                <w:color w:val="auto"/>
              </w:rPr>
            </w:pPr>
            <w:r>
              <w:rPr>
                <w:rFonts w:ascii="Courier New" w:cs="Courier New" w:eastAsia="Courier New" w:hAnsi="Courier New"/>
                <w:sz w:val="12"/>
                <w:szCs w:val="12"/>
                <w:b w:val="1"/>
                <w:bCs w:val="1"/>
                <w:color w:val="auto"/>
              </w:rPr>
              <w:t>GLA</w:t>
            </w:r>
          </w:p>
        </w:tc>
        <w:tc>
          <w:tcPr>
            <w:tcW w:w="3160" w:type="dxa"/>
            <w:vAlign w:val="bottom"/>
          </w:tcPr>
          <w:p>
            <w:pPr>
              <w:ind w:left="40"/>
              <w:spacing w:after="0"/>
              <w:rPr>
                <w:sz w:val="20"/>
                <w:szCs w:val="20"/>
                <w:color w:val="auto"/>
              </w:rPr>
            </w:pPr>
            <w:r>
              <w:rPr>
                <w:rFonts w:ascii="Courier New" w:cs="Courier New" w:eastAsia="Courier New" w:hAnsi="Courier New"/>
                <w:sz w:val="12"/>
                <w:szCs w:val="12"/>
                <w:b w:val="1"/>
                <w:bCs w:val="1"/>
                <w:color w:val="auto"/>
              </w:rPr>
              <w:t>at the end of period</w:t>
            </w:r>
          </w:p>
        </w:tc>
        <w:tc>
          <w:tcPr>
            <w:tcW w:w="20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16,901</w:t>
            </w:r>
          </w:p>
        </w:tc>
        <w:tc>
          <w:tcPr>
            <w:tcW w:w="13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16,901</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17,075</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(1)  Includes Lakeland Factory Outlet Mall and Factory Stores of America; Lake George, Iowa and Hempstead.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Comparison of the three months ended March 31, 2005 with the three months ended March 31, 2004.</w:t>
      </w:r>
    </w:p>
    <w:p>
      <w:pPr>
        <w:spacing w:after="0" w:line="20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Net Income available to common unitholders was $38.6 million, an increase of $8.0 million, or 26.2%, from $30.6 million in 2004. The increase resulted from the acquisition and expansion of wholly-owned centers in 2004 and higher rents from releasing and renewals. These increases to income were offset by higher operating and maintenance, depreciation and amortization as well as interest expense due to the growth of the portfolio.</w:t>
      </w:r>
    </w:p>
    <w:p>
      <w:pPr>
        <w:spacing w:after="0" w:line="185" w:lineRule="exact"/>
        <w:rPr>
          <w:sz w:val="20"/>
          <w:szCs w:val="20"/>
          <w:color w:val="auto"/>
        </w:rPr>
      </w:pPr>
    </w:p>
    <w:p>
      <w:pPr>
        <w:ind w:right="200"/>
        <w:spacing w:after="0" w:line="328" w:lineRule="auto"/>
        <w:rPr>
          <w:sz w:val="20"/>
          <w:szCs w:val="20"/>
          <w:color w:val="auto"/>
        </w:rPr>
      </w:pPr>
      <w:r>
        <w:rPr>
          <w:rFonts w:ascii="Arial" w:cs="Arial" w:eastAsia="Arial" w:hAnsi="Arial"/>
          <w:sz w:val="19"/>
          <w:szCs w:val="19"/>
          <w:color w:val="auto"/>
        </w:rPr>
        <w:t>Base rentals improved to $71.3 million, an increase of $5.9 million, or 9.0% in 2005 from $65.4 million in 2004, primarily due to the acquisition of one center, higher average rents on releasing and renewals and the expansion of a center in late 2004.</w:t>
      </w:r>
    </w:p>
    <w:p>
      <w:pPr>
        <w:spacing w:after="0" w:line="105"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Percentage rents rose $0.5 million, or 10.3%, to $5.3 million in 2005 from $4.8 million in 2004, primarily from improved tenant sales.</w:t>
      </w:r>
    </w:p>
    <w:p>
      <w:pPr>
        <w:spacing w:after="0" w:line="173"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Expense reimbursements, representing contractual recoveries from tenants of certain common area maintenance, operating, real estate tax and promotional and management expenses, increased $1.6 million, or 8.0% to $22.3 million in 2005 from $20.7 million in 2004, due to the recovery of operating and maintenance costs from increased GLA. The average recovery of reimbursable expenses for the Domestic Outlets was 90% in 2005 and 87% in 2004. The average recovery of reimbursable expenses for the Other Retail centers improved to 38% in 2005, compared with 32% in the previous year.</w:t>
      </w:r>
    </w:p>
    <w:p>
      <w:pPr>
        <w:spacing w:after="0" w:line="148" w:lineRule="exact"/>
        <w:rPr>
          <w:sz w:val="20"/>
          <w:szCs w:val="20"/>
          <w:color w:val="auto"/>
        </w:rPr>
      </w:pPr>
    </w:p>
    <w:p>
      <w:pPr>
        <w:ind w:right="440"/>
        <w:spacing w:after="0" w:line="274" w:lineRule="auto"/>
        <w:rPr>
          <w:sz w:val="20"/>
          <w:szCs w:val="20"/>
          <w:color w:val="auto"/>
        </w:rPr>
      </w:pPr>
      <w:r>
        <w:rPr>
          <w:rFonts w:ascii="Arial" w:cs="Arial" w:eastAsia="Arial" w:hAnsi="Arial"/>
          <w:sz w:val="21"/>
          <w:szCs w:val="21"/>
          <w:color w:val="auto"/>
        </w:rPr>
        <w:t>Other income increased $2.0 million or 103.5% to $3.9 million in 2005, from $1.9 million in 2004. The increase was primarily driven by improved ancillary operating income, interest income and a sale of a non-core property in 2005.</w:t>
      </w:r>
    </w:p>
    <w:p>
      <w:pPr>
        <w:spacing w:after="0" w:line="151" w:lineRule="exact"/>
        <w:rPr>
          <w:sz w:val="20"/>
          <w:szCs w:val="20"/>
          <w:color w:val="auto"/>
        </w:rPr>
      </w:pPr>
    </w:p>
    <w:p>
      <w:pPr>
        <w:ind w:right="800"/>
        <w:spacing w:after="0" w:line="251" w:lineRule="auto"/>
        <w:rPr>
          <w:sz w:val="20"/>
          <w:szCs w:val="20"/>
          <w:color w:val="auto"/>
        </w:rPr>
      </w:pPr>
      <w:r>
        <w:rPr>
          <w:rFonts w:ascii="Arial" w:cs="Arial" w:eastAsia="Arial" w:hAnsi="Arial"/>
          <w:sz w:val="22"/>
          <w:szCs w:val="22"/>
          <w:color w:val="auto"/>
        </w:rPr>
        <w:t>Operating and maintenance expenses increased $1.0 million, or 4.3%, to $26.0 million in 2005 from $25.0 million in 2004 primarily due to increased property taxes and promotional expenses.</w:t>
      </w:r>
    </w:p>
    <w:p>
      <w:pPr>
        <w:spacing w:after="0" w:line="173" w:lineRule="exact"/>
        <w:rPr>
          <w:sz w:val="20"/>
          <w:szCs w:val="20"/>
          <w:color w:val="auto"/>
        </w:rPr>
      </w:pPr>
    </w:p>
    <w:p>
      <w:pPr>
        <w:ind w:right="260"/>
        <w:spacing w:after="0" w:line="274" w:lineRule="auto"/>
        <w:rPr>
          <w:sz w:val="20"/>
          <w:szCs w:val="20"/>
          <w:color w:val="auto"/>
        </w:rPr>
      </w:pPr>
      <w:r>
        <w:rPr>
          <w:rFonts w:ascii="Arial" w:cs="Arial" w:eastAsia="Arial" w:hAnsi="Arial"/>
          <w:sz w:val="21"/>
          <w:szCs w:val="21"/>
          <w:color w:val="auto"/>
        </w:rPr>
        <w:t>Depreciation and amortization expense was up $1.3 million, or 7.3%, to $19.0 million in 2005 from $17.7 million in 2004 due to increased depreciation from the acquisition of one center and the expansion of one Premium Outlet center.</w:t>
      </w:r>
    </w:p>
    <w:p>
      <w:pPr>
        <w:spacing w:after="0" w:line="151"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General and administrative expense decreased $0.7 million, or 18.1%, to $2.9 million in 2005 from $3.6 million in 2004, primarily due to lower public company and professional costs.</w:t>
      </w:r>
    </w:p>
    <w:p>
      <w:pPr>
        <w:spacing w:after="0" w:line="173"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Other expenses decreased $0.8 million, or 34.7%, to $1.6 million in 2005 from $2.4 million in 2004 due to impairment losses on two non-core centers sold in 2004.</w:t>
      </w:r>
    </w:p>
    <w:p>
      <w:pPr>
        <w:spacing w:after="0" w:line="173" w:lineRule="exact"/>
        <w:rPr>
          <w:sz w:val="20"/>
          <w:szCs w:val="20"/>
          <w:color w:val="auto"/>
        </w:rPr>
      </w:pPr>
    </w:p>
    <w:p>
      <w:pPr>
        <w:jc w:val="both"/>
        <w:ind w:right="180"/>
        <w:spacing w:after="0" w:line="258" w:lineRule="auto"/>
        <w:rPr>
          <w:sz w:val="20"/>
          <w:szCs w:val="20"/>
          <w:color w:val="auto"/>
        </w:rPr>
      </w:pPr>
      <w:r>
        <w:rPr>
          <w:rFonts w:ascii="Arial" w:cs="Arial" w:eastAsia="Arial" w:hAnsi="Arial"/>
          <w:sz w:val="21"/>
          <w:szCs w:val="21"/>
          <w:color w:val="auto"/>
        </w:rPr>
        <w:t>Income from unconsolidated investments was up $1.0 million, or 20.3%, to $6.0 million in 2005 from $5.0 million in 2004 due to the opening of Chicago Premium Outlets in May 2004 as well as the openings of Tosu Premium Outlets in March 2004 and Toki Premium Outlets in March 2005, offset by a pad sale in 2004 at Chicago Premium Outlets.</w:t>
      </w:r>
    </w:p>
    <w:p>
      <w:pPr>
        <w:spacing w:after="0" w:line="167"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Interest expense increased $2.1 million, or 11.5%, to $20.8 million in 2005, from $18.7 million in 2004 due to higher debt that financed acquisitions and development.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color w:val="auto"/>
        </w:rPr>
        <w:t>The OP believes it has adequate financial resources to fund operating expenses, distributions, and planned development, construction and acquisition activities over the short term, which is less than 12 months and the long term, which is 12 months or more. Operating cash flow for the year ended December 31, 2004 of $182.2 million is expected to increase in 2005 with scheduled new openings of approximately 730,000 square feet of GLA as well as a full year of operations from the development, acquisition and expansion of five joint venture centers and two wholly-owned centers, which contributed 900,000 square feet of GLA during 2004. As of March 31, 2005, the OP has a commitment of $4.8 million for active domestic development projects. The OP has adequate funding sources to complete these projects from available cash, loans from Simon and secured construction financing. In conjunction with the Simon/Chelsea merger, the OP has access to capital funding through Simon's $2.0 billion credit facility.</w:t>
      </w:r>
    </w:p>
    <w:p>
      <w:pPr>
        <w:spacing w:after="0" w:line="158"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Operating cash flow is expected to provide sufficient funds for distributions in accordance with the Company's REIT federal income tax requirements. In addition, the OP anticipates retaining sufficient operating cash to fund re-tenanting and lease renewal, tenant improvement costs, as well as capital expenditures to maintain the quality of its centers and partially fund development projects.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On March 31, 2005, the OP's wholly-owned equity investee in Chelsea Japan repaid and extinguished its 4 billion yen credit facility, which was scheduled to expire on April 1, 2005 through borrowings from Simon. The OP's wholly-owned equity investee entered a 4 billion yen credit facility with Simon which will be funded through Simon's yen denominated facility, expiring January 2008. Interest is currently at yen LIBOR plus 0.55% per annum, but the interest rate may adjust depending on Simon's credit rating.</w:t>
      </w:r>
    </w:p>
    <w:p>
      <w:pPr>
        <w:sectPr>
          <w:pgSz w:w="11900" w:h="16838" w:orient="portrait"/>
          <w:cols w:equalWidth="0" w:num="1">
            <w:col w:w="11400"/>
          </w:cols>
          <w:pgMar w:left="240" w:top="134" w:right="259" w:bottom="0" w:gutter="0" w:footer="0" w:header="0"/>
        </w:sectPr>
      </w:pPr>
    </w:p>
    <w:bookmarkStart w:id="11" w:name="page12"/>
    <w:bookmarkEnd w:id="11"/>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 summary of the maturity of the OP's contractual debt (at par) as of March 31, 2005, is as follows (in thousands):</w:t>
      </w:r>
    </w:p>
    <w:p>
      <w:pPr>
        <w:spacing w:after="0" w:line="356" w:lineRule="exact"/>
        <w:rPr>
          <w:sz w:val="20"/>
          <w:szCs w:val="20"/>
          <w:color w:val="auto"/>
        </w:rPr>
      </w:pPr>
    </w:p>
    <w:tbl>
      <w:tblPr>
        <w:tblLayout w:type="fixed"/>
        <w:tblInd w:w="160" w:type="dxa"/>
        <w:tblCellMar>
          <w:top w:w="0" w:type="dxa"/>
          <w:left w:w="0" w:type="dxa"/>
          <w:bottom w:w="0" w:type="dxa"/>
          <w:right w:w="0" w:type="dxa"/>
        </w:tblCellMar>
      </w:tblPr>
      <w:tr>
        <w:trPr>
          <w:trHeight w:val="136"/>
        </w:trPr>
        <w:tc>
          <w:tcPr>
            <w:tcW w:w="2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More</w:t>
            </w:r>
          </w:p>
        </w:tc>
      </w:tr>
      <w:tr>
        <w:trPr>
          <w:trHeight w:val="135"/>
        </w:trPr>
        <w:tc>
          <w:tcPr>
            <w:tcW w:w="2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34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Less than</w:t>
            </w:r>
          </w:p>
        </w:tc>
        <w:tc>
          <w:tcPr>
            <w:tcW w:w="1160" w:type="dxa"/>
            <w:vAlign w:val="bottom"/>
          </w:tcPr>
          <w:p>
            <w:pPr>
              <w:jc w:val="right"/>
              <w:ind w:right="179"/>
              <w:spacing w:after="0"/>
              <w:rPr>
                <w:sz w:val="20"/>
                <w:szCs w:val="20"/>
                <w:color w:val="auto"/>
              </w:rPr>
            </w:pPr>
            <w:r>
              <w:rPr>
                <w:rFonts w:ascii="Courier New" w:cs="Courier New" w:eastAsia="Courier New" w:hAnsi="Courier New"/>
                <w:sz w:val="12"/>
                <w:szCs w:val="12"/>
                <w:b w:val="1"/>
                <w:bCs w:val="1"/>
                <w:color w:val="auto"/>
              </w:rPr>
              <w:t>2 to 3</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4 to 5</w:t>
            </w:r>
          </w:p>
        </w:tc>
        <w:tc>
          <w:tcPr>
            <w:tcW w:w="8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than</w:t>
            </w:r>
          </w:p>
        </w:tc>
      </w:tr>
      <w:tr>
        <w:trPr>
          <w:trHeight w:val="135"/>
        </w:trPr>
        <w:tc>
          <w:tcPr>
            <w:tcW w:w="2260" w:type="dxa"/>
            <w:vAlign w:val="bottom"/>
          </w:tcPr>
          <w:p>
            <w:pPr>
              <w:spacing w:after="0"/>
              <w:rPr>
                <w:sz w:val="11"/>
                <w:szCs w:val="11"/>
                <w:color w:val="auto"/>
              </w:rPr>
            </w:pPr>
          </w:p>
        </w:tc>
        <w:tc>
          <w:tcPr>
            <w:tcW w:w="1460" w:type="dxa"/>
            <w:vAlign w:val="bottom"/>
          </w:tcPr>
          <w:p>
            <w:pPr>
              <w:jc w:val="right"/>
              <w:ind w:right="319"/>
              <w:spacing w:after="0"/>
              <w:rPr>
                <w:sz w:val="20"/>
                <w:szCs w:val="20"/>
                <w:color w:val="auto"/>
              </w:rPr>
            </w:pPr>
            <w:r>
              <w:rPr>
                <w:rFonts w:ascii="Courier New" w:cs="Courier New" w:eastAsia="Courier New" w:hAnsi="Courier New"/>
                <w:sz w:val="12"/>
                <w:szCs w:val="12"/>
                <w:b w:val="1"/>
                <w:bCs w:val="1"/>
                <w:color w:val="auto"/>
              </w:rPr>
              <w:t>Total</w:t>
            </w:r>
          </w:p>
        </w:tc>
        <w:tc>
          <w:tcPr>
            <w:tcW w:w="134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1 Year</w:t>
            </w:r>
          </w:p>
        </w:tc>
        <w:tc>
          <w:tcPr>
            <w:tcW w:w="1160" w:type="dxa"/>
            <w:vAlign w:val="bottom"/>
          </w:tcPr>
          <w:p>
            <w:pPr>
              <w:jc w:val="right"/>
              <w:ind w:right="179"/>
              <w:spacing w:after="0"/>
              <w:rPr>
                <w:sz w:val="20"/>
                <w:szCs w:val="20"/>
                <w:color w:val="auto"/>
              </w:rPr>
            </w:pPr>
            <w:r>
              <w:rPr>
                <w:rFonts w:ascii="Courier New" w:cs="Courier New" w:eastAsia="Courier New" w:hAnsi="Courier New"/>
                <w:sz w:val="12"/>
                <w:szCs w:val="12"/>
                <w:b w:val="1"/>
                <w:bCs w:val="1"/>
                <w:color w:val="auto"/>
              </w:rPr>
              <w:t>Years</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Years</w:t>
            </w:r>
          </w:p>
        </w:tc>
        <w:tc>
          <w:tcPr>
            <w:tcW w:w="8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5 Years</w:t>
            </w:r>
          </w:p>
        </w:tc>
      </w:tr>
      <w:tr>
        <w:trPr>
          <w:trHeight w:val="135"/>
        </w:trPr>
        <w:tc>
          <w:tcPr>
            <w:tcW w:w="2260" w:type="dxa"/>
            <w:vAlign w:val="bottom"/>
          </w:tcPr>
          <w:p>
            <w:pPr>
              <w:spacing w:after="0"/>
              <w:rPr>
                <w:sz w:val="11"/>
                <w:szCs w:val="11"/>
                <w:color w:val="auto"/>
              </w:rPr>
            </w:pP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134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r>
      <w:tr>
        <w:trPr>
          <w:trHeight w:val="135"/>
        </w:trPr>
        <w:tc>
          <w:tcPr>
            <w:tcW w:w="2260" w:type="dxa"/>
            <w:vAlign w:val="bottom"/>
          </w:tcPr>
          <w:p>
            <w:pPr>
              <w:spacing w:after="0"/>
              <w:rPr>
                <w:sz w:val="20"/>
                <w:szCs w:val="20"/>
                <w:color w:val="auto"/>
              </w:rPr>
            </w:pPr>
            <w:r>
              <w:rPr>
                <w:rFonts w:ascii="Courier New" w:cs="Courier New" w:eastAsia="Courier New" w:hAnsi="Courier New"/>
                <w:sz w:val="12"/>
                <w:szCs w:val="12"/>
                <w:color w:val="auto"/>
              </w:rPr>
              <w:t>Unsecured bank debt</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$ 60,225</w:t>
            </w:r>
          </w:p>
        </w:tc>
        <w:tc>
          <w:tcPr>
            <w:tcW w:w="13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$ 1,800</w:t>
            </w:r>
          </w:p>
        </w:tc>
        <w:tc>
          <w:tcPr>
            <w:tcW w:w="11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$ 3,600</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$ 3,600</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  51,225</w:t>
            </w:r>
          </w:p>
        </w:tc>
      </w:tr>
      <w:tr>
        <w:trPr>
          <w:trHeight w:val="135"/>
        </w:trPr>
        <w:tc>
          <w:tcPr>
            <w:tcW w:w="2260" w:type="dxa"/>
            <w:vAlign w:val="bottom"/>
          </w:tcPr>
          <w:p>
            <w:pPr>
              <w:spacing w:after="0"/>
              <w:rPr>
                <w:sz w:val="20"/>
                <w:szCs w:val="20"/>
                <w:color w:val="auto"/>
              </w:rPr>
            </w:pPr>
            <w:r>
              <w:rPr>
                <w:rFonts w:ascii="Courier New" w:cs="Courier New" w:eastAsia="Courier New" w:hAnsi="Courier New"/>
                <w:sz w:val="12"/>
                <w:szCs w:val="12"/>
                <w:color w:val="auto"/>
              </w:rPr>
              <w:t>Notes payable-related party</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318,098</w:t>
            </w:r>
          </w:p>
        </w:tc>
        <w:tc>
          <w:tcPr>
            <w:tcW w:w="13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300,830</w:t>
            </w:r>
          </w:p>
        </w:tc>
        <w:tc>
          <w:tcPr>
            <w:tcW w:w="11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17,268</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260" w:type="dxa"/>
            <w:vAlign w:val="bottom"/>
          </w:tcPr>
          <w:p>
            <w:pPr>
              <w:spacing w:after="0"/>
              <w:rPr>
                <w:sz w:val="20"/>
                <w:szCs w:val="20"/>
                <w:color w:val="auto"/>
              </w:rPr>
            </w:pPr>
            <w:r>
              <w:rPr>
                <w:rFonts w:ascii="Courier New" w:cs="Courier New" w:eastAsia="Courier New" w:hAnsi="Courier New"/>
                <w:sz w:val="12"/>
                <w:szCs w:val="12"/>
                <w:color w:val="auto"/>
              </w:rPr>
              <w:t>Unsecured notes</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725,000</w:t>
            </w:r>
          </w:p>
        </w:tc>
        <w:tc>
          <w:tcPr>
            <w:tcW w:w="13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50,000</w:t>
            </w:r>
          </w:p>
        </w:tc>
        <w:tc>
          <w:tcPr>
            <w:tcW w:w="11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125,000</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150,000</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400,000</w:t>
            </w:r>
          </w:p>
        </w:tc>
      </w:tr>
      <w:tr>
        <w:trPr>
          <w:trHeight w:val="135"/>
        </w:trPr>
        <w:tc>
          <w:tcPr>
            <w:tcW w:w="2260" w:type="dxa"/>
            <w:vAlign w:val="bottom"/>
          </w:tcPr>
          <w:p>
            <w:pPr>
              <w:spacing w:after="0"/>
              <w:rPr>
                <w:sz w:val="20"/>
                <w:szCs w:val="20"/>
                <w:color w:val="auto"/>
              </w:rPr>
            </w:pPr>
            <w:r>
              <w:rPr>
                <w:rFonts w:ascii="Courier New" w:cs="Courier New" w:eastAsia="Courier New" w:hAnsi="Courier New"/>
                <w:sz w:val="12"/>
                <w:szCs w:val="12"/>
                <w:color w:val="auto"/>
              </w:rPr>
              <w:t>Mortgage debt</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305,201</w:t>
            </w:r>
          </w:p>
        </w:tc>
        <w:tc>
          <w:tcPr>
            <w:tcW w:w="13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7,596</w:t>
            </w:r>
          </w:p>
        </w:tc>
        <w:tc>
          <w:tcPr>
            <w:tcW w:w="11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16,921</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159,706</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120,978</w:t>
            </w:r>
          </w:p>
        </w:tc>
      </w:tr>
      <w:tr>
        <w:trPr>
          <w:trHeight w:val="135"/>
        </w:trPr>
        <w:tc>
          <w:tcPr>
            <w:tcW w:w="2260" w:type="dxa"/>
            <w:vAlign w:val="bottom"/>
          </w:tcPr>
          <w:p>
            <w:pPr>
              <w:spacing w:after="0"/>
              <w:rPr>
                <w:sz w:val="11"/>
                <w:szCs w:val="11"/>
                <w:color w:val="auto"/>
              </w:rPr>
            </w:pP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260" w:type="dxa"/>
            <w:vAlign w:val="bottom"/>
          </w:tcPr>
          <w:p>
            <w:pPr>
              <w:ind w:left="220"/>
              <w:spacing w:after="0"/>
              <w:rPr>
                <w:sz w:val="20"/>
                <w:szCs w:val="20"/>
                <w:color w:val="auto"/>
              </w:rPr>
            </w:pPr>
            <w:r>
              <w:rPr>
                <w:rFonts w:ascii="Courier New" w:cs="Courier New" w:eastAsia="Courier New" w:hAnsi="Courier New"/>
                <w:sz w:val="12"/>
                <w:szCs w:val="12"/>
                <w:b w:val="1"/>
                <w:bCs w:val="1"/>
                <w:color w:val="auto"/>
              </w:rPr>
              <w:t>Total debt</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1,408,524</w:t>
            </w:r>
          </w:p>
        </w:tc>
        <w:tc>
          <w:tcPr>
            <w:tcW w:w="134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360,226</w:t>
            </w:r>
          </w:p>
        </w:tc>
        <w:tc>
          <w:tcPr>
            <w:tcW w:w="1160" w:type="dxa"/>
            <w:vAlign w:val="bottom"/>
          </w:tcPr>
          <w:p>
            <w:pPr>
              <w:jc w:val="right"/>
              <w:ind w:right="179"/>
              <w:spacing w:after="0"/>
              <w:rPr>
                <w:sz w:val="20"/>
                <w:szCs w:val="20"/>
                <w:color w:val="auto"/>
              </w:rPr>
            </w:pPr>
            <w:r>
              <w:rPr>
                <w:rFonts w:ascii="Courier New" w:cs="Courier New" w:eastAsia="Courier New" w:hAnsi="Courier New"/>
                <w:sz w:val="12"/>
                <w:szCs w:val="12"/>
                <w:b w:val="1"/>
                <w:bCs w:val="1"/>
                <w:color w:val="auto"/>
              </w:rPr>
              <w:t>162,789</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313,306</w:t>
            </w:r>
          </w:p>
        </w:tc>
        <w:tc>
          <w:tcPr>
            <w:tcW w:w="8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572,203</w:t>
            </w:r>
          </w:p>
        </w:tc>
      </w:tr>
      <w:tr>
        <w:trPr>
          <w:trHeight w:val="135"/>
        </w:trPr>
        <w:tc>
          <w:tcPr>
            <w:tcW w:w="2260" w:type="dxa"/>
            <w:vAlign w:val="bottom"/>
          </w:tcPr>
          <w:p>
            <w:pPr>
              <w:spacing w:after="0"/>
              <w:rPr>
                <w:sz w:val="20"/>
                <w:szCs w:val="20"/>
                <w:color w:val="auto"/>
              </w:rPr>
            </w:pPr>
            <w:r>
              <w:rPr>
                <w:rFonts w:ascii="Courier New" w:cs="Courier New" w:eastAsia="Courier New" w:hAnsi="Courier New"/>
                <w:sz w:val="12"/>
                <w:szCs w:val="12"/>
                <w:color w:val="auto"/>
              </w:rPr>
              <w:t>Ground and operating leases</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73,377</w:t>
            </w:r>
          </w:p>
        </w:tc>
        <w:tc>
          <w:tcPr>
            <w:tcW w:w="13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2,978</w:t>
            </w:r>
          </w:p>
        </w:tc>
        <w:tc>
          <w:tcPr>
            <w:tcW w:w="11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6,368</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6,253</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57,778</w:t>
            </w:r>
          </w:p>
        </w:tc>
      </w:tr>
      <w:tr>
        <w:trPr>
          <w:trHeight w:val="135"/>
        </w:trPr>
        <w:tc>
          <w:tcPr>
            <w:tcW w:w="2260" w:type="dxa"/>
            <w:vAlign w:val="bottom"/>
          </w:tcPr>
          <w:p>
            <w:pPr>
              <w:spacing w:after="0"/>
              <w:rPr>
                <w:sz w:val="20"/>
                <w:szCs w:val="20"/>
                <w:color w:val="auto"/>
              </w:rPr>
            </w:pPr>
            <w:r>
              <w:rPr>
                <w:rFonts w:ascii="Courier New" w:cs="Courier New" w:eastAsia="Courier New" w:hAnsi="Courier New"/>
                <w:sz w:val="12"/>
                <w:szCs w:val="12"/>
                <w:color w:val="auto"/>
              </w:rPr>
              <w:t>Real estate commitments</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4,849</w:t>
            </w:r>
          </w:p>
        </w:tc>
        <w:tc>
          <w:tcPr>
            <w:tcW w:w="13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4,849</w:t>
            </w:r>
          </w:p>
        </w:tc>
        <w:tc>
          <w:tcPr>
            <w:tcW w:w="11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260" w:type="dxa"/>
            <w:vAlign w:val="bottom"/>
          </w:tcPr>
          <w:p>
            <w:pPr>
              <w:spacing w:after="0"/>
              <w:rPr>
                <w:sz w:val="20"/>
                <w:szCs w:val="20"/>
                <w:color w:val="auto"/>
              </w:rPr>
            </w:pPr>
            <w:r>
              <w:rPr>
                <w:rFonts w:ascii="Courier New" w:cs="Courier New" w:eastAsia="Courier New" w:hAnsi="Courier New"/>
                <w:sz w:val="12"/>
                <w:szCs w:val="12"/>
                <w:color w:val="auto"/>
              </w:rPr>
              <w:t>Deferred compensation</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21,104</w:t>
            </w:r>
          </w:p>
        </w:tc>
        <w:tc>
          <w:tcPr>
            <w:tcW w:w="13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21,104</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260" w:type="dxa"/>
            <w:vAlign w:val="bottom"/>
          </w:tcPr>
          <w:p>
            <w:pPr>
              <w:spacing w:after="0"/>
              <w:rPr>
                <w:sz w:val="11"/>
                <w:szCs w:val="11"/>
                <w:color w:val="auto"/>
              </w:rPr>
            </w:pP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260" w:type="dxa"/>
            <w:vAlign w:val="bottom"/>
          </w:tcPr>
          <w:p>
            <w:pPr>
              <w:spacing w:after="0"/>
              <w:rPr>
                <w:sz w:val="20"/>
                <w:szCs w:val="20"/>
                <w:color w:val="auto"/>
              </w:rPr>
            </w:pPr>
            <w:r>
              <w:rPr>
                <w:rFonts w:ascii="Courier New" w:cs="Courier New" w:eastAsia="Courier New" w:hAnsi="Courier New"/>
                <w:sz w:val="12"/>
                <w:szCs w:val="12"/>
                <w:b w:val="1"/>
                <w:bCs w:val="1"/>
                <w:color w:val="auto"/>
              </w:rPr>
              <w:t>Total Obligations</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$1,507,854</w:t>
            </w:r>
          </w:p>
        </w:tc>
        <w:tc>
          <w:tcPr>
            <w:tcW w:w="134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$368,053</w:t>
            </w:r>
          </w:p>
        </w:tc>
        <w:tc>
          <w:tcPr>
            <w:tcW w:w="1160" w:type="dxa"/>
            <w:vAlign w:val="bottom"/>
          </w:tcPr>
          <w:p>
            <w:pPr>
              <w:jc w:val="right"/>
              <w:ind w:right="179"/>
              <w:spacing w:after="0"/>
              <w:rPr>
                <w:sz w:val="20"/>
                <w:szCs w:val="20"/>
                <w:color w:val="auto"/>
              </w:rPr>
            </w:pPr>
            <w:r>
              <w:rPr>
                <w:rFonts w:ascii="Courier New" w:cs="Courier New" w:eastAsia="Courier New" w:hAnsi="Courier New"/>
                <w:sz w:val="12"/>
                <w:szCs w:val="12"/>
                <w:b w:val="1"/>
                <w:bCs w:val="1"/>
                <w:color w:val="auto"/>
              </w:rPr>
              <w:t>$190,261</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$319,559</w:t>
            </w:r>
          </w:p>
        </w:tc>
        <w:tc>
          <w:tcPr>
            <w:tcW w:w="8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$629,981</w:t>
            </w:r>
          </w:p>
        </w:tc>
      </w:tr>
      <w:tr>
        <w:trPr>
          <w:trHeight w:val="137"/>
        </w:trPr>
        <w:tc>
          <w:tcPr>
            <w:tcW w:w="2260" w:type="dxa"/>
            <w:vAlign w:val="bottom"/>
          </w:tcPr>
          <w:p>
            <w:pPr>
              <w:spacing w:after="0"/>
              <w:rPr>
                <w:sz w:val="11"/>
                <w:szCs w:val="11"/>
                <w:color w:val="auto"/>
              </w:rPr>
            </w:pP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202" w:lineRule="exact"/>
        <w:rPr>
          <w:sz w:val="20"/>
          <w:szCs w:val="20"/>
          <w:color w:val="auto"/>
        </w:rPr>
      </w:pPr>
    </w:p>
    <w:p>
      <w:pPr>
        <w:ind w:right="80"/>
        <w:spacing w:after="0" w:line="248" w:lineRule="auto"/>
        <w:rPr>
          <w:sz w:val="20"/>
          <w:szCs w:val="20"/>
          <w:color w:val="auto"/>
        </w:rPr>
      </w:pPr>
      <w:r>
        <w:rPr>
          <w:rFonts w:ascii="Arial" w:cs="Arial" w:eastAsia="Arial" w:hAnsi="Arial"/>
          <w:sz w:val="21"/>
          <w:szCs w:val="21"/>
          <w:color w:val="auto"/>
        </w:rPr>
        <w:t>At March 31, 2005, construction underway for domestic development includes the first-phase of Seattle Premium Outlets, a 381,000 square-foot center located near Seattle, Washington, scheduled to open in May 2005 and expansions at four other centers totaling 171,000 square-feet scheduled to open in 2005. Other projects in various stages of development are expected to open in 2006 and beyond. All current development activity is fully financed either through project specific secured construction financing, the peso denominated line of credit, available cash or through the Simon credit facility. The OP will seek to obtain permanent financing once the projects are completed and income has been stabilized.</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 (continued)</w:t>
      </w:r>
    </w:p>
    <w:p>
      <w:pPr>
        <w:spacing w:after="0" w:line="212"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The OP has an agreement with Mitsubishi Estate Co., Ltd. and Sojitz Corporation (formerly known as Nissho Iwai Corporation) to jointly develop, own and operate Premium Outlet centers in Japan under the joint venture Chelsea Japan. Borrowings related to Chelsea Japan for which the OP has provided guarantees for repayment of debt as of March 31, 2005, are as follows: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00" w:type="dxa"/>
            <w:vAlign w:val="bottom"/>
          </w:tcPr>
          <w:p>
            <w:pPr>
              <w:spacing w:after="0"/>
              <w:rPr>
                <w:sz w:val="11"/>
                <w:szCs w:val="11"/>
                <w:color w:val="auto"/>
              </w:rPr>
            </w:pPr>
          </w:p>
        </w:tc>
        <w:tc>
          <w:tcPr>
            <w:tcW w:w="980" w:type="dxa"/>
            <w:vAlign w:val="bottom"/>
          </w:tcPr>
          <w:p>
            <w:pPr>
              <w:ind w:left="580"/>
              <w:spacing w:after="0"/>
              <w:rPr>
                <w:sz w:val="20"/>
                <w:szCs w:val="20"/>
                <w:color w:val="auto"/>
              </w:rPr>
            </w:pPr>
            <w:r>
              <w:rPr>
                <w:rFonts w:ascii="Courier New" w:cs="Courier New" w:eastAsia="Courier New" w:hAnsi="Courier New"/>
                <w:sz w:val="12"/>
                <w:szCs w:val="12"/>
                <w:b w:val="1"/>
                <w:bCs w:val="1"/>
                <w:color w:val="auto"/>
              </w:rPr>
              <w:t>Total</w:t>
            </w:r>
          </w:p>
        </w:tc>
        <w:tc>
          <w:tcPr>
            <w:tcW w:w="1360" w:type="dxa"/>
            <w:vAlign w:val="bottom"/>
            <w:gridSpan w:val="2"/>
          </w:tcPr>
          <w:p>
            <w:pPr>
              <w:ind w:left="40"/>
              <w:spacing w:after="0"/>
              <w:rPr>
                <w:sz w:val="20"/>
                <w:szCs w:val="20"/>
                <w:color w:val="auto"/>
              </w:rPr>
            </w:pPr>
            <w:r>
              <w:rPr>
                <w:rFonts w:ascii="Courier New" w:cs="Courier New" w:eastAsia="Courier New" w:hAnsi="Courier New"/>
                <w:sz w:val="12"/>
                <w:szCs w:val="12"/>
                <w:b w:val="1"/>
                <w:bCs w:val="1"/>
                <w:color w:val="auto"/>
              </w:rPr>
              <w:t>Facility</w:t>
            </w:r>
          </w:p>
        </w:tc>
        <w:tc>
          <w:tcPr>
            <w:tcW w:w="2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60" w:type="dxa"/>
            <w:vAlign w:val="bottom"/>
            <w:gridSpan w:val="2"/>
          </w:tcPr>
          <w:p>
            <w:pPr>
              <w:jc w:val="right"/>
              <w:ind w:right="519"/>
              <w:spacing w:after="0"/>
              <w:rPr>
                <w:sz w:val="20"/>
                <w:szCs w:val="20"/>
                <w:color w:val="auto"/>
              </w:rPr>
            </w:pPr>
            <w:r>
              <w:rPr>
                <w:rFonts w:ascii="Courier New" w:cs="Courier New" w:eastAsia="Courier New" w:hAnsi="Courier New"/>
                <w:sz w:val="12"/>
                <w:szCs w:val="12"/>
                <w:b w:val="1"/>
                <w:bCs w:val="1"/>
                <w:color w:val="auto"/>
              </w:rPr>
              <w:t>Outstanding</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1280" w:type="dxa"/>
            <w:vAlign w:val="bottom"/>
            <w:gridSpan w:val="2"/>
          </w:tcPr>
          <w:p>
            <w:pPr>
              <w:ind w:left="160"/>
              <w:spacing w:after="0"/>
              <w:rPr>
                <w:sz w:val="20"/>
                <w:szCs w:val="20"/>
                <w:color w:val="auto"/>
              </w:rPr>
            </w:pPr>
            <w:r>
              <w:rPr>
                <w:rFonts w:ascii="Courier New" w:cs="Courier New" w:eastAsia="Courier New" w:hAnsi="Courier New"/>
                <w:sz w:val="7"/>
                <w:szCs w:val="7"/>
                <w:b w:val="1"/>
                <w:bCs w:val="1"/>
                <w:color w:val="auto"/>
                <w:w w:val="74"/>
              </w:rPr>
              <w:t>-----------------------------------</w:t>
            </w: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960" w:type="dxa"/>
            <w:vAlign w:val="bottom"/>
            <w:gridSpan w:val="2"/>
          </w:tcPr>
          <w:p>
            <w:pPr>
              <w:ind w:left="80"/>
              <w:spacing w:after="0"/>
              <w:rPr>
                <w:sz w:val="20"/>
                <w:szCs w:val="20"/>
                <w:color w:val="auto"/>
              </w:rPr>
            </w:pPr>
            <w:r>
              <w:rPr>
                <w:rFonts w:ascii="Courier New" w:cs="Courier New" w:eastAsia="Courier New" w:hAnsi="Courier New"/>
                <w:sz w:val="2"/>
                <w:szCs w:val="2"/>
                <w:b w:val="1"/>
                <w:bCs w:val="1"/>
                <w:color w:val="auto"/>
              </w:rPr>
              <w:t>---------------------------------------------------------------------</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Due</w:t>
            </w:r>
          </w:p>
        </w:tc>
        <w:tc>
          <w:tcPr>
            <w:tcW w:w="7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Interest</w:t>
            </w:r>
          </w:p>
        </w:tc>
      </w:tr>
      <w:tr>
        <w:trPr>
          <w:trHeight w:val="135"/>
        </w:trPr>
        <w:tc>
          <w:tcPr>
            <w:tcW w:w="1280" w:type="dxa"/>
            <w:vAlign w:val="bottom"/>
            <w:gridSpan w:val="2"/>
          </w:tcPr>
          <w:p>
            <w:pPr>
              <w:ind w:left="160"/>
              <w:spacing w:after="0"/>
              <w:rPr>
                <w:sz w:val="20"/>
                <w:szCs w:val="20"/>
                <w:color w:val="auto"/>
              </w:rPr>
            </w:pPr>
            <w:r>
              <w:rPr>
                <w:rFonts w:ascii="Courier New" w:cs="Courier New" w:eastAsia="Courier New" w:hAnsi="Courier New"/>
                <w:sz w:val="12"/>
                <w:szCs w:val="12"/>
                <w:b w:val="1"/>
                <w:bCs w:val="1"/>
                <w:color w:val="auto"/>
              </w:rPr>
              <w:t>Yen</w:t>
            </w:r>
          </w:p>
        </w:tc>
        <w:tc>
          <w:tcPr>
            <w:tcW w:w="440" w:type="dxa"/>
            <w:vAlign w:val="bottom"/>
          </w:tcPr>
          <w:p>
            <w:pPr>
              <w:ind w:left="120"/>
              <w:spacing w:after="0"/>
              <w:rPr>
                <w:sz w:val="20"/>
                <w:szCs w:val="20"/>
                <w:color w:val="auto"/>
              </w:rPr>
            </w:pPr>
            <w:r>
              <w:rPr>
                <w:rFonts w:ascii="Courier New" w:cs="Courier New" w:eastAsia="Courier New" w:hAnsi="Courier New"/>
                <w:sz w:val="12"/>
                <w:szCs w:val="12"/>
                <w:b w:val="1"/>
                <w:bCs w:val="1"/>
                <w:color w:val="auto"/>
              </w:rPr>
              <w:t>US $</w:t>
            </w:r>
          </w:p>
        </w:tc>
        <w:tc>
          <w:tcPr>
            <w:tcW w:w="920" w:type="dxa"/>
            <w:vAlign w:val="bottom"/>
          </w:tcPr>
          <w:p>
            <w:pPr>
              <w:ind w:left="40"/>
              <w:spacing w:after="0"/>
              <w:rPr>
                <w:sz w:val="20"/>
                <w:szCs w:val="20"/>
                <w:color w:val="auto"/>
              </w:rPr>
            </w:pPr>
            <w:r>
              <w:rPr>
                <w:rFonts w:ascii="Courier New" w:cs="Courier New" w:eastAsia="Courier New" w:hAnsi="Courier New"/>
                <w:sz w:val="12"/>
                <w:szCs w:val="12"/>
                <w:b w:val="1"/>
                <w:bCs w:val="1"/>
                <w:color w:val="auto"/>
              </w:rPr>
              <w:t>Equivalent</w:t>
            </w:r>
          </w:p>
        </w:tc>
        <w:tc>
          <w:tcPr>
            <w:tcW w:w="2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36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Courier New" w:cs="Courier New" w:eastAsia="Courier New" w:hAnsi="Courier New"/>
                <w:sz w:val="12"/>
                <w:szCs w:val="12"/>
                <w:b w:val="1"/>
                <w:bCs w:val="1"/>
                <w:color w:val="auto"/>
              </w:rPr>
              <w:t>Yen</w:t>
            </w: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rPr>
              <w:t>US $ Equivalent</w:t>
            </w:r>
          </w:p>
        </w:tc>
        <w:tc>
          <w:tcPr>
            <w:tcW w:w="5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US $</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Guarantee</w:t>
            </w:r>
          </w:p>
        </w:tc>
        <w:tc>
          <w:tcPr>
            <w:tcW w:w="62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Date</w:t>
            </w:r>
          </w:p>
        </w:tc>
        <w:tc>
          <w:tcPr>
            <w:tcW w:w="7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Rate</w:t>
            </w:r>
          </w:p>
        </w:tc>
      </w:tr>
      <w:tr>
        <w:trPr>
          <w:trHeight w:val="135"/>
        </w:trPr>
        <w:tc>
          <w:tcPr>
            <w:tcW w:w="128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w:t>
            </w:r>
          </w:p>
        </w:tc>
        <w:tc>
          <w:tcPr>
            <w:tcW w:w="136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46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00" w:type="dxa"/>
            <w:vAlign w:val="bottom"/>
          </w:tcPr>
          <w:p>
            <w:pPr>
              <w:jc w:val="right"/>
              <w:ind w:right="24"/>
              <w:spacing w:after="0"/>
              <w:rPr>
                <w:sz w:val="20"/>
                <w:szCs w:val="20"/>
                <w:color w:val="auto"/>
              </w:rPr>
            </w:pPr>
            <w:r>
              <w:rPr>
                <w:rFonts w:ascii="Courier New" w:cs="Courier New" w:eastAsia="Courier New" w:hAnsi="Courier New"/>
                <w:sz w:val="12"/>
                <w:szCs w:val="12"/>
                <w:color w:val="auto"/>
                <w:w w:val="92"/>
              </w:rPr>
              <w:t>3.8</w:t>
            </w:r>
          </w:p>
        </w:tc>
        <w:tc>
          <w:tcPr>
            <w:tcW w:w="980" w:type="dxa"/>
            <w:vAlign w:val="bottom"/>
          </w:tcPr>
          <w:p>
            <w:pPr>
              <w:spacing w:after="0"/>
              <w:rPr>
                <w:sz w:val="20"/>
                <w:szCs w:val="20"/>
                <w:color w:val="auto"/>
              </w:rPr>
            </w:pPr>
            <w:r>
              <w:rPr>
                <w:rFonts w:ascii="Courier New" w:cs="Courier New" w:eastAsia="Courier New" w:hAnsi="Courier New"/>
                <w:sz w:val="12"/>
                <w:szCs w:val="12"/>
                <w:color w:val="auto"/>
              </w:rPr>
              <w:t>billion (1)</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$35.5</w:t>
            </w:r>
          </w:p>
        </w:tc>
        <w:tc>
          <w:tcPr>
            <w:tcW w:w="92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ind w:left="80"/>
              <w:spacing w:after="0"/>
              <w:rPr>
                <w:sz w:val="20"/>
                <w:szCs w:val="20"/>
                <w:color w:val="auto"/>
              </w:rPr>
            </w:pPr>
            <w:r>
              <w:rPr>
                <w:rFonts w:ascii="Courier New" w:cs="Courier New" w:eastAsia="Courier New" w:hAnsi="Courier New"/>
                <w:sz w:val="12"/>
                <w:szCs w:val="12"/>
                <w:color w:val="auto"/>
              </w:rPr>
              <w:t>2.9</w:t>
            </w:r>
          </w:p>
        </w:tc>
        <w:tc>
          <w:tcPr>
            <w:tcW w:w="600" w:type="dxa"/>
            <w:vAlign w:val="bottom"/>
          </w:tcPr>
          <w:p>
            <w:pPr>
              <w:spacing w:after="0"/>
              <w:rPr>
                <w:sz w:val="20"/>
                <w:szCs w:val="20"/>
                <w:color w:val="auto"/>
              </w:rPr>
            </w:pPr>
            <w:r>
              <w:rPr>
                <w:rFonts w:ascii="Courier New" w:cs="Courier New" w:eastAsia="Courier New" w:hAnsi="Courier New"/>
                <w:sz w:val="12"/>
                <w:szCs w:val="12"/>
                <w:color w:val="auto"/>
              </w:rPr>
              <w:t>billion</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$27.3</w:t>
            </w:r>
          </w:p>
        </w:tc>
        <w:tc>
          <w:tcPr>
            <w:tcW w:w="6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million</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$10.9</w:t>
            </w:r>
          </w:p>
        </w:tc>
        <w:tc>
          <w:tcPr>
            <w:tcW w:w="9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million</w:t>
            </w:r>
          </w:p>
        </w:tc>
        <w:tc>
          <w:tcPr>
            <w:tcW w:w="620" w:type="dxa"/>
            <w:vAlign w:val="bottom"/>
          </w:tcPr>
          <w:p>
            <w:pPr>
              <w:ind w:left="160"/>
              <w:spacing w:after="0"/>
              <w:rPr>
                <w:sz w:val="20"/>
                <w:szCs w:val="20"/>
                <w:color w:val="auto"/>
              </w:rPr>
            </w:pPr>
            <w:r>
              <w:rPr>
                <w:rFonts w:ascii="Courier New" w:cs="Courier New" w:eastAsia="Courier New" w:hAnsi="Courier New"/>
                <w:sz w:val="12"/>
                <w:szCs w:val="12"/>
                <w:color w:val="auto"/>
              </w:rPr>
              <w:t>2015</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2.06%</w:t>
            </w:r>
          </w:p>
        </w:tc>
      </w:tr>
      <w:tr>
        <w:trPr>
          <w:trHeight w:val="137"/>
        </w:trPr>
        <w:tc>
          <w:tcPr>
            <w:tcW w:w="300" w:type="dxa"/>
            <w:vAlign w:val="bottom"/>
          </w:tcPr>
          <w:p>
            <w:pPr>
              <w:jc w:val="right"/>
              <w:ind w:right="24"/>
              <w:spacing w:after="0"/>
              <w:rPr>
                <w:sz w:val="20"/>
                <w:szCs w:val="20"/>
                <w:color w:val="auto"/>
              </w:rPr>
            </w:pPr>
            <w:r>
              <w:rPr>
                <w:rFonts w:ascii="Courier New" w:cs="Courier New" w:eastAsia="Courier New" w:hAnsi="Courier New"/>
                <w:sz w:val="12"/>
                <w:szCs w:val="12"/>
                <w:color w:val="auto"/>
                <w:w w:val="92"/>
              </w:rPr>
              <w:t>0.6</w:t>
            </w:r>
          </w:p>
        </w:tc>
        <w:tc>
          <w:tcPr>
            <w:tcW w:w="980" w:type="dxa"/>
            <w:vAlign w:val="bottom"/>
          </w:tcPr>
          <w:p>
            <w:pPr>
              <w:spacing w:after="0"/>
              <w:rPr>
                <w:sz w:val="20"/>
                <w:szCs w:val="20"/>
                <w:color w:val="auto"/>
              </w:rPr>
            </w:pPr>
            <w:r>
              <w:rPr>
                <w:rFonts w:ascii="Courier New" w:cs="Courier New" w:eastAsia="Courier New" w:hAnsi="Courier New"/>
                <w:sz w:val="12"/>
                <w:szCs w:val="12"/>
                <w:color w:val="auto"/>
              </w:rPr>
              <w:t>billion (1)</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5.6</w:t>
            </w:r>
          </w:p>
        </w:tc>
        <w:tc>
          <w:tcPr>
            <w:tcW w:w="92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ind w:left="80"/>
              <w:spacing w:after="0"/>
              <w:rPr>
                <w:sz w:val="20"/>
                <w:szCs w:val="20"/>
                <w:color w:val="auto"/>
              </w:rPr>
            </w:pPr>
            <w:r>
              <w:rPr>
                <w:rFonts w:ascii="Courier New" w:cs="Courier New" w:eastAsia="Courier New" w:hAnsi="Courier New"/>
                <w:sz w:val="12"/>
                <w:szCs w:val="12"/>
                <w:color w:val="auto"/>
              </w:rPr>
              <w:t>0.4</w:t>
            </w:r>
          </w:p>
        </w:tc>
        <w:tc>
          <w:tcPr>
            <w:tcW w:w="600" w:type="dxa"/>
            <w:vAlign w:val="bottom"/>
          </w:tcPr>
          <w:p>
            <w:pPr>
              <w:spacing w:after="0"/>
              <w:rPr>
                <w:sz w:val="20"/>
                <w:szCs w:val="20"/>
                <w:color w:val="auto"/>
              </w:rPr>
            </w:pPr>
            <w:r>
              <w:rPr>
                <w:rFonts w:ascii="Courier New" w:cs="Courier New" w:eastAsia="Courier New" w:hAnsi="Courier New"/>
                <w:sz w:val="12"/>
                <w:szCs w:val="12"/>
                <w:color w:val="auto"/>
              </w:rPr>
              <w:t>billion</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4.1</w:t>
            </w:r>
          </w:p>
        </w:tc>
        <w:tc>
          <w:tcPr>
            <w:tcW w:w="6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million</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1.6</w:t>
            </w:r>
          </w:p>
        </w:tc>
        <w:tc>
          <w:tcPr>
            <w:tcW w:w="9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million</w:t>
            </w:r>
          </w:p>
        </w:tc>
        <w:tc>
          <w:tcPr>
            <w:tcW w:w="620" w:type="dxa"/>
            <w:vAlign w:val="bottom"/>
          </w:tcPr>
          <w:p>
            <w:pPr>
              <w:ind w:left="160"/>
              <w:spacing w:after="0"/>
              <w:rPr>
                <w:sz w:val="20"/>
                <w:szCs w:val="20"/>
                <w:color w:val="auto"/>
              </w:rPr>
            </w:pPr>
            <w:r>
              <w:rPr>
                <w:rFonts w:ascii="Courier New" w:cs="Courier New" w:eastAsia="Courier New" w:hAnsi="Courier New"/>
                <w:sz w:val="12"/>
                <w:szCs w:val="12"/>
                <w:color w:val="auto"/>
              </w:rPr>
              <w:t>2012</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1.50%</w:t>
            </w:r>
          </w:p>
        </w:tc>
      </w:tr>
    </w:tbl>
    <w:p>
      <w:pPr>
        <w:spacing w:after="0" w:line="200" w:lineRule="exact"/>
        <w:rPr>
          <w:sz w:val="20"/>
          <w:szCs w:val="20"/>
          <w:color w:val="auto"/>
        </w:rPr>
      </w:pPr>
    </w:p>
    <w:p>
      <w:pPr>
        <w:spacing w:after="0" w:line="202"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The OP has a 50/50 joint venture agreement with Sordo Madaleno y Asociados and affiliates to jointly develop, own and operate Premium Outlet centers in Mexico. In December 2004, the first development project opened, the 232,000 square-foot first phase of Premium Outlets Punta Norte, located near Mexico City. The OP contributed its 50% share or $15.8 million of development costs through March 31, 2005.</w:t>
      </w:r>
    </w:p>
    <w:p>
      <w:pPr>
        <w:spacing w:after="0" w:line="185"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In January 2004, a wholly-owned subsidiary of the OP entered into a 180.0 million peso revolving facility to provide funding for Mexican development projects. In February 2005, the OP repaid the entire outstanding balance. The peso facility had a three-year term; interest was payable on the drawn funds at The Interbank Interest Equilibrium Rate ("TIIE") plus 0. 825% plus the bank's cost of funds spread limited to 20% of the TIIE and has an annual facility fee of 0.15% per annum on the unused balance. The TIIE rate spread ranged from 0.725% to 1.37% depending on the OP's Senior Debt rating.</w:t>
      </w:r>
    </w:p>
    <w:p>
      <w:pPr>
        <w:spacing w:after="0" w:line="148"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The OP has minority interests ranging from 3% to 8% in several outlet centers and outlet development projects in Europe operated by Value Retail. The OP's total investment in Europe as of March 31, 2005, was $3.6 million. The OP has also provided $12.7 million in limited debt service guarantees under a standby facility for loans arranged by Value Retail to construct outlet centers in Europe. The standby facility for new guarantees expired in November 2001; outstanding guarantees expire no more than five years after project completion. The existing outstanding guarantees expire in September 2005.</w:t>
      </w:r>
    </w:p>
    <w:p>
      <w:pPr>
        <w:spacing w:after="0" w:line="148"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To achieve planned growth and favorable returns in both the short and long-term, the OP's financing strategy is to maintain a strong, flexible financial position by: (i) maintaining a conservative level of leverage; (ii) extending and sequencing debt maturity dates; (iii) managing exposure to floating interest rates; and (iv) maintaining liquidity. As a result of the OP's merger with Simon, the OP has access to capital under Simon's $2.0 billion credit facility.</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Net cash provided by operating activities was $57.1 million and $44.1 million for the three months ended March 31, 2005, and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2004, respectively. The increase in operating cash flow was generated from the growth of the OP's GLA. Net cash used in investing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activities decreased to $22.2 million in 2005 from $22.7 in 2004, primarily due to net proceeds generated from a sale of a non-core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property offset by an increase in rental property additions. Net cash used in financing activities increased to $43.8 million from</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$23.6 million for the three months ended March 31, 2005, and 2004, respectively. The increase was primarily due to the timing of</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partner distribution payments.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212"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In January 2003, the FASB issued Interpretation No. 46, "Consolidation of Variable Interest Entities" ("FIN 46"). FIN 46 clarifies the application of existing accounting pronouncements to certain entities in which equity investors do not have the characteristics of a controlling financial interest or do not have sufficient equity at risk for the entity to finance its activities without additional subordinated financial support from other parties. The provisions of FIN 46 will be immediately effective for all variable interests in variable interest entities created after January 31, 2003. The OP has not created any variable interest entities subsequent to</w:t>
      </w:r>
    </w:p>
    <w:p>
      <w:pPr>
        <w:sectPr>
          <w:pgSz w:w="11900" w:h="16863" w:orient="portrait"/>
          <w:cols w:equalWidth="0" w:num="1">
            <w:col w:w="11380"/>
          </w:cols>
          <w:pgMar w:left="240" w:top="118" w:right="279" w:bottom="0" w:gutter="0" w:footer="0" w:header="0"/>
        </w:sectPr>
      </w:pPr>
    </w:p>
    <w:bookmarkStart w:id="12" w:name="page13"/>
    <w:bookmarkEnd w:id="12"/>
    <w:p>
      <w:pPr>
        <w:ind w:right="80"/>
        <w:spacing w:after="0" w:line="258" w:lineRule="auto"/>
        <w:rPr>
          <w:sz w:val="20"/>
          <w:szCs w:val="20"/>
          <w:color w:val="auto"/>
        </w:rPr>
      </w:pPr>
      <w:r>
        <w:rPr>
          <w:rFonts w:ascii="Arial" w:cs="Arial" w:eastAsia="Arial" w:hAnsi="Arial"/>
          <w:sz w:val="21"/>
          <w:szCs w:val="21"/>
          <w:color w:val="auto"/>
        </w:rPr>
        <w:t>January 31, 2003. In December 2003, FASB issued a revision to Interpretation 46 ("FIN 46-R") to clarify the provisions of FIN 46. The application of FIN 46-R is effective for public companies, other than small business issuers, after March 15, 2004. The application of FIN 46-R did not have a significant impact on the OP's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Economic Conditions</w:t>
      </w:r>
    </w:p>
    <w:p>
      <w:pPr>
        <w:spacing w:after="0" w:line="212"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color w:val="auto"/>
        </w:rPr>
        <w:t>Substantially all leases contain provisions, including escalations of base rents and percentage rentals calculated on gross sales, to mitigate the impact of inflation. Inflationary increases in common area maintenance and real estate tax expenses are substantially reimbursed by tenants. Virtually all tenants have met their lease obligations and the OP continues to attract and retain quality tenants. The OP intends to reduce operating and leasing risks by continually improving its tenant mix, rental rates and lease terms and by pursuing contracts with creditworthy upscale and national brand-name tenants.</w:t>
      </w:r>
    </w:p>
    <w:p>
      <w:pPr>
        <w:spacing w:after="0" w:line="142"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The OP is exposed to changes in interest rates primarily from its floating rate debt arrangements. In December 2000, the OP implemented a policy to protect against interest rate and foreign exchange risk. The OP's primary strategy is to protect against these risks by using derivative transactions as appropriate to minimize the variability that floating rate interest and foreign currency fluctuations could have on cash flow. In December 2000, a wholly owned subsidiary of the OP entered into an interest rate swap agreement effective January 2, 2001 with a financial institution for a notional amount of $69.3 million amortizing to $64.1 million to hedge against unfavorable fluctuations in the LIBOR rates of one of its term loans. The hedge effectively produces a fixed rate of 7.2625% on the notional amount until January 1, 2006.</w:t>
      </w:r>
    </w:p>
    <w:p>
      <w:pPr>
        <w:spacing w:after="0" w:line="178" w:lineRule="exact"/>
        <w:rPr>
          <w:sz w:val="20"/>
          <w:szCs w:val="20"/>
          <w:color w:val="auto"/>
        </w:rPr>
      </w:pPr>
    </w:p>
    <w:p>
      <w:pPr>
        <w:ind w:right="220"/>
        <w:spacing w:after="0" w:line="274" w:lineRule="auto"/>
        <w:rPr>
          <w:sz w:val="20"/>
          <w:szCs w:val="20"/>
          <w:color w:val="auto"/>
        </w:rPr>
      </w:pPr>
      <w:r>
        <w:rPr>
          <w:rFonts w:ascii="Arial" w:cs="Arial" w:eastAsia="Arial" w:hAnsi="Arial"/>
          <w:sz w:val="21"/>
          <w:szCs w:val="21"/>
          <w:color w:val="auto"/>
        </w:rPr>
        <w:t>At March 31, 2005, a hypothetical 100 basis point adverse move (increase) in US Treasury and LIBOR rates applied to unhedged debt would adversely affect the OP's annual interest cost by approximately $3.2 million annually.</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Following is a summary of the OP's debt obligations at March 31, 2005 (in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0" w:type="dxa"/>
            <w:vAlign w:val="bottom"/>
            <w:gridSpan w:val="3"/>
          </w:tcPr>
          <w:p>
            <w:pPr>
              <w:jc w:val="right"/>
              <w:ind w:right="859"/>
              <w:spacing w:after="0"/>
              <w:rPr>
                <w:sz w:val="20"/>
                <w:szCs w:val="20"/>
                <w:color w:val="auto"/>
              </w:rPr>
            </w:pPr>
            <w:r>
              <w:rPr>
                <w:rFonts w:ascii="Courier New" w:cs="Courier New" w:eastAsia="Courier New" w:hAnsi="Courier New"/>
                <w:sz w:val="12"/>
                <w:szCs w:val="12"/>
                <w:b w:val="1"/>
                <w:bCs w:val="1"/>
                <w:color w:val="auto"/>
              </w:rPr>
              <w:t>Expected Maturity Date</w:t>
            </w: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1720" w:type="dxa"/>
            <w:vAlign w:val="bottom"/>
          </w:tcPr>
          <w:p>
            <w:pPr>
              <w:spacing w:after="0"/>
              <w:rPr>
                <w:sz w:val="11"/>
                <w:szCs w:val="11"/>
                <w:color w:val="auto"/>
              </w:rPr>
            </w:pPr>
          </w:p>
        </w:tc>
        <w:tc>
          <w:tcPr>
            <w:tcW w:w="7480" w:type="dxa"/>
            <w:vAlign w:val="bottom"/>
            <w:gridSpan w:val="8"/>
          </w:tcPr>
          <w:p>
            <w:pPr>
              <w:jc w:val="right"/>
              <w:spacing w:after="0"/>
              <w:rPr>
                <w:sz w:val="20"/>
                <w:szCs w:val="20"/>
                <w:color w:val="auto"/>
              </w:rPr>
            </w:pPr>
            <w:r>
              <w:rPr>
                <w:rFonts w:ascii="Courier New" w:cs="Courier New" w:eastAsia="Courier New" w:hAnsi="Courier New"/>
                <w:sz w:val="12"/>
                <w:szCs w:val="12"/>
                <w:b w:val="1"/>
                <w:bCs w:val="1"/>
                <w:color w:val="auto"/>
              </w:rPr>
              <w:t>-----------------------------------------------------------------------------------------------------</w:t>
            </w:r>
          </w:p>
        </w:tc>
      </w:tr>
      <w:tr>
        <w:trPr>
          <w:trHeight w:val="135"/>
        </w:trPr>
        <w:tc>
          <w:tcPr>
            <w:tcW w:w="1720" w:type="dxa"/>
            <w:vAlign w:val="bottom"/>
          </w:tcPr>
          <w:p>
            <w:pPr>
              <w:spacing w:after="0"/>
              <w:rPr>
                <w:sz w:val="11"/>
                <w:szCs w:val="11"/>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2"/>
                <w:szCs w:val="12"/>
                <w:b w:val="1"/>
                <w:bCs w:val="1"/>
                <w:color w:val="auto"/>
              </w:rPr>
              <w:t>2005</w:t>
            </w:r>
          </w:p>
        </w:tc>
        <w:tc>
          <w:tcPr>
            <w:tcW w:w="72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2006</w:t>
            </w:r>
          </w:p>
        </w:tc>
        <w:tc>
          <w:tcPr>
            <w:tcW w:w="88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2007</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2008</w:t>
            </w:r>
          </w:p>
        </w:tc>
        <w:tc>
          <w:tcPr>
            <w:tcW w:w="920" w:type="dxa"/>
            <w:vAlign w:val="bottom"/>
          </w:tcPr>
          <w:p>
            <w:pPr>
              <w:jc w:val="right"/>
              <w:ind w:right="139"/>
              <w:spacing w:after="0"/>
              <w:rPr>
                <w:sz w:val="20"/>
                <w:szCs w:val="20"/>
                <w:color w:val="auto"/>
              </w:rPr>
            </w:pPr>
            <w:r>
              <w:rPr>
                <w:rFonts w:ascii="Courier New" w:cs="Courier New" w:eastAsia="Courier New" w:hAnsi="Courier New"/>
                <w:sz w:val="12"/>
                <w:szCs w:val="12"/>
                <w:b w:val="1"/>
                <w:bCs w:val="1"/>
                <w:color w:val="auto"/>
              </w:rPr>
              <w:t>2009</w:t>
            </w:r>
          </w:p>
        </w:tc>
        <w:tc>
          <w:tcPr>
            <w:tcW w:w="124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Thereafter</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Total</w:t>
            </w:r>
          </w:p>
        </w:tc>
        <w:tc>
          <w:tcPr>
            <w:tcW w:w="1020" w:type="dxa"/>
            <w:vAlign w:val="bottom"/>
          </w:tcPr>
          <w:p>
            <w:pPr>
              <w:ind w:left="60"/>
              <w:spacing w:after="0"/>
              <w:rPr>
                <w:sz w:val="20"/>
                <w:szCs w:val="20"/>
                <w:color w:val="auto"/>
              </w:rPr>
            </w:pPr>
            <w:r>
              <w:rPr>
                <w:rFonts w:ascii="Courier New" w:cs="Courier New" w:eastAsia="Courier New" w:hAnsi="Courier New"/>
                <w:sz w:val="12"/>
                <w:szCs w:val="12"/>
                <w:b w:val="1"/>
                <w:bCs w:val="1"/>
                <w:color w:val="auto"/>
              </w:rPr>
              <w:t>Fair Value</w:t>
            </w:r>
          </w:p>
        </w:tc>
      </w:tr>
      <w:tr>
        <w:trPr>
          <w:trHeight w:val="135"/>
        </w:trPr>
        <w:tc>
          <w:tcPr>
            <w:tcW w:w="1720" w:type="dxa"/>
            <w:vAlign w:val="bottom"/>
          </w:tcPr>
          <w:p>
            <w:pPr>
              <w:spacing w:after="0"/>
              <w:rPr>
                <w:sz w:val="11"/>
                <w:szCs w:val="11"/>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2"/>
                <w:szCs w:val="12"/>
                <w:b w:val="1"/>
                <w:bCs w:val="1"/>
                <w:color w:val="auto"/>
              </w:rPr>
              <w:t>---------</w:t>
            </w:r>
          </w:p>
        </w:tc>
        <w:tc>
          <w:tcPr>
            <w:tcW w:w="72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w:t>
            </w:r>
          </w:p>
        </w:tc>
        <w:tc>
          <w:tcPr>
            <w:tcW w:w="88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2"/>
                <w:szCs w:val="12"/>
                <w:b w:val="1"/>
                <w:bCs w:val="1"/>
                <w:color w:val="auto"/>
              </w:rPr>
              <w:t>----------</w:t>
            </w:r>
          </w:p>
        </w:tc>
        <w:tc>
          <w:tcPr>
            <w:tcW w:w="124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1020" w:type="dxa"/>
            <w:vAlign w:val="bottom"/>
          </w:tcPr>
          <w:p>
            <w:pPr>
              <w:ind w:left="60"/>
              <w:spacing w:after="0"/>
              <w:rPr>
                <w:sz w:val="20"/>
                <w:szCs w:val="20"/>
                <w:color w:val="auto"/>
              </w:rPr>
            </w:pPr>
            <w:r>
              <w:rPr>
                <w:rFonts w:ascii="Courier New" w:cs="Courier New" w:eastAsia="Courier New" w:hAnsi="Courier New"/>
                <w:sz w:val="12"/>
                <w:szCs w:val="12"/>
                <w:b w:val="1"/>
                <w:bCs w:val="1"/>
                <w:color w:val="auto"/>
              </w:rPr>
              <w:t>------------</w:t>
            </w:r>
          </w:p>
        </w:tc>
      </w:tr>
      <w:tr>
        <w:trPr>
          <w:trHeight w:val="135"/>
        </w:trPr>
        <w:tc>
          <w:tcPr>
            <w:tcW w:w="1720" w:type="dxa"/>
            <w:vAlign w:val="bottom"/>
          </w:tcPr>
          <w:p>
            <w:pPr>
              <w:spacing w:after="0"/>
              <w:rPr>
                <w:sz w:val="20"/>
                <w:szCs w:val="20"/>
                <w:color w:val="auto"/>
              </w:rPr>
            </w:pPr>
            <w:r>
              <w:rPr>
                <w:rFonts w:ascii="Courier New" w:cs="Courier New" w:eastAsia="Courier New" w:hAnsi="Courier New"/>
                <w:sz w:val="12"/>
                <w:szCs w:val="12"/>
                <w:color w:val="auto"/>
              </w:rPr>
              <w:t>Fixed Rate Debt:</w:t>
            </w:r>
          </w:p>
        </w:tc>
        <w:tc>
          <w:tcPr>
            <w:tcW w:w="8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$49,990</w:t>
            </w:r>
          </w:p>
        </w:tc>
        <w:tc>
          <w:tcPr>
            <w:tcW w:w="7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$124,914</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$160,669</w:t>
            </w:r>
          </w:p>
        </w:tc>
        <w:tc>
          <w:tcPr>
            <w:tcW w:w="9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$149,587</w:t>
            </w:r>
          </w:p>
        </w:tc>
        <w:tc>
          <w:tcPr>
            <w:tcW w:w="12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$551,056</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$1,036,216</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$1,092,350</w:t>
            </w:r>
          </w:p>
        </w:tc>
      </w:tr>
      <w:tr>
        <w:trPr>
          <w:trHeight w:val="135"/>
        </w:trPr>
        <w:tc>
          <w:tcPr>
            <w:tcW w:w="1720" w:type="dxa"/>
            <w:vAlign w:val="bottom"/>
          </w:tcPr>
          <w:p>
            <w:pPr>
              <w:spacing w:after="0"/>
              <w:rPr>
                <w:sz w:val="20"/>
                <w:szCs w:val="20"/>
                <w:color w:val="auto"/>
              </w:rPr>
            </w:pPr>
            <w:r>
              <w:rPr>
                <w:rFonts w:ascii="Courier New" w:cs="Courier New" w:eastAsia="Courier New" w:hAnsi="Courier New"/>
                <w:sz w:val="12"/>
                <w:szCs w:val="12"/>
                <w:color w:val="auto"/>
              </w:rPr>
              <w:t>Average Interest Rate:</w:t>
            </w:r>
          </w:p>
        </w:tc>
        <w:tc>
          <w:tcPr>
            <w:tcW w:w="8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8.38%</w:t>
            </w:r>
          </w:p>
        </w:tc>
        <w:tc>
          <w:tcPr>
            <w:tcW w:w="7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7.25%</w:t>
            </w:r>
          </w:p>
        </w:tc>
        <w:tc>
          <w:tcPr>
            <w:tcW w:w="8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6.99%</w:t>
            </w:r>
          </w:p>
        </w:tc>
        <w:tc>
          <w:tcPr>
            <w:tcW w:w="9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5.21%</w:t>
            </w:r>
          </w:p>
        </w:tc>
        <w:tc>
          <w:tcPr>
            <w:tcW w:w="12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7.05%</w:t>
            </w:r>
          </w:p>
        </w:tc>
        <w:tc>
          <w:tcPr>
            <w:tcW w:w="9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6.86%</w:t>
            </w:r>
          </w:p>
        </w:tc>
        <w:tc>
          <w:tcPr>
            <w:tcW w:w="1020" w:type="dxa"/>
            <w:vAlign w:val="bottom"/>
          </w:tcPr>
          <w:p>
            <w:pPr>
              <w:spacing w:after="0"/>
              <w:rPr>
                <w:sz w:val="11"/>
                <w:szCs w:val="11"/>
                <w:color w:val="auto"/>
              </w:rPr>
            </w:pPr>
          </w:p>
        </w:tc>
      </w:tr>
      <w:tr>
        <w:trPr>
          <w:trHeight w:val="135"/>
        </w:trPr>
        <w:tc>
          <w:tcPr>
            <w:tcW w:w="1720" w:type="dxa"/>
            <w:vAlign w:val="bottom"/>
          </w:tcPr>
          <w:p>
            <w:pPr>
              <w:spacing w:after="0"/>
              <w:rPr>
                <w:sz w:val="20"/>
                <w:szCs w:val="20"/>
                <w:color w:val="auto"/>
              </w:rPr>
            </w:pPr>
            <w:r>
              <w:rPr>
                <w:rFonts w:ascii="Courier New" w:cs="Courier New" w:eastAsia="Courier New" w:hAnsi="Courier New"/>
                <w:sz w:val="12"/>
                <w:szCs w:val="12"/>
                <w:color w:val="auto"/>
              </w:rPr>
              <w:t>Variable Rate Debt:</w:t>
            </w:r>
          </w:p>
        </w:tc>
        <w:tc>
          <w:tcPr>
            <w:tcW w:w="8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300,830</w:t>
            </w:r>
          </w:p>
        </w:tc>
        <w:tc>
          <w:tcPr>
            <w:tcW w:w="7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17,268</w:t>
            </w:r>
          </w:p>
        </w:tc>
        <w:tc>
          <w:tcPr>
            <w:tcW w:w="9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60,225 (1)</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378,323</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378,323</w:t>
            </w:r>
          </w:p>
        </w:tc>
      </w:tr>
      <w:tr>
        <w:trPr>
          <w:trHeight w:val="137"/>
        </w:trPr>
        <w:tc>
          <w:tcPr>
            <w:tcW w:w="1720" w:type="dxa"/>
            <w:vAlign w:val="bottom"/>
          </w:tcPr>
          <w:p>
            <w:pPr>
              <w:spacing w:after="0"/>
              <w:rPr>
                <w:sz w:val="20"/>
                <w:szCs w:val="20"/>
                <w:color w:val="auto"/>
              </w:rPr>
            </w:pPr>
            <w:r>
              <w:rPr>
                <w:rFonts w:ascii="Courier New" w:cs="Courier New" w:eastAsia="Courier New" w:hAnsi="Courier New"/>
                <w:sz w:val="12"/>
                <w:szCs w:val="12"/>
                <w:color w:val="auto"/>
              </w:rPr>
              <w:t>Average Interest Rate:</w:t>
            </w:r>
          </w:p>
        </w:tc>
        <w:tc>
          <w:tcPr>
            <w:tcW w:w="8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3.79%</w:t>
            </w:r>
          </w:p>
        </w:tc>
        <w:tc>
          <w:tcPr>
            <w:tcW w:w="7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1.31%</w:t>
            </w:r>
          </w:p>
        </w:tc>
        <w:tc>
          <w:tcPr>
            <w:tcW w:w="9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2.90%</w:t>
            </w:r>
          </w:p>
        </w:tc>
        <w:tc>
          <w:tcPr>
            <w:tcW w:w="9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3.54%</w:t>
            </w:r>
          </w:p>
        </w:tc>
        <w:tc>
          <w:tcPr>
            <w:tcW w:w="1020" w:type="dxa"/>
            <w:vAlign w:val="bottom"/>
          </w:tcPr>
          <w:p>
            <w:pPr>
              <w:spacing w:after="0"/>
              <w:rPr>
                <w:sz w:val="11"/>
                <w:szCs w:val="11"/>
                <w:color w:val="auto"/>
              </w:rPr>
            </w:pPr>
          </w:p>
        </w:tc>
      </w:tr>
    </w:tbl>
    <w:p>
      <w:pPr>
        <w:spacing w:after="0" w:line="361"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Includes an interest rate swap, which effectively produces a fixed rate of 7.2625% until January 1, 2006.</w:t>
      </w:r>
    </w:p>
    <w:p>
      <w:pPr>
        <w:spacing w:after="0" w:line="200" w:lineRule="exact"/>
        <w:rPr>
          <w:sz w:val="20"/>
          <w:szCs w:val="20"/>
          <w:color w:val="auto"/>
        </w:rPr>
      </w:pP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Controls and Procedures</w:t>
      </w:r>
    </w:p>
    <w:p>
      <w:pPr>
        <w:spacing w:after="0" w:line="212" w:lineRule="exact"/>
        <w:rPr>
          <w:sz w:val="20"/>
          <w:szCs w:val="20"/>
          <w:color w:val="auto"/>
        </w:rPr>
      </w:pPr>
    </w:p>
    <w:p>
      <w:pPr>
        <w:ind w:right="360"/>
        <w:spacing w:after="0" w:line="282" w:lineRule="auto"/>
        <w:rPr>
          <w:sz w:val="20"/>
          <w:szCs w:val="20"/>
          <w:color w:val="auto"/>
        </w:rPr>
      </w:pPr>
      <w:r>
        <w:rPr>
          <w:rFonts w:ascii="Arial" w:cs="Arial" w:eastAsia="Arial" w:hAnsi="Arial"/>
          <w:sz w:val="19"/>
          <w:szCs w:val="19"/>
          <w:color w:val="auto"/>
        </w:rPr>
        <w:t>Our chief executive officer and chief financial officer evaluated the effectiveness of our disclosure controls and procedures (as defined in rule 13a-14c under the Securities Exchange Act of 1934, as amended) as of March 31, 2005 and, based on that evaluation, concluded that, as of the end of the period covered by this report, we had sufficient controls and procedures for recording, processing, summarizing and reporting information that is required to be disclosed in our reports under the Securities Exchange Act of 1934, as amended, within the time periods specified in the SEC's rules and forms.</w:t>
      </w:r>
    </w:p>
    <w:p>
      <w:pPr>
        <w:spacing w:after="0" w:line="148" w:lineRule="exact"/>
        <w:rPr>
          <w:sz w:val="20"/>
          <w:szCs w:val="20"/>
          <w:color w:val="auto"/>
        </w:rPr>
      </w:pPr>
    </w:p>
    <w:p>
      <w:pPr>
        <w:ind w:right="140"/>
        <w:spacing w:after="0" w:line="328" w:lineRule="auto"/>
        <w:rPr>
          <w:sz w:val="20"/>
          <w:szCs w:val="20"/>
          <w:color w:val="auto"/>
        </w:rPr>
      </w:pPr>
      <w:r>
        <w:rPr>
          <w:rFonts w:ascii="Arial" w:cs="Arial" w:eastAsia="Arial" w:hAnsi="Arial"/>
          <w:sz w:val="19"/>
          <w:szCs w:val="19"/>
          <w:color w:val="auto"/>
        </w:rPr>
        <w:t>There have been no changes in the internal controls over financial reporting or in other factors that have materially affected, or are reasonably likely to materially affect these internal controls over financial reporting in the first quarter of 2005.</w:t>
      </w:r>
    </w:p>
    <w:p>
      <w:pPr>
        <w:spacing w:after="0" w:line="99"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b w:val="1"/>
          <w:bCs w:val="1"/>
          <w:color w:val="auto"/>
        </w:rPr>
        <w:t>Part II.</w:t>
      </w:r>
      <w:r>
        <w:rPr>
          <w:sz w:val="20"/>
          <w:szCs w:val="20"/>
          <w:color w:val="auto"/>
        </w:rPr>
        <w:tab/>
      </w:r>
      <w:r>
        <w:rPr>
          <w:rFonts w:ascii="Arial" w:cs="Arial" w:eastAsia="Arial" w:hAnsi="Arial"/>
          <w:sz w:val="19"/>
          <w:szCs w:val="19"/>
          <w:b w:val="1"/>
          <w:bCs w:val="1"/>
          <w:color w:val="auto"/>
        </w:rPr>
        <w:t>Other Information</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Exhibits and Reports on Form 8-K</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2300" w:type="dxa"/>
            <w:vAlign w:val="bottom"/>
            <w:gridSpan w:val="2"/>
          </w:tcPr>
          <w:p>
            <w:pPr>
              <w:spacing w:after="0"/>
              <w:rPr>
                <w:sz w:val="20"/>
                <w:szCs w:val="20"/>
                <w:color w:val="auto"/>
              </w:rPr>
            </w:pPr>
            <w:r>
              <w:rPr>
                <w:rFonts w:ascii="Arial" w:cs="Arial" w:eastAsia="Arial" w:hAnsi="Arial"/>
                <w:sz w:val="22"/>
                <w:szCs w:val="22"/>
                <w:b w:val="1"/>
                <w:bCs w:val="1"/>
                <w:color w:val="auto"/>
              </w:rPr>
              <w:t>Exhibit No.</w:t>
            </w:r>
          </w:p>
        </w:tc>
        <w:tc>
          <w:tcPr>
            <w:tcW w:w="2240" w:type="dxa"/>
            <w:vAlign w:val="bottom"/>
            <w:gridSpan w:val="2"/>
          </w:tcPr>
          <w:p>
            <w:pPr>
              <w:spacing w:after="0"/>
              <w:rPr>
                <w:sz w:val="20"/>
                <w:szCs w:val="20"/>
                <w:color w:val="auto"/>
              </w:rPr>
            </w:pPr>
            <w:r>
              <w:rPr>
                <w:rFonts w:ascii="Arial" w:cs="Arial" w:eastAsia="Arial" w:hAnsi="Arial"/>
                <w:sz w:val="22"/>
                <w:szCs w:val="22"/>
                <w:b w:val="1"/>
                <w:bCs w:val="1"/>
                <w:color w:val="auto"/>
              </w:rPr>
              <w:t>Description</w:t>
            </w:r>
          </w:p>
        </w:tc>
      </w:tr>
      <w:tr>
        <w:trPr>
          <w:trHeight w:val="20"/>
        </w:trPr>
        <w:tc>
          <w:tcPr>
            <w:tcW w:w="5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85"/>
        </w:trPr>
        <w:tc>
          <w:tcPr>
            <w:tcW w:w="580" w:type="dxa"/>
            <w:vAlign w:val="bottom"/>
          </w:tcPr>
          <w:p>
            <w:pPr>
              <w:spacing w:after="0"/>
              <w:rPr>
                <w:sz w:val="20"/>
                <w:szCs w:val="20"/>
                <w:color w:val="auto"/>
              </w:rPr>
            </w:pPr>
            <w:r>
              <w:rPr>
                <w:rFonts w:ascii="Arial" w:cs="Arial" w:eastAsia="Arial" w:hAnsi="Arial"/>
                <w:sz w:val="22"/>
                <w:szCs w:val="22"/>
                <w:color w:val="auto"/>
              </w:rPr>
              <w:t>(a)</w:t>
            </w:r>
          </w:p>
        </w:tc>
        <w:tc>
          <w:tcPr>
            <w:tcW w:w="1060" w:type="dxa"/>
            <w:vAlign w:val="bottom"/>
          </w:tcPr>
          <w:p>
            <w:pPr>
              <w:spacing w:after="0"/>
              <w:rPr>
                <w:sz w:val="20"/>
                <w:szCs w:val="20"/>
                <w:color w:val="auto"/>
              </w:rPr>
            </w:pPr>
            <w:r>
              <w:rPr>
                <w:rFonts w:ascii="Arial" w:cs="Arial" w:eastAsia="Arial" w:hAnsi="Arial"/>
                <w:sz w:val="22"/>
                <w:szCs w:val="22"/>
                <w:color w:val="auto"/>
              </w:rPr>
              <w:t>31.1</w:t>
            </w:r>
          </w:p>
        </w:tc>
        <w:tc>
          <w:tcPr>
            <w:tcW w:w="124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Arial" w:cs="Arial" w:eastAsia="Arial" w:hAnsi="Arial"/>
                <w:sz w:val="22"/>
                <w:szCs w:val="22"/>
                <w:color w:val="auto"/>
                <w:w w:val="88"/>
              </w:rPr>
              <w:t>Section 302 Certifications</w:t>
            </w:r>
          </w:p>
        </w:tc>
      </w:tr>
      <w:tr>
        <w:trPr>
          <w:trHeight w:val="275"/>
        </w:trPr>
        <w:tc>
          <w:tcPr>
            <w:tcW w:w="580" w:type="dxa"/>
            <w:vAlign w:val="bottom"/>
          </w:tcPr>
          <w:p>
            <w:pPr>
              <w:spacing w:after="0"/>
              <w:rPr>
                <w:sz w:val="23"/>
                <w:szCs w:val="23"/>
                <w:color w:val="auto"/>
              </w:rPr>
            </w:pPr>
          </w:p>
        </w:tc>
        <w:tc>
          <w:tcPr>
            <w:tcW w:w="1060" w:type="dxa"/>
            <w:vAlign w:val="bottom"/>
          </w:tcPr>
          <w:p>
            <w:pPr>
              <w:spacing w:after="0"/>
              <w:rPr>
                <w:sz w:val="20"/>
                <w:szCs w:val="20"/>
                <w:color w:val="auto"/>
              </w:rPr>
            </w:pPr>
            <w:r>
              <w:rPr>
                <w:rFonts w:ascii="Arial" w:cs="Arial" w:eastAsia="Arial" w:hAnsi="Arial"/>
                <w:sz w:val="22"/>
                <w:szCs w:val="22"/>
                <w:color w:val="auto"/>
              </w:rPr>
              <w:t>31.2</w:t>
            </w:r>
          </w:p>
        </w:tc>
        <w:tc>
          <w:tcPr>
            <w:tcW w:w="1240" w:type="dxa"/>
            <w:vAlign w:val="bottom"/>
          </w:tcPr>
          <w:p>
            <w:pPr>
              <w:spacing w:after="0"/>
              <w:rPr>
                <w:sz w:val="23"/>
                <w:szCs w:val="23"/>
                <w:color w:val="auto"/>
              </w:rPr>
            </w:pPr>
          </w:p>
        </w:tc>
        <w:tc>
          <w:tcPr>
            <w:tcW w:w="2240" w:type="dxa"/>
            <w:vAlign w:val="bottom"/>
            <w:gridSpan w:val="2"/>
          </w:tcPr>
          <w:p>
            <w:pPr>
              <w:spacing w:after="0"/>
              <w:rPr>
                <w:sz w:val="20"/>
                <w:szCs w:val="20"/>
                <w:color w:val="auto"/>
              </w:rPr>
            </w:pPr>
            <w:r>
              <w:rPr>
                <w:rFonts w:ascii="Arial" w:cs="Arial" w:eastAsia="Arial" w:hAnsi="Arial"/>
                <w:sz w:val="22"/>
                <w:szCs w:val="22"/>
                <w:color w:val="auto"/>
                <w:w w:val="88"/>
              </w:rPr>
              <w:t>Section 302 Certifications</w:t>
            </w:r>
          </w:p>
        </w:tc>
      </w:tr>
      <w:tr>
        <w:trPr>
          <w:trHeight w:val="455"/>
        </w:trPr>
        <w:tc>
          <w:tcPr>
            <w:tcW w:w="58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22"/>
                <w:szCs w:val="22"/>
                <w:color w:val="auto"/>
              </w:rPr>
              <w:t>32.1</w:t>
            </w:r>
          </w:p>
        </w:tc>
        <w:tc>
          <w:tcPr>
            <w:tcW w:w="124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Arial" w:cs="Arial" w:eastAsia="Arial" w:hAnsi="Arial"/>
                <w:sz w:val="22"/>
                <w:szCs w:val="22"/>
                <w:color w:val="auto"/>
                <w:w w:val="88"/>
              </w:rPr>
              <w:t>Section 906 Certifications</w:t>
            </w:r>
          </w:p>
        </w:tc>
      </w:tr>
      <w:tr>
        <w:trPr>
          <w:trHeight w:val="275"/>
        </w:trPr>
        <w:tc>
          <w:tcPr>
            <w:tcW w:w="580" w:type="dxa"/>
            <w:vAlign w:val="bottom"/>
          </w:tcPr>
          <w:p>
            <w:pPr>
              <w:spacing w:after="0"/>
              <w:rPr>
                <w:sz w:val="23"/>
                <w:szCs w:val="23"/>
                <w:color w:val="auto"/>
              </w:rPr>
            </w:pPr>
          </w:p>
        </w:tc>
        <w:tc>
          <w:tcPr>
            <w:tcW w:w="1060" w:type="dxa"/>
            <w:vAlign w:val="bottom"/>
          </w:tcPr>
          <w:p>
            <w:pPr>
              <w:spacing w:after="0"/>
              <w:rPr>
                <w:sz w:val="20"/>
                <w:szCs w:val="20"/>
                <w:color w:val="auto"/>
              </w:rPr>
            </w:pPr>
            <w:r>
              <w:rPr>
                <w:rFonts w:ascii="Arial" w:cs="Arial" w:eastAsia="Arial" w:hAnsi="Arial"/>
                <w:sz w:val="22"/>
                <w:szCs w:val="22"/>
                <w:color w:val="auto"/>
              </w:rPr>
              <w:t>32.2</w:t>
            </w:r>
          </w:p>
        </w:tc>
        <w:tc>
          <w:tcPr>
            <w:tcW w:w="1240" w:type="dxa"/>
            <w:vAlign w:val="bottom"/>
          </w:tcPr>
          <w:p>
            <w:pPr>
              <w:spacing w:after="0"/>
              <w:rPr>
                <w:sz w:val="23"/>
                <w:szCs w:val="23"/>
                <w:color w:val="auto"/>
              </w:rPr>
            </w:pPr>
          </w:p>
        </w:tc>
        <w:tc>
          <w:tcPr>
            <w:tcW w:w="2240" w:type="dxa"/>
            <w:vAlign w:val="bottom"/>
            <w:gridSpan w:val="2"/>
          </w:tcPr>
          <w:p>
            <w:pPr>
              <w:spacing w:after="0"/>
              <w:rPr>
                <w:sz w:val="20"/>
                <w:szCs w:val="20"/>
                <w:color w:val="auto"/>
              </w:rPr>
            </w:pPr>
            <w:r>
              <w:rPr>
                <w:rFonts w:ascii="Arial" w:cs="Arial" w:eastAsia="Arial" w:hAnsi="Arial"/>
                <w:sz w:val="22"/>
                <w:szCs w:val="22"/>
                <w:color w:val="auto"/>
                <w:w w:val="88"/>
              </w:rPr>
              <w:t>Section 906 Certifications</w:t>
            </w:r>
          </w:p>
        </w:tc>
      </w:tr>
    </w:tbl>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CPG PARTNERS, L.P.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Signatures</w:t>
      </w:r>
    </w:p>
    <w:p>
      <w:pPr>
        <w:spacing w:after="0" w:line="206"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CPG PARTNERS, L.P.</w:t>
      </w:r>
    </w:p>
    <w:p>
      <w:pPr>
        <w:sectPr>
          <w:pgSz w:w="11900" w:h="16838" w:orient="portrait"/>
          <w:cols w:equalWidth="0" w:num="1">
            <w:col w:w="11420"/>
          </w:cols>
          <w:pgMar w:left="240" w:top="118" w:right="239" w:bottom="0" w:gutter="0" w:footer="0" w:header="0"/>
        </w:sectPr>
      </w:pPr>
    </w:p>
    <w:bookmarkStart w:id="13" w:name="page14"/>
    <w:bookmarkEnd w:id="13"/>
    <w:p>
      <w:pPr>
        <w:ind w:left="5720"/>
        <w:spacing w:after="0"/>
        <w:rPr>
          <w:sz w:val="20"/>
          <w:szCs w:val="20"/>
          <w:color w:val="auto"/>
        </w:rPr>
      </w:pPr>
      <w:r>
        <w:rPr>
          <w:rFonts w:ascii="Arial" w:cs="Arial" w:eastAsia="Arial" w:hAnsi="Arial"/>
          <w:sz w:val="22"/>
          <w:szCs w:val="22"/>
          <w:color w:val="auto"/>
        </w:rPr>
        <w:t>By: /s/ Michael J.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-17780</wp:posOffset>
            </wp:positionV>
            <wp:extent cx="23018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1875" cy="8890"/>
                    </a:xfrm>
                    <a:prstGeom prst="rect">
                      <a:avLst/>
                    </a:prstGeom>
                    <a:noFill/>
                  </pic:spPr>
                </pic:pic>
              </a:graphicData>
            </a:graphic>
          </wp:anchor>
        </w:drawing>
      </w:r>
    </w:p>
    <w:p>
      <w:pPr>
        <w:ind w:left="6100"/>
        <w:spacing w:after="0" w:line="238" w:lineRule="auto"/>
        <w:rPr>
          <w:sz w:val="20"/>
          <w:szCs w:val="20"/>
          <w:color w:val="auto"/>
        </w:rPr>
      </w:pPr>
      <w:r>
        <w:rPr>
          <w:rFonts w:ascii="Arial" w:cs="Arial" w:eastAsia="Arial" w:hAnsi="Arial"/>
          <w:sz w:val="22"/>
          <w:szCs w:val="22"/>
          <w:color w:val="auto"/>
        </w:rPr>
        <w:t>Michael J. Clarke</w:t>
      </w:r>
    </w:p>
    <w:p>
      <w:pPr>
        <w:jc w:val="right"/>
        <w:ind w:right="1719"/>
        <w:spacing w:after="0" w:line="230" w:lineRule="auto"/>
        <w:rPr>
          <w:sz w:val="20"/>
          <w:szCs w:val="20"/>
          <w:color w:val="auto"/>
        </w:rPr>
      </w:pPr>
      <w:r>
        <w:rPr>
          <w:rFonts w:ascii="Arial" w:cs="Arial" w:eastAsia="Arial" w:hAnsi="Arial"/>
          <w:sz w:val="22"/>
          <w:szCs w:val="22"/>
          <w:color w:val="auto"/>
        </w:rPr>
        <w:t>Executive Vice President &amp;</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Chief Financial Officer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Date: May 4, 2005</w:t>
      </w:r>
    </w:p>
    <w:p>
      <w:pPr>
        <w:sectPr>
          <w:pgSz w:w="11900" w:h="16838" w:orient="portrait"/>
          <w:cols w:equalWidth="0" w:num="1">
            <w:col w:w="10219"/>
          </w:cols>
          <w:pgMar w:left="240" w:top="604" w:right="1440" w:bottom="1440" w:gutter="0" w:footer="0" w:header="0"/>
        </w:sectPr>
      </w:pPr>
    </w:p>
    <w:bookmarkStart w:id="14" w:name="page15"/>
    <w:bookmarkEnd w:id="14"/>
    <w:p>
      <w:pPr>
        <w:jc w:val="center"/>
        <w:ind w:left="260"/>
        <w:spacing w:after="0" w:line="257" w:lineRule="auto"/>
        <w:rPr>
          <w:sz w:val="20"/>
          <w:szCs w:val="20"/>
          <w:color w:val="auto"/>
        </w:rPr>
      </w:pPr>
      <w:r>
        <w:rPr>
          <w:rFonts w:ascii="Arial" w:cs="Arial" w:eastAsia="Arial" w:hAnsi="Arial"/>
          <w:sz w:val="22"/>
          <w:szCs w:val="22"/>
          <w:b w:val="1"/>
          <w:bCs w:val="1"/>
          <w:color w:val="auto"/>
        </w:rPr>
        <w:t>Certification by the Chief Executive Officer pursuant to Rule 13a-14(a)/15d-14(a) of the Securities Exchange Act of 1934, as adopted pursuant to Section 302 of the Sarbanes-Oxley Act of 2002</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 David Bloom, certify that:</w:t>
      </w:r>
    </w:p>
    <w:p>
      <w:pPr>
        <w:spacing w:after="0" w:line="206" w:lineRule="exact"/>
        <w:rPr>
          <w:sz w:val="20"/>
          <w:szCs w:val="20"/>
          <w:color w:val="auto"/>
        </w:rPr>
      </w:pPr>
    </w:p>
    <w:p>
      <w:pPr>
        <w:ind w:left="580" w:hanging="572"/>
        <w:spacing w:after="0"/>
        <w:tabs>
          <w:tab w:leader="none" w:pos="5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CPG Partners, L.P.;</w:t>
      </w:r>
    </w:p>
    <w:p>
      <w:pPr>
        <w:spacing w:after="0" w:line="233" w:lineRule="exact"/>
        <w:rPr>
          <w:rFonts w:ascii="Arial" w:cs="Arial" w:eastAsia="Arial" w:hAnsi="Arial"/>
          <w:sz w:val="22"/>
          <w:szCs w:val="22"/>
          <w:color w:val="auto"/>
        </w:rPr>
      </w:pPr>
    </w:p>
    <w:p>
      <w:pPr>
        <w:ind w:left="580" w:right="200" w:hanging="572"/>
        <w:spacing w:after="0"/>
        <w:tabs>
          <w:tab w:leader="none" w:pos="5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22"/>
          <w:szCs w:val="22"/>
          <w:color w:val="auto"/>
        </w:rPr>
      </w:pPr>
    </w:p>
    <w:p>
      <w:pPr>
        <w:ind w:left="580" w:right="20" w:hanging="572"/>
        <w:spacing w:after="0"/>
        <w:tabs>
          <w:tab w:leader="none" w:pos="5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ind w:left="580" w:right="440" w:hanging="572"/>
        <w:spacing w:after="0" w:line="258" w:lineRule="auto"/>
        <w:tabs>
          <w:tab w:leader="none" w:pos="580"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93" w:lineRule="exact"/>
        <w:rPr>
          <w:rFonts w:ascii="Arial" w:cs="Arial" w:eastAsia="Arial" w:hAnsi="Arial"/>
          <w:sz w:val="21"/>
          <w:szCs w:val="21"/>
          <w:color w:val="auto"/>
        </w:rPr>
      </w:pPr>
    </w:p>
    <w:p>
      <w:pPr>
        <w:ind w:left="1160" w:right="100" w:hanging="571"/>
        <w:spacing w:after="0" w:line="238" w:lineRule="auto"/>
        <w:tabs>
          <w:tab w:leader="none" w:pos="1160" w:val="left"/>
        </w:tabs>
        <w:numPr>
          <w:ilvl w:val="1"/>
          <w:numId w:val="26"/>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Arial" w:cs="Arial" w:eastAsia="Arial" w:hAnsi="Arial"/>
          <w:sz w:val="22"/>
          <w:szCs w:val="22"/>
          <w:color w:val="auto"/>
        </w:rPr>
      </w:pPr>
    </w:p>
    <w:p>
      <w:pPr>
        <w:ind w:left="1160" w:hanging="571"/>
        <w:spacing w:after="0" w:line="297" w:lineRule="auto"/>
        <w:tabs>
          <w:tab w:leader="none" w:pos="1160" w:val="left"/>
        </w:tabs>
        <w:numPr>
          <w:ilvl w:val="1"/>
          <w:numId w:val="2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9"/>
          <w:szCs w:val="19"/>
          <w:color w:val="auto"/>
        </w:rPr>
      </w:pPr>
    </w:p>
    <w:p>
      <w:pPr>
        <w:ind w:left="1160" w:right="220" w:hanging="571"/>
        <w:spacing w:after="0"/>
        <w:tabs>
          <w:tab w:leader="none" w:pos="1160" w:val="left"/>
        </w:tabs>
        <w:numPr>
          <w:ilvl w:val="1"/>
          <w:numId w:val="26"/>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22"/>
          <w:szCs w:val="22"/>
          <w:color w:val="auto"/>
        </w:rPr>
      </w:pPr>
    </w:p>
    <w:p>
      <w:pPr>
        <w:ind w:left="1160" w:hanging="571"/>
        <w:spacing w:after="0" w:line="238" w:lineRule="auto"/>
        <w:tabs>
          <w:tab w:leader="none" w:pos="1160" w:val="left"/>
        </w:tabs>
        <w:numPr>
          <w:ilvl w:val="1"/>
          <w:numId w:val="26"/>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Arial" w:cs="Arial" w:eastAsia="Arial" w:hAnsi="Arial"/>
          <w:sz w:val="22"/>
          <w:szCs w:val="22"/>
          <w:color w:val="auto"/>
        </w:rPr>
      </w:pPr>
    </w:p>
    <w:p>
      <w:pPr>
        <w:ind w:left="580" w:right="380" w:hanging="572"/>
        <w:spacing w:after="0"/>
        <w:tabs>
          <w:tab w:leader="none" w:pos="5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13" w:lineRule="exact"/>
        <w:rPr>
          <w:rFonts w:ascii="Arial" w:cs="Arial" w:eastAsia="Arial" w:hAnsi="Arial"/>
          <w:sz w:val="22"/>
          <w:szCs w:val="22"/>
          <w:color w:val="auto"/>
        </w:rPr>
      </w:pPr>
    </w:p>
    <w:p>
      <w:pPr>
        <w:ind w:left="1160" w:right="440" w:hanging="571"/>
        <w:spacing w:after="0"/>
        <w:tabs>
          <w:tab w:leader="none" w:pos="1160" w:val="left"/>
        </w:tabs>
        <w:numPr>
          <w:ilvl w:val="1"/>
          <w:numId w:val="26"/>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left="1160" w:right="200" w:hanging="571"/>
        <w:spacing w:after="0" w:line="251" w:lineRule="auto"/>
        <w:tabs>
          <w:tab w:leader="none" w:pos="1160" w:val="left"/>
        </w:tabs>
        <w:numPr>
          <w:ilvl w:val="1"/>
          <w:numId w:val="26"/>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20" w:type="dxa"/>
            <w:vAlign w:val="bottom"/>
          </w:tcPr>
          <w:p>
            <w:pPr>
              <w:spacing w:after="0"/>
              <w:rPr>
                <w:sz w:val="20"/>
                <w:szCs w:val="20"/>
                <w:color w:val="auto"/>
              </w:rPr>
            </w:pPr>
            <w:r>
              <w:rPr>
                <w:rFonts w:ascii="Arial" w:cs="Arial" w:eastAsia="Arial" w:hAnsi="Arial"/>
                <w:sz w:val="22"/>
                <w:szCs w:val="22"/>
                <w:color w:val="auto"/>
              </w:rPr>
              <w:t>Date: May 4, 2005</w:t>
            </w:r>
          </w:p>
        </w:tc>
        <w:tc>
          <w:tcPr>
            <w:tcW w:w="1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David Bloom</w:t>
            </w:r>
          </w:p>
        </w:tc>
        <w:tc>
          <w:tcPr>
            <w:tcW w:w="120" w:type="dxa"/>
            <w:vAlign w:val="bottom"/>
          </w:tcPr>
          <w:p>
            <w:pPr>
              <w:spacing w:after="0"/>
              <w:rPr>
                <w:sz w:val="21"/>
                <w:szCs w:val="21"/>
                <w:color w:val="auto"/>
              </w:rPr>
            </w:pPr>
          </w:p>
        </w:tc>
      </w:tr>
      <w:tr>
        <w:trPr>
          <w:trHeight w:val="242"/>
        </w:trPr>
        <w:tc>
          <w:tcPr>
            <w:tcW w:w="5720" w:type="dxa"/>
            <w:vAlign w:val="bottom"/>
          </w:tcPr>
          <w:p>
            <w:pPr>
              <w:spacing w:after="0"/>
              <w:rPr>
                <w:sz w:val="21"/>
                <w:szCs w:val="21"/>
                <w:color w:val="auto"/>
              </w:rPr>
            </w:pPr>
          </w:p>
        </w:tc>
        <w:tc>
          <w:tcPr>
            <w:tcW w:w="2080" w:type="dxa"/>
            <w:vAlign w:val="bottom"/>
            <w:gridSpan w:val="2"/>
          </w:tcPr>
          <w:p>
            <w:pPr>
              <w:spacing w:after="0" w:line="242" w:lineRule="exact"/>
              <w:rPr>
                <w:sz w:val="20"/>
                <w:szCs w:val="20"/>
                <w:color w:val="auto"/>
              </w:rPr>
            </w:pPr>
            <w:r>
              <w:rPr>
                <w:rFonts w:ascii="Arial" w:cs="Arial" w:eastAsia="Arial" w:hAnsi="Arial"/>
                <w:sz w:val="22"/>
                <w:szCs w:val="22"/>
                <w:color w:val="auto"/>
              </w:rPr>
              <w:t>David Bloom</w:t>
            </w:r>
          </w:p>
        </w:tc>
      </w:tr>
      <w:tr>
        <w:trPr>
          <w:trHeight w:val="275"/>
        </w:trPr>
        <w:tc>
          <w:tcPr>
            <w:tcW w:w="5720" w:type="dxa"/>
            <w:vAlign w:val="bottom"/>
          </w:tcPr>
          <w:p>
            <w:pPr>
              <w:spacing w:after="0"/>
              <w:rPr>
                <w:sz w:val="23"/>
                <w:szCs w:val="23"/>
                <w:color w:val="auto"/>
              </w:rPr>
            </w:pPr>
          </w:p>
        </w:tc>
        <w:tc>
          <w:tcPr>
            <w:tcW w:w="2080" w:type="dxa"/>
            <w:vAlign w:val="bottom"/>
            <w:gridSpan w:val="2"/>
          </w:tcPr>
          <w:p>
            <w:pPr>
              <w:spacing w:after="0"/>
              <w:rPr>
                <w:sz w:val="20"/>
                <w:szCs w:val="20"/>
                <w:color w:val="auto"/>
              </w:rPr>
            </w:pPr>
            <w:r>
              <w:rPr>
                <w:rFonts w:ascii="Arial" w:cs="Arial" w:eastAsia="Arial" w:hAnsi="Arial"/>
                <w:sz w:val="22"/>
                <w:szCs w:val="22"/>
                <w:color w:val="auto"/>
                <w:w w:val="92"/>
              </w:rPr>
              <w:t>Chief Executive Officer</w:t>
            </w:r>
          </w:p>
        </w:tc>
      </w:tr>
    </w:tbl>
    <w:p>
      <w:pPr>
        <w:sectPr>
          <w:pgSz w:w="11900" w:h="16838" w:orient="portrait"/>
          <w:cols w:equalWidth="0" w:num="1">
            <w:col w:w="11400"/>
          </w:cols>
          <w:pgMar w:left="240" w:top="112" w:right="259" w:bottom="1440" w:gutter="0" w:footer="0" w:header="0"/>
        </w:sectPr>
      </w:pPr>
    </w:p>
    <w:bookmarkStart w:id="15" w:name="page16"/>
    <w:bookmarkEnd w:id="15"/>
    <w:p>
      <w:pPr>
        <w:jc w:val="center"/>
        <w:ind w:left="260" w:right="20"/>
        <w:spacing w:after="0" w:line="257" w:lineRule="auto"/>
        <w:rPr>
          <w:sz w:val="20"/>
          <w:szCs w:val="20"/>
          <w:color w:val="auto"/>
        </w:rPr>
      </w:pPr>
      <w:r>
        <w:rPr>
          <w:rFonts w:ascii="Arial" w:cs="Arial" w:eastAsia="Arial" w:hAnsi="Arial"/>
          <w:sz w:val="22"/>
          <w:szCs w:val="22"/>
          <w:b w:val="1"/>
          <w:bCs w:val="1"/>
          <w:color w:val="auto"/>
        </w:rPr>
        <w:t>Certification by the Chief Financial Officer pursuant to Rule 13a-14(a)/15d-14(a) of the Securities Exchange Act of 1934, as adopted pursuant to Section 302 of the Sarbanes-Oxley Act of 2002</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 Michael J. Clarke, certify that:</w:t>
      </w:r>
    </w:p>
    <w:p>
      <w:pPr>
        <w:spacing w:after="0" w:line="206" w:lineRule="exact"/>
        <w:rPr>
          <w:sz w:val="20"/>
          <w:szCs w:val="20"/>
          <w:color w:val="auto"/>
        </w:rPr>
      </w:pPr>
    </w:p>
    <w:p>
      <w:pPr>
        <w:ind w:left="580" w:hanging="572"/>
        <w:spacing w:after="0"/>
        <w:tabs>
          <w:tab w:leader="none" w:pos="5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CPG Partners, L.P.;</w:t>
      </w:r>
    </w:p>
    <w:p>
      <w:pPr>
        <w:spacing w:after="0" w:line="233" w:lineRule="exact"/>
        <w:rPr>
          <w:rFonts w:ascii="Arial" w:cs="Arial" w:eastAsia="Arial" w:hAnsi="Arial"/>
          <w:sz w:val="22"/>
          <w:szCs w:val="22"/>
          <w:color w:val="auto"/>
        </w:rPr>
      </w:pPr>
    </w:p>
    <w:p>
      <w:pPr>
        <w:ind w:left="580" w:right="200" w:hanging="572"/>
        <w:spacing w:after="0"/>
        <w:tabs>
          <w:tab w:leader="none" w:pos="5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22"/>
          <w:szCs w:val="22"/>
          <w:color w:val="auto"/>
        </w:rPr>
      </w:pPr>
    </w:p>
    <w:p>
      <w:pPr>
        <w:ind w:left="580" w:right="20" w:hanging="572"/>
        <w:spacing w:after="0"/>
        <w:tabs>
          <w:tab w:leader="none" w:pos="5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ind w:left="580" w:right="440" w:hanging="572"/>
        <w:spacing w:after="0" w:line="258" w:lineRule="auto"/>
        <w:tabs>
          <w:tab w:leader="none" w:pos="580"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93" w:lineRule="exact"/>
        <w:rPr>
          <w:rFonts w:ascii="Arial" w:cs="Arial" w:eastAsia="Arial" w:hAnsi="Arial"/>
          <w:sz w:val="21"/>
          <w:szCs w:val="21"/>
          <w:color w:val="auto"/>
        </w:rPr>
      </w:pPr>
    </w:p>
    <w:p>
      <w:pPr>
        <w:ind w:left="1160" w:right="100" w:hanging="571"/>
        <w:spacing w:after="0" w:line="238" w:lineRule="auto"/>
        <w:tabs>
          <w:tab w:leader="none" w:pos="1160" w:val="left"/>
        </w:tabs>
        <w:numPr>
          <w:ilvl w:val="1"/>
          <w:numId w:val="27"/>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Arial" w:cs="Arial" w:eastAsia="Arial" w:hAnsi="Arial"/>
          <w:sz w:val="22"/>
          <w:szCs w:val="22"/>
          <w:color w:val="auto"/>
        </w:rPr>
      </w:pPr>
    </w:p>
    <w:p>
      <w:pPr>
        <w:ind w:left="1160" w:hanging="571"/>
        <w:spacing w:after="0" w:line="297" w:lineRule="auto"/>
        <w:tabs>
          <w:tab w:leader="none" w:pos="1160" w:val="left"/>
        </w:tabs>
        <w:numPr>
          <w:ilvl w:val="1"/>
          <w:numId w:val="2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9"/>
          <w:szCs w:val="19"/>
          <w:color w:val="auto"/>
        </w:rPr>
      </w:pPr>
    </w:p>
    <w:p>
      <w:pPr>
        <w:ind w:left="1160" w:right="220" w:hanging="571"/>
        <w:spacing w:after="0"/>
        <w:tabs>
          <w:tab w:leader="none" w:pos="1160" w:val="left"/>
        </w:tabs>
        <w:numPr>
          <w:ilvl w:val="1"/>
          <w:numId w:val="27"/>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22"/>
          <w:szCs w:val="22"/>
          <w:color w:val="auto"/>
        </w:rPr>
      </w:pPr>
    </w:p>
    <w:p>
      <w:pPr>
        <w:ind w:left="1160" w:hanging="571"/>
        <w:spacing w:after="0" w:line="238" w:lineRule="auto"/>
        <w:tabs>
          <w:tab w:leader="none" w:pos="1160" w:val="left"/>
        </w:tabs>
        <w:numPr>
          <w:ilvl w:val="1"/>
          <w:numId w:val="27"/>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Arial" w:cs="Arial" w:eastAsia="Arial" w:hAnsi="Arial"/>
          <w:sz w:val="22"/>
          <w:szCs w:val="22"/>
          <w:color w:val="auto"/>
        </w:rPr>
      </w:pPr>
    </w:p>
    <w:p>
      <w:pPr>
        <w:ind w:left="580" w:right="380" w:hanging="572"/>
        <w:spacing w:after="0"/>
        <w:tabs>
          <w:tab w:leader="none" w:pos="5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13" w:lineRule="exact"/>
        <w:rPr>
          <w:rFonts w:ascii="Arial" w:cs="Arial" w:eastAsia="Arial" w:hAnsi="Arial"/>
          <w:sz w:val="22"/>
          <w:szCs w:val="22"/>
          <w:color w:val="auto"/>
        </w:rPr>
      </w:pPr>
    </w:p>
    <w:p>
      <w:pPr>
        <w:ind w:left="1160" w:right="440" w:hanging="571"/>
        <w:spacing w:after="0"/>
        <w:tabs>
          <w:tab w:leader="none" w:pos="1160" w:val="left"/>
        </w:tabs>
        <w:numPr>
          <w:ilvl w:val="1"/>
          <w:numId w:val="27"/>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left="1160" w:right="200" w:hanging="571"/>
        <w:spacing w:after="0" w:line="251" w:lineRule="auto"/>
        <w:tabs>
          <w:tab w:leader="none" w:pos="1160" w:val="left"/>
        </w:tabs>
        <w:numPr>
          <w:ilvl w:val="1"/>
          <w:numId w:val="27"/>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20" w:type="dxa"/>
            <w:vAlign w:val="bottom"/>
          </w:tcPr>
          <w:p>
            <w:pPr>
              <w:spacing w:after="0"/>
              <w:rPr>
                <w:sz w:val="20"/>
                <w:szCs w:val="20"/>
                <w:color w:val="auto"/>
              </w:rPr>
            </w:pPr>
            <w:r>
              <w:rPr>
                <w:rFonts w:ascii="Arial" w:cs="Arial" w:eastAsia="Arial" w:hAnsi="Arial"/>
                <w:sz w:val="22"/>
                <w:szCs w:val="22"/>
                <w:color w:val="auto"/>
              </w:rPr>
              <w:t>Date: May 4, 2005</w:t>
            </w:r>
          </w:p>
        </w:tc>
        <w:tc>
          <w:tcPr>
            <w:tcW w:w="23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J. Clarke</w:t>
            </w:r>
          </w:p>
        </w:tc>
        <w:tc>
          <w:tcPr>
            <w:tcW w:w="220" w:type="dxa"/>
            <w:vAlign w:val="bottom"/>
          </w:tcPr>
          <w:p>
            <w:pPr>
              <w:spacing w:after="0"/>
              <w:rPr>
                <w:sz w:val="21"/>
                <w:szCs w:val="21"/>
                <w:color w:val="auto"/>
              </w:rPr>
            </w:pPr>
          </w:p>
        </w:tc>
      </w:tr>
      <w:tr>
        <w:trPr>
          <w:trHeight w:val="242"/>
        </w:trPr>
        <w:tc>
          <w:tcPr>
            <w:tcW w:w="5720" w:type="dxa"/>
            <w:vAlign w:val="bottom"/>
          </w:tcPr>
          <w:p>
            <w:pPr>
              <w:spacing w:after="0"/>
              <w:rPr>
                <w:sz w:val="21"/>
                <w:szCs w:val="21"/>
                <w:color w:val="auto"/>
              </w:rPr>
            </w:pPr>
          </w:p>
        </w:tc>
        <w:tc>
          <w:tcPr>
            <w:tcW w:w="2540" w:type="dxa"/>
            <w:vAlign w:val="bottom"/>
            <w:gridSpan w:val="2"/>
          </w:tcPr>
          <w:p>
            <w:pPr>
              <w:spacing w:after="0" w:line="242" w:lineRule="exact"/>
              <w:rPr>
                <w:sz w:val="20"/>
                <w:szCs w:val="20"/>
                <w:color w:val="auto"/>
              </w:rPr>
            </w:pPr>
            <w:r>
              <w:rPr>
                <w:rFonts w:ascii="Arial" w:cs="Arial" w:eastAsia="Arial" w:hAnsi="Arial"/>
                <w:sz w:val="22"/>
                <w:szCs w:val="22"/>
                <w:color w:val="auto"/>
              </w:rPr>
              <w:t>Michael J. Clarke</w:t>
            </w:r>
          </w:p>
        </w:tc>
      </w:tr>
      <w:tr>
        <w:trPr>
          <w:trHeight w:val="243"/>
        </w:trPr>
        <w:tc>
          <w:tcPr>
            <w:tcW w:w="5720" w:type="dxa"/>
            <w:vAlign w:val="bottom"/>
          </w:tcPr>
          <w:p>
            <w:pPr>
              <w:spacing w:after="0"/>
              <w:rPr>
                <w:sz w:val="21"/>
                <w:szCs w:val="21"/>
                <w:color w:val="auto"/>
              </w:rPr>
            </w:pPr>
          </w:p>
        </w:tc>
        <w:tc>
          <w:tcPr>
            <w:tcW w:w="2540" w:type="dxa"/>
            <w:vAlign w:val="bottom"/>
            <w:gridSpan w:val="2"/>
          </w:tcPr>
          <w:p>
            <w:pPr>
              <w:spacing w:after="0" w:line="243" w:lineRule="exact"/>
              <w:rPr>
                <w:sz w:val="20"/>
                <w:szCs w:val="20"/>
                <w:color w:val="auto"/>
              </w:rPr>
            </w:pPr>
            <w:r>
              <w:rPr>
                <w:rFonts w:ascii="Arial" w:cs="Arial" w:eastAsia="Arial" w:hAnsi="Arial"/>
                <w:sz w:val="22"/>
                <w:szCs w:val="22"/>
                <w:color w:val="auto"/>
                <w:w w:val="88"/>
              </w:rPr>
              <w:t>Executive Vice President and</w:t>
            </w:r>
          </w:p>
        </w:tc>
      </w:tr>
      <w:tr>
        <w:trPr>
          <w:trHeight w:val="275"/>
        </w:trPr>
        <w:tc>
          <w:tcPr>
            <w:tcW w:w="5720" w:type="dxa"/>
            <w:vAlign w:val="bottom"/>
          </w:tcPr>
          <w:p>
            <w:pPr>
              <w:spacing w:after="0"/>
              <w:rPr>
                <w:sz w:val="23"/>
                <w:szCs w:val="23"/>
                <w:color w:val="auto"/>
              </w:rPr>
            </w:pPr>
          </w:p>
        </w:tc>
        <w:tc>
          <w:tcPr>
            <w:tcW w:w="2540" w:type="dxa"/>
            <w:vAlign w:val="bottom"/>
            <w:gridSpan w:val="2"/>
          </w:tcPr>
          <w:p>
            <w:pPr>
              <w:spacing w:after="0"/>
              <w:rPr>
                <w:sz w:val="20"/>
                <w:szCs w:val="20"/>
                <w:color w:val="auto"/>
              </w:rPr>
            </w:pPr>
            <w:r>
              <w:rPr>
                <w:rFonts w:ascii="Arial" w:cs="Arial" w:eastAsia="Arial" w:hAnsi="Arial"/>
                <w:sz w:val="22"/>
                <w:szCs w:val="22"/>
                <w:color w:val="auto"/>
              </w:rPr>
              <w:t>Chief Financial Officer</w:t>
            </w:r>
          </w:p>
        </w:tc>
      </w:tr>
    </w:tbl>
    <w:p>
      <w:pPr>
        <w:sectPr>
          <w:pgSz w:w="11900" w:h="16838" w:orient="portrait"/>
          <w:cols w:equalWidth="0" w:num="1">
            <w:col w:w="11400"/>
          </w:cols>
          <w:pgMar w:left="240" w:top="112" w:right="25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color w:val="auto"/>
        </w:rPr>
        <w:t>CERTIFICATION</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 David Bloom, Chief Executive Officer of Chelsea Property Group, Inc., the sole general partner of CPG Partners, L.P. ("the OP"), pursuant to Section 906 of the Sarbanes-Oxley Act of 2002, do hereby certify as follows:</w:t>
      </w:r>
    </w:p>
    <w:p>
      <w:pPr>
        <w:spacing w:after="0" w:line="173" w:lineRule="exact"/>
        <w:rPr>
          <w:sz w:val="20"/>
          <w:szCs w:val="20"/>
          <w:color w:val="auto"/>
        </w:rPr>
      </w:pPr>
    </w:p>
    <w:p>
      <w:pPr>
        <w:ind w:left="580" w:right="220" w:hanging="572"/>
        <w:spacing w:after="0" w:line="251" w:lineRule="auto"/>
        <w:tabs>
          <w:tab w:leader="none" w:pos="5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quarterly report on Form 10-Q of the OP for the period ended March 31, 2005 fully complies with the requirements of Section 13(a) or 15(d) of the Securities Exchange Act of 1934; and</w:t>
      </w:r>
    </w:p>
    <w:p>
      <w:pPr>
        <w:spacing w:after="0" w:line="200" w:lineRule="exact"/>
        <w:rPr>
          <w:rFonts w:ascii="Arial" w:cs="Arial" w:eastAsia="Arial" w:hAnsi="Arial"/>
          <w:sz w:val="22"/>
          <w:szCs w:val="22"/>
          <w:color w:val="auto"/>
        </w:rPr>
      </w:pPr>
    </w:p>
    <w:p>
      <w:pPr>
        <w:ind w:left="580" w:right="220" w:hanging="572"/>
        <w:spacing w:after="0" w:line="251" w:lineRule="auto"/>
        <w:tabs>
          <w:tab w:leader="none" w:pos="5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information contained in such Form 10-Q fairly presents, in all material respects, the financial condition and results of operations of the OP.</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I have executed this Certification this 4th day of May, 2005.</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 David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-17780</wp:posOffset>
            </wp:positionV>
            <wp:extent cx="20046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04695" cy="8890"/>
                    </a:xfrm>
                    <a:prstGeom prst="rect">
                      <a:avLst/>
                    </a:prstGeom>
                    <a:noFill/>
                  </pic:spPr>
                </pic:pic>
              </a:graphicData>
            </a:graphic>
          </wp:anchor>
        </w:drawing>
      </w:r>
    </w:p>
    <w:p>
      <w:pPr>
        <w:ind w:left="6260"/>
        <w:spacing w:after="0" w:line="238" w:lineRule="auto"/>
        <w:rPr>
          <w:sz w:val="20"/>
          <w:szCs w:val="20"/>
          <w:color w:val="auto"/>
        </w:rPr>
      </w:pPr>
      <w:r>
        <w:rPr>
          <w:rFonts w:ascii="Arial" w:cs="Arial" w:eastAsia="Arial" w:hAnsi="Arial"/>
          <w:sz w:val="22"/>
          <w:szCs w:val="22"/>
          <w:color w:val="auto"/>
        </w:rPr>
        <w:t>David Bloom</w:t>
      </w:r>
    </w:p>
    <w:p>
      <w:pPr>
        <w:ind w:left="626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31" w:lineRule="exact"/>
        <w:rPr>
          <w:sz w:val="20"/>
          <w:szCs w:val="20"/>
          <w:color w:val="auto"/>
        </w:rPr>
      </w:pPr>
    </w:p>
    <w:p>
      <w:pPr>
        <w:ind w:right="120"/>
        <w:spacing w:after="0" w:line="274" w:lineRule="auto"/>
        <w:rPr>
          <w:sz w:val="20"/>
          <w:szCs w:val="20"/>
          <w:color w:val="auto"/>
        </w:rPr>
      </w:pPr>
      <w:r>
        <w:rPr>
          <w:rFonts w:ascii="Arial" w:cs="Arial" w:eastAsia="Arial" w:hAnsi="Arial"/>
          <w:sz w:val="21"/>
          <w:szCs w:val="21"/>
          <w:color w:val="auto"/>
        </w:rPr>
        <w:t>A signed original of this written statement required by Section 906 has been provided to CPG Partners L.P. and will be retained by CPG Partners L.P. and furnished to the Securities and Exchange Commission or its staff upon request.</w:t>
      </w:r>
    </w:p>
    <w:p>
      <w:pPr>
        <w:sectPr>
          <w:pgSz w:w="11900" w:h="16838" w:orient="portrait"/>
          <w:cols w:equalWidth="0" w:num="1">
            <w:col w:w="11420"/>
          </w:cols>
          <w:pgMar w:left="240" w:top="118" w:right="239" w:bottom="1440" w:gutter="0" w:footer="0" w:header="0"/>
        </w:sectPr>
      </w:pPr>
    </w:p>
    <w:bookmarkStart w:id="17" w:name="page18"/>
    <w:bookmarkEnd w:id="17"/>
    <w:p>
      <w:pPr>
        <w:jc w:val="center"/>
        <w:ind w:right="-139"/>
        <w:spacing w:after="0"/>
        <w:rPr>
          <w:sz w:val="20"/>
          <w:szCs w:val="20"/>
          <w:color w:val="auto"/>
        </w:rPr>
      </w:pPr>
      <w:r>
        <w:rPr>
          <w:rFonts w:ascii="Arial" w:cs="Arial" w:eastAsia="Arial" w:hAnsi="Arial"/>
          <w:sz w:val="22"/>
          <w:szCs w:val="22"/>
          <w:color w:val="auto"/>
        </w:rPr>
        <w:t>CERTIFICATION</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I, Michael J. Clarke, Chief Financial Officer of Chelsea Property Group, Inc., the sole general partner of CPG Partners, L.P.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OP"), pursuant to Section 906 of the Sarbanes-Oxley Act of 2002, do hereby certify as follows:</w:t>
      </w:r>
    </w:p>
    <w:p>
      <w:pPr>
        <w:spacing w:after="0" w:line="188" w:lineRule="exact"/>
        <w:rPr>
          <w:sz w:val="20"/>
          <w:szCs w:val="20"/>
          <w:color w:val="auto"/>
        </w:rPr>
      </w:pPr>
    </w:p>
    <w:p>
      <w:pPr>
        <w:ind w:left="580" w:right="100" w:hanging="572"/>
        <w:spacing w:after="0" w:line="251" w:lineRule="auto"/>
        <w:tabs>
          <w:tab w:leader="none" w:pos="5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quarterly report on Form 10-Q of the OP for the period ended March 31, 2005 fully complies with the requirements of Section 13(a) or 15(d) of the Securities Exchange Act of 1934; and</w:t>
      </w:r>
    </w:p>
    <w:p>
      <w:pPr>
        <w:spacing w:after="0" w:line="200" w:lineRule="exact"/>
        <w:rPr>
          <w:rFonts w:ascii="Arial" w:cs="Arial" w:eastAsia="Arial" w:hAnsi="Arial"/>
          <w:sz w:val="22"/>
          <w:szCs w:val="22"/>
          <w:color w:val="auto"/>
        </w:rPr>
      </w:pPr>
    </w:p>
    <w:p>
      <w:pPr>
        <w:ind w:left="580" w:right="100" w:hanging="572"/>
        <w:spacing w:after="0" w:line="251" w:lineRule="auto"/>
        <w:tabs>
          <w:tab w:leader="none" w:pos="5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information contained in such Form 10-Q fairly presents, in all material respects, the financial condition and results of operations of the OP.</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I have executed this Certification this 4th day of May, 2005.</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 Michael J.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-17780</wp:posOffset>
            </wp:positionV>
            <wp:extent cx="22332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33295" cy="8890"/>
                    </a:xfrm>
                    <a:prstGeom prst="rect">
                      <a:avLst/>
                    </a:prstGeom>
                    <a:noFill/>
                  </pic:spPr>
                </pic:pic>
              </a:graphicData>
            </a:graphic>
          </wp:anchor>
        </w:drawing>
      </w:r>
    </w:p>
    <w:p>
      <w:pPr>
        <w:ind w:left="6260"/>
        <w:spacing w:after="0" w:line="238" w:lineRule="auto"/>
        <w:rPr>
          <w:sz w:val="20"/>
          <w:szCs w:val="20"/>
          <w:color w:val="auto"/>
        </w:rPr>
      </w:pPr>
      <w:r>
        <w:rPr>
          <w:rFonts w:ascii="Arial" w:cs="Arial" w:eastAsia="Arial" w:hAnsi="Arial"/>
          <w:sz w:val="22"/>
          <w:szCs w:val="22"/>
          <w:color w:val="auto"/>
        </w:rPr>
        <w:t>Michael J. Clarke</w:t>
      </w:r>
    </w:p>
    <w:p>
      <w:pPr>
        <w:ind w:left="6260"/>
        <w:spacing w:after="0" w:line="230" w:lineRule="auto"/>
        <w:rPr>
          <w:sz w:val="20"/>
          <w:szCs w:val="20"/>
          <w:color w:val="auto"/>
        </w:rPr>
      </w:pPr>
      <w:r>
        <w:rPr>
          <w:rFonts w:ascii="Arial" w:cs="Arial" w:eastAsia="Arial" w:hAnsi="Arial"/>
          <w:sz w:val="22"/>
          <w:szCs w:val="22"/>
          <w:color w:val="auto"/>
        </w:rPr>
        <w:t>Executive Vice President</w:t>
      </w:r>
    </w:p>
    <w:p>
      <w:pPr>
        <w:spacing w:after="0" w:line="1" w:lineRule="exact"/>
        <w:rPr>
          <w:sz w:val="20"/>
          <w:szCs w:val="20"/>
          <w:color w:val="auto"/>
        </w:rPr>
      </w:pPr>
    </w:p>
    <w:p>
      <w:pPr>
        <w:ind w:left="6260"/>
        <w:spacing w:after="0"/>
        <w:rPr>
          <w:sz w:val="20"/>
          <w:szCs w:val="20"/>
          <w:color w:val="auto"/>
        </w:rPr>
      </w:pPr>
      <w:r>
        <w:rPr>
          <w:rFonts w:ascii="Arial" w:cs="Arial" w:eastAsia="Arial" w:hAnsi="Arial"/>
          <w:sz w:val="22"/>
          <w:szCs w:val="22"/>
          <w:color w:val="auto"/>
        </w:rPr>
        <w:t>and Chief Financial Officer</w:t>
      </w:r>
    </w:p>
    <w:p>
      <w:pPr>
        <w:spacing w:after="0" w:line="200" w:lineRule="exact"/>
        <w:rPr>
          <w:sz w:val="20"/>
          <w:szCs w:val="20"/>
          <w:color w:val="auto"/>
        </w:rPr>
      </w:pPr>
    </w:p>
    <w:p>
      <w:pPr>
        <w:spacing w:after="0" w:line="231"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A signed original of this written statement required by Section 906 has been provided to CPG Partners L.P. and will be retained by CPG Partners L.P. and furnished to the Securities and Exchange Commission or its staff upon request.</w:t>
      </w:r>
    </w:p>
    <w:sectPr>
      <w:pgSz w:w="11900" w:h="16838" w:orient="portrait"/>
      <w:cols w:equalWidth="0" w:num="1">
        <w:col w:w="11300"/>
      </w:cols>
      <w:pgMar w:left="240" w:top="1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2"/>
    </w:lvl>
  </w:abstractNum>
  <w:abstractNum w:abstractNumId="4">
    <w:nsid w:val="25E45D32"/>
    <w:multiLevelType w:val="hybridMultilevel"/>
    <w:lvl w:ilvl="0">
      <w:lvlJc w:val="left"/>
      <w:lvlText w:val="%1."/>
      <w:numFmt w:val="decimal"/>
      <w:start w:val="3"/>
    </w:lvl>
  </w:abstractNum>
  <w:abstractNum w:abstractNumId="5">
    <w:nsid w:val="519B500D"/>
    <w:multiLevelType w:val="hybridMultilevel"/>
    <w:lvl w:ilvl="0">
      <w:lvlJc w:val="left"/>
      <w:lvlText w:val="%1."/>
      <w:numFmt w:val="decimal"/>
      <w:start w:val="3"/>
    </w:lvl>
  </w:abstractNum>
  <w:abstractNum w:abstractNumId="6">
    <w:nsid w:val="431BD7B7"/>
    <w:multiLevelType w:val="hybridMultilevel"/>
    <w:lvl w:ilvl="0">
      <w:lvlJc w:val="left"/>
      <w:lvlText w:val="%1."/>
      <w:numFmt w:val="decimal"/>
      <w:start w:val="3"/>
    </w:lvl>
  </w:abstractNum>
  <w:abstractNum w:abstractNumId="7">
    <w:nsid w:val="3F2DBA31"/>
    <w:multiLevelType w:val="hybridMultilevel"/>
    <w:lvl w:ilvl="0">
      <w:lvlJc w:val="left"/>
      <w:lvlText w:val="%1."/>
      <w:numFmt w:val="decimal"/>
      <w:start w:val="4"/>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2"/>
    </w:lvl>
  </w:abstractNum>
  <w:abstractNum w:abstractNumId="10">
    <w:nsid w:val="62BBD95A"/>
    <w:multiLevelType w:val="hybridMultilevel"/>
    <w:lvl w:ilvl="0">
      <w:lvlJc w:val="left"/>
      <w:lvlText w:val="%1."/>
      <w:numFmt w:val="decimal"/>
      <w:start w:val="4"/>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4"/>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2"/>
    </w:lvl>
  </w:abstractNum>
  <w:abstractNum w:abstractNumId="15">
    <w:nsid w:val="2443A858"/>
    <w:multiLevelType w:val="hybridMultilevel"/>
    <w:lvl w:ilvl="0">
      <w:lvlJc w:val="left"/>
      <w:lvlText w:val="%1."/>
      <w:numFmt w:val="decimal"/>
      <w:start w:val="5"/>
    </w:lvl>
  </w:abstractNum>
  <w:abstractNum w:abstractNumId="16">
    <w:nsid w:val="2D1D5AE9"/>
    <w:multiLevelType w:val="hybridMultilevel"/>
    <w:lvl w:ilvl="0">
      <w:lvlJc w:val="left"/>
      <w:lvlText w:val="%1."/>
      <w:numFmt w:val="decimal"/>
      <w:start w:val="6"/>
    </w:lvl>
  </w:abstractNum>
  <w:abstractNum w:abstractNumId="17">
    <w:nsid w:val="6763845E"/>
    <w:multiLevelType w:val="hybridMultilevel"/>
    <w:lvl w:ilvl="0">
      <w:lvlJc w:val="left"/>
      <w:lvlText w:val="%1."/>
      <w:numFmt w:val="decimal"/>
      <w:start w:val="7"/>
    </w:lvl>
  </w:abstractNum>
  <w:abstractNum w:abstractNumId="18">
    <w:nsid w:val="75A2A8D4"/>
    <w:multiLevelType w:val="hybridMultilevel"/>
    <w:lvl w:ilvl="0">
      <w:lvlJc w:val="left"/>
      <w:lvlText w:val="%1."/>
      <w:numFmt w:val="decimal"/>
      <w:start w:val="8"/>
    </w:lvl>
  </w:abstractNum>
  <w:abstractNum w:abstractNumId="19">
    <w:nsid w:val="8EDBDAB"/>
    <w:multiLevelType w:val="hybridMultilevel"/>
    <w:lvl w:ilvl="0">
      <w:lvlJc w:val="left"/>
      <w:lvlText w:val="%1."/>
      <w:numFmt w:val="decimal"/>
      <w:start w:val="9"/>
    </w:lvl>
  </w:abstractNum>
  <w:abstractNum w:abstractNumId="20">
    <w:nsid w:val="79838CB2"/>
    <w:multiLevelType w:val="hybridMultilevel"/>
    <w:lvl w:ilvl="0">
      <w:lvlJc w:val="left"/>
      <w:lvlText w:val="%1."/>
      <w:numFmt w:val="decimal"/>
      <w:start w:val="10"/>
    </w:lvl>
  </w:abstractNum>
  <w:abstractNum w:abstractNumId="21">
    <w:nsid w:val="4353D0CD"/>
    <w:multiLevelType w:val="hybridMultilevel"/>
    <w:lvl w:ilvl="0">
      <w:lvlJc w:val="left"/>
      <w:lvlText w:val="%1."/>
      <w:numFmt w:val="decimal"/>
      <w:start w:val="11"/>
    </w:lvl>
  </w:abstractNum>
  <w:abstractNum w:abstractNumId="22">
    <w:nsid w:val="B03E0C6"/>
    <w:multiLevelType w:val="hybridMultilevel"/>
    <w:lvl w:ilvl="0">
      <w:lvlJc w:val="left"/>
      <w:lvlText w:val="%1."/>
      <w:numFmt w:val="decimal"/>
      <w:start w:val="11"/>
    </w:lvl>
  </w:abstractNum>
  <w:abstractNum w:abstractNumId="23">
    <w:nsid w:val="189A769B"/>
    <w:multiLevelType w:val="hybridMultilevel"/>
    <w:lvl w:ilvl="0">
      <w:lvlJc w:val="left"/>
      <w:lvlText w:val="%1."/>
      <w:numFmt w:val="decimal"/>
      <w:start w:val="12"/>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2019-12-14T06:54:42Z</dcterms:created>
  <dcterms:modified xsi:type="dcterms:W3CDTF">2019-12-14T06:54:42Z</dcterms:modified>
</cp:coreProperties>
</file>