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65"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001-36110</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34-1755769</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80" w:space="720"/>
            <w:col w:w="3000" w:space="720"/>
            <w:col w:w="2820"/>
          </w:cols>
          <w:pgMar w:left="320" w:top="565" w:right="339" w:bottom="1440" w:gutter="0" w:footer="0" w:header="0"/>
          <w:type w:val="continuous"/>
        </w:sectPr>
      </w:pPr>
    </w:p>
    <w:p>
      <w:pPr>
        <w:spacing w:after="0" w:line="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56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317.636.1600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9, 2026, Simon Property Group, L.P. (the “Operating Partnership”) and its indirect subsidiary, Simon Global Development B.V., incorporated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registered with the Dutch Trade Register of the Chamber of Commerce (the “Issuer”), entered into a subscription agreement (the “Subscription Agreement”) with Barclays Bank PLC, BNP PARIBAS, Société Générale, Banco Bilbao Vizcaya Argentaria, S.A., Banco Santander, S.A., ING Bank N.V., Landesbank Baden-Württemberg and Natixis (collectively, the “Managers”), in connection with the offering of €500 million aggregate principal amount of the Issuer’s 3.650% guaranteed notes due 2031 (the “Notes”) to non-U.S. persons outside the United States in reliance on Regulation S under the Securities Act of 1933, as amended (the “Securities Act”). The Notes are unsecured and fully and unconditionally guaranteed by the Operating Partnership (the “Guarantee”). The offering of the Notes closed on June 15, 2026.</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Subscription Agreement contains representations and warranties and covenants that are customary for transactions of this type. In addition, each of the Issuer and the Operating Partnership has agreed to indemnify the Managers against certain liabilities on customary terms. Some of the Managers and their affiliates have engaged in, and may in the future engage in, investment banking and other commercial dealings, including but not limited to commercial lending services, in the ordinary course of business with the Operating Partnership, its direct or indirect subsidiaries or its affiliates. They have received, or may in the future receive, customary fees and commissions for these transactions.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were issued subject to, and with the benefit of, a fiscal agency agreement, dated June 15, 2026 (the “Fiscal Agency Agreement”), by and among the Issuer, the Operating Partnership, The Bank of New York Mellon, London Branch in its capacity as fiscal agent, and The Bank of New York Mellon SA/NV, Dublin Branch in its capacity as transfer agent and registrar.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applicable state or other securities laws and may not be offered or sold in the United States or to, or for the account or benefit of, U.S. persons absent registration or an applicable exemption from registration requirements. This Current Report on Form 8-K is not, and should not be construed as, an offering of the Notes.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were issued by the Issuer with the benefit of the full Guarantee by the Operating Partnership. The Notes bear interest at a rate of 3.650% per annum and mature on June 15, 2031. Interest is payable annually in arrears on June 15 of each year, beginning June 15, 2027 (each, an “Interest Payment Date”). Interest will be paid to the holders shown on the register of noteholders at the close of business the fifteenth calendar day before the related Interest Payment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Issuer may, at its option, redeem the Notes in whole at any time or in part from time to time on not less than 15 and not more than 60 days’ prior written notice to the holders of the Notes to be redeemed. The Notes will be redeemable at a price equal to the principal amount of the Notes being redeemed, plus accrued and unpaid interest to the date of redemption and a “make-whole” premium calculated under the Fiscal Agency Agreement (unless the Notes are redeemed on or after May 15, 2031, in which case no “make-whole” premium will be payable).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Fiscal Agency Agreement provides for customary events of default, including, among other things, nonpayment, failure to comply with the covenants in the Fiscal Agency Agreement (including the Guarantee) for a period of 90 days, and certain events of bankruptcy, insolvency and reorganization.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are qualified in their entirety by the Fiscal Agency Agreement (including the Guarantee included therein and the form of Notes attached thereto) which is filed as Exhibit 4.1 to this Current Report on Form 8-K, and is incorporated by reference herein. The Form of Notes is filed as Exhibit 4.2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873"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22" w:lineRule="exact"/>
        <w:rPr>
          <w:sz w:val="20"/>
          <w:szCs w:val="20"/>
          <w:color w:val="auto"/>
        </w:rPr>
      </w:pPr>
    </w:p>
    <w:p>
      <w:pPr>
        <w:sectPr>
          <w:pgSz w:w="11900" w:h="16838" w:orient="portrait"/>
          <w:cols w:equalWidth="0" w:num="2">
            <w:col w:w="5020" w:space="720"/>
            <w:col w:w="5500"/>
          </w:cols>
          <w:pgMar w:left="320" w:top="873" w:right="339" w:bottom="1440" w:gutter="0" w:footer="0" w:header="0"/>
          <w:type w:val="continuous"/>
        </w:sectPr>
      </w:pPr>
    </w:p>
    <w:p>
      <w:pPr>
        <w:spacing w:after="0" w:line="7" w:lineRule="exact"/>
        <w:rPr>
          <w:sz w:val="20"/>
          <w:szCs w:val="20"/>
          <w:color w:val="auto"/>
        </w:rPr>
      </w:pPr>
    </w:p>
    <w:p>
      <w:pPr>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4.1</w:t>
      </w:r>
      <w:r>
        <w:rPr>
          <w:sz w:val="20"/>
          <w:szCs w:val="20"/>
          <w:color w:val="auto"/>
        </w:rPr>
        <w:tab/>
      </w:r>
      <w:r>
        <w:rPr>
          <w:rFonts w:ascii="Times New Roman" w:cs="Times New Roman" w:eastAsia="Times New Roman" w:hAnsi="Times New Roman"/>
          <w:sz w:val="18"/>
          <w:szCs w:val="18"/>
          <w:u w:val="single" w:color="auto"/>
          <w:color w:val="0000EE"/>
        </w:rPr>
        <w:t>Fiscal Agency Agreement dated June 15, 2026, by and among Simon Global Development B.V., Simon Property Group, L.P., The Bank of New York Mellon, London Branch and The Bank of New York Mellon SA/NV, Dublin Branch.</w:t>
      </w:r>
    </w:p>
    <w:p>
      <w:pPr>
        <w:spacing w:after="0" w:line="162" w:lineRule="exact"/>
        <w:rPr>
          <w:sz w:val="20"/>
          <w:szCs w:val="20"/>
          <w:color w:val="auto"/>
        </w:rPr>
      </w:pPr>
    </w:p>
    <w:p>
      <w:pPr>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4.2</w:t>
      </w:r>
      <w:r>
        <w:rPr>
          <w:sz w:val="20"/>
          <w:szCs w:val="20"/>
          <w:color w:val="auto"/>
        </w:rPr>
        <w:tab/>
      </w:r>
      <w:r>
        <w:rPr>
          <w:rFonts w:ascii="Times New Roman" w:cs="Times New Roman" w:eastAsia="Times New Roman" w:hAnsi="Times New Roman"/>
          <w:sz w:val="18"/>
          <w:szCs w:val="18"/>
          <w:u w:val="single" w:color="auto"/>
          <w:color w:val="0000EE"/>
        </w:rPr>
        <w:t>Form of €500,000,000 aggregate principal amount of 3.650% Guaranteed Notes due 2031 (including the Terms and Conditions and Guarantee attached thereto) (included in Exhibit 4.1 hereto).</w:t>
      </w:r>
    </w:p>
    <w:p>
      <w:pPr>
        <w:spacing w:after="0" w:line="1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Simon Property Group, Inc., its sole General Partner</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Brian J. McDade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JUNE 15,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SIMON GLOBAL DEVELOPMENT B.V.</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THE BANK OF NEW YORK MELLON, LONDON BRANCH</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Fiscal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BANK OF NEW YORK MELLON SA/NV, DUBLIN BRANCH</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FISCAL AGENCY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 respect of</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€500,000,000 3.650% Guaranteed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1197610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306070</wp:posOffset>
            </wp:positionV>
            <wp:extent cx="124269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2695" cy="48006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68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00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OF AGENTS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AUTHENTICATION AND DELIVERY OF NOTES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THE FISCAL AGENT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NOTIFICATION OF NON-PAYMENT BY THE ISSUER OR GUARANTOR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 OF THE FISCAL AGENT IN RESPECT OF PAYMENTS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ANY WITHHOLDING OR DEDUCTION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 OF THE REGISTRAR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 OF THE TRANSFER AGENT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REGULATIONS FOR TRANSFER OF REGISTERED NOTES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OF THE FISCAL AGENT IN CONNECTION WITH CONDITIONS RELATING TO REDEMPTION, MERGER,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OR SALE, SUBSTITUTION AND ISSUANCE IN EURO</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13.</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 AND PUBLICATION OF 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14.</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OF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15.</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REPLACEMENT CERTIFICATES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16.</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RECORDS AND CERTIFICATES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17.</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COPIES OF THIS AGREEMENT AVAILABLE FOR INSPECTION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18.</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19.</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20.</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 AND COVENANT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21.</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GUARANTEE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22.</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BY FISCAL AGENT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23.</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OF APPOINTMENT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 WITH AGENTS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APPOINTMENT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MEETINGS OF NOTEHOLDERS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AND STAMP DUTIES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DESCRIPTIVE HEADINGS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AND SUBMISSION TO JURISDICTION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CONTRACTUAL RECOGNITION OF BAIL-IN POWERS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FORM OF THE GLOBAL CERTIFICATE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 FORM OF CERTIFICATE AND TERMS AND CONDITIONS OF THE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DENOMINATION, TITLE AND GUARANTEE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OF NOTES AND ISSUE OF CERTIFICATES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STATUS OF THE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AND PURCHASE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PRESCRIPTION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CERTIFICATES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MEETINGS OF NOTEHOLDERS AND MODIFICATION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IN EURO</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PROVISIONS FOR MEETINGS OF NOTEHOLDERS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AND TRANSFER OF NOTES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GUARANTEE</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w:t>
            </w:r>
          </w:p>
        </w:tc>
        <w:tc>
          <w:tcPr>
            <w:tcW w:w="702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June 15, 2026 and made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SIMON GLOBAL DEVELOPMENT B.V.</w:t>
      </w:r>
      <w:r>
        <w:rPr>
          <w:rFonts w:ascii="Times New Roman" w:cs="Times New Roman" w:eastAsia="Times New Roman" w:hAnsi="Times New Roman"/>
          <w:sz w:val="18"/>
          <w:szCs w:val="18"/>
          <w:color w:val="auto"/>
        </w:rPr>
        <w:t>,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Dutch law, having its official seat in Amsterdam, and registered with the Dutch Trade Register under number 73380520.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SIMON PROPERTY GROUP, L.P.</w:t>
      </w:r>
      <w:r>
        <w:rPr>
          <w:rFonts w:ascii="Times New Roman" w:cs="Times New Roman" w:eastAsia="Times New Roman" w:hAnsi="Times New Roman"/>
          <w:sz w:val="18"/>
          <w:szCs w:val="18"/>
          <w:color w:val="auto"/>
        </w:rPr>
        <w:t>, of 225 West Washington Street, Indianapolis, Indiana 46204, United States of America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BANK OF NEW YORK MELLON, LONDON BRANCH</w:t>
      </w:r>
      <w:r>
        <w:rPr>
          <w:rFonts w:ascii="Times New Roman" w:cs="Times New Roman" w:eastAsia="Times New Roman" w:hAnsi="Times New Roman"/>
          <w:sz w:val="18"/>
          <w:szCs w:val="18"/>
          <w:color w:val="auto"/>
        </w:rPr>
        <w:t>, of 160 Queen Victoria Street, London EC4V 4LA, United Kingdom ("</w:t>
      </w:r>
      <w:r>
        <w:rPr>
          <w:rFonts w:ascii="Times New Roman" w:cs="Times New Roman" w:eastAsia="Times New Roman" w:hAnsi="Times New Roman"/>
          <w:sz w:val="18"/>
          <w:szCs w:val="18"/>
          <w:b w:val="1"/>
          <w:bCs w:val="1"/>
          <w:color w:val="auto"/>
        </w:rPr>
        <w:t>BNY London Branch</w:t>
      </w:r>
      <w:r>
        <w:rPr>
          <w:rFonts w:ascii="Times New Roman" w:cs="Times New Roman" w:eastAsia="Times New Roman" w:hAnsi="Times New Roman"/>
          <w:sz w:val="18"/>
          <w:szCs w:val="18"/>
          <w:color w:val="auto"/>
        </w:rPr>
        <w:t>"), as Fiscal Agent; and</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BANK OF NEW YORK MELLON SA/NV, DUBLIN BRANCH</w:t>
      </w:r>
      <w:r>
        <w:rPr>
          <w:rFonts w:ascii="Times New Roman" w:cs="Times New Roman" w:eastAsia="Times New Roman" w:hAnsi="Times New Roman"/>
          <w:sz w:val="18"/>
          <w:szCs w:val="18"/>
          <w:color w:val="auto"/>
        </w:rPr>
        <w:t>, of The Shipping Office, 20-26 Sir John Rogerson’s Quay, D02 Y049,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Dublin 2, Ireland ("</w:t>
      </w:r>
      <w:r>
        <w:rPr>
          <w:rFonts w:ascii="Times New Roman" w:cs="Times New Roman" w:eastAsia="Times New Roman" w:hAnsi="Times New Roman"/>
          <w:sz w:val="18"/>
          <w:szCs w:val="18"/>
          <w:b w:val="1"/>
          <w:bCs w:val="1"/>
          <w:color w:val="auto"/>
        </w:rPr>
        <w:t>BNY Dublin Branch</w:t>
      </w:r>
      <w:r>
        <w:rPr>
          <w:rFonts w:ascii="Times New Roman" w:cs="Times New Roman" w:eastAsia="Times New Roman" w:hAnsi="Times New Roman"/>
          <w:sz w:val="18"/>
          <w:szCs w:val="18"/>
          <w:color w:val="auto"/>
        </w:rPr>
        <w:t>"), as Registrar and Transfer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left="660" w:right="20" w:hanging="652"/>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agreed to issue €500,000,000 of 3.650% Guaranteed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expression shall include, unless the context otherwise requires, any further Notes issued pursuant to Condition 14 and forming a single series with the Notes).</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issued in registered form in the denominations of €100,000 and integral multiples of €1,000 in excess thereof.</w:t>
      </w:r>
    </w:p>
    <w:p>
      <w:pPr>
        <w:spacing w:after="0" w:line="221"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by the Guarantor as set out in clause 20 of this Agreement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 copy of the Guarantee shall be endorsed on each Note authenticated by the Fiscal Agent.</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initially be represented by a global certificate in or substantially in the form set out in Schedule 1 (the "</w:t>
      </w:r>
      <w:r>
        <w:rPr>
          <w:rFonts w:ascii="Times New Roman" w:cs="Times New Roman" w:eastAsia="Times New Roman" w:hAnsi="Times New Roman"/>
          <w:sz w:val="18"/>
          <w:szCs w:val="18"/>
          <w:b w:val="1"/>
          <w:bCs w:val="1"/>
          <w:color w:val="auto"/>
        </w:rPr>
        <w:t>Global Certificate</w:t>
      </w:r>
      <w:r>
        <w:rPr>
          <w:rFonts w:ascii="Times New Roman" w:cs="Times New Roman" w:eastAsia="Times New Roman" w:hAnsi="Times New Roman"/>
          <w:sz w:val="18"/>
          <w:szCs w:val="18"/>
          <w:color w:val="auto"/>
        </w:rPr>
        <w:t>") registered in the name of a nominee for a common safekeeper for Euroclear and Clearstream, Luxembourg (both as defined below) and held under the New Safekeeping Structure. It is intended that the Notes, while represented by one or more Global Certificates, shall be recognized as eligible collateral for Eurosystem monetary policy and intra-day credit operations by the Eurosystem upon their issuance.</w:t>
      </w:r>
    </w:p>
    <w:p>
      <w:pPr>
        <w:spacing w:after="0" w:line="176"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definitive Certificates (as defined in the Terms and Conditions of the Notes as set out in Part 2 of Schedule 2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will be in or substantially in the form set out in Part 1 of Schedule 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Words and expressions defined in the Conditions and not otherwise defined in this Agreement shall have the same meanings when used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in this Agreement to principal and/or interest shall include any Additional Amounts payable pursuant to Condition 8 and premium, if any, payable upon redemption of the Notes prior to their maturity.</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As used in this Agreement and in the Conditions:</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 and include each Fiscal Agent, Registrar, Transfer Agent and Agent from time to time appointed to exercise the powers and undertake the duties conferred and imposed upon it by this Agreement and notified to the Noteholders under Condition 12;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means in relation to the Notes, all the Notes issued other than:</w:t>
      </w:r>
    </w:p>
    <w:p>
      <w:pPr>
        <w:spacing w:after="0" w:line="22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Notes which have been redeemed and cancelled pursuant to Condition 7 or otherwise pursuant to the Conditions;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Notes in respect of which the date for redemption under the Conditions has occurred and the redemption moneys wherefore (including an interest payable thereon) have been duly paid to the Fiscal Agent in the manner provided in clause 5 (and, where appropriate, notice to that effect has been given to the Noteholders pursuant to Condition 12) and remain available for payment against presentation of the relevant Notes;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Notes which have been purchased and cancelled pursuant to Condition 7;</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Notes which have become unenforceable pursuant to Condition 9;</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mutilated or defaced Notes which have been surrendered and cancelled and in respect of which replacements have been issued pursuant to Condition 11;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only of ascertaining the principal amount of the Notes outstanding and without prejudice to the status for any other purpose of the relevant Notes) those Notes which are alleged to have been lost, stolen or destroyed and in respect of which replacements have been issued pursuant to Condition 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for each of the following purposes, namely:</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attend and vote at any meeting of the Noteholders or any of them;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how many and which Notes are for the time being outstanding for the purposes of paragraphs 4, 7 and 9 of Schedule 3;</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those Notes (if any) which are for the time being held by any person (including, but not limited to, the Issuer, the Guarantor or any member of the Guarantor's Group) for the benefit of the Issuer, the Guarantor or any member of the Guarantor's Group shall (unless and until ceasing to be so held) be deemed not to be outstanding;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office</w:t>
      </w:r>
      <w:r>
        <w:rPr>
          <w:rFonts w:ascii="Times New Roman" w:cs="Times New Roman" w:eastAsia="Times New Roman" w:hAnsi="Times New Roman"/>
          <w:sz w:val="18"/>
          <w:szCs w:val="18"/>
          <w:color w:val="auto"/>
        </w:rPr>
        <w:t>" means the offices specified in clause 27 or any other specified offices as may from time to time be duly notified pursuant to clause 27.</w:t>
      </w:r>
    </w:p>
    <w:p>
      <w:pPr>
        <w:spacing w:after="0" w:line="159"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In this Agreement, unless the contrary intention appears, a reference to:</w:t>
      </w:r>
    </w:p>
    <w:p>
      <w:pPr>
        <w:spacing w:after="0" w:line="221" w:lineRule="exact"/>
        <w:rPr>
          <w:sz w:val="20"/>
          <w:szCs w:val="20"/>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includes a modification, supplement, restatement or novation and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is to be construed accordingly;</w:t>
      </w:r>
    </w:p>
    <w:p>
      <w:pPr>
        <w:spacing w:after="0" w:line="22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corporation, company, partnership, unincorporated association, government, state agency, international organisation or other entity;</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a law is a reference to that provision as enacted, amended or re-enacted;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clause or schedule is a reference to a clause of, or a Schedule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its successors and assigns;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is a reference to that document as amended from time to time;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London time;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costs or charges or expenses shall include any value added tax or similar tax charged or chargeable in respect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Notes shall, unless the context otherwise requires, include the Global Certificate and the definitive Certificates;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"EUR", "Euro" and "€" refer to the currency introduced at the start of the third stage of European economic and monetary union pursuant to the Treaty establishing the European Union, as amended.</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References in this Agreement to Euroclear Bank SA/NV, as operator of the Euroclear System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and/or Clearstream Banking S.A. ("</w:t>
      </w:r>
      <w:r>
        <w:rPr>
          <w:rFonts w:ascii="Times New Roman" w:cs="Times New Roman" w:eastAsia="Times New Roman" w:hAnsi="Times New Roman"/>
          <w:sz w:val="18"/>
          <w:szCs w:val="18"/>
          <w:b w:val="1"/>
          <w:bCs w:val="1"/>
          <w:color w:val="auto"/>
        </w:rPr>
        <w:t>Clearstream, Luxembourg</w:t>
      </w:r>
      <w:r>
        <w:rPr>
          <w:rFonts w:ascii="Times New Roman" w:cs="Times New Roman" w:eastAsia="Times New Roman" w:hAnsi="Times New Roman"/>
          <w:sz w:val="18"/>
          <w:szCs w:val="18"/>
          <w:color w:val="auto"/>
        </w:rPr>
        <w:t>" and, together with Euroclear, the "</w:t>
      </w:r>
      <w:r>
        <w:rPr>
          <w:rFonts w:ascii="Times New Roman" w:cs="Times New Roman" w:eastAsia="Times New Roman" w:hAnsi="Times New Roman"/>
          <w:sz w:val="18"/>
          <w:szCs w:val="18"/>
          <w:b w:val="1"/>
          <w:bCs w:val="1"/>
          <w:color w:val="auto"/>
        </w:rPr>
        <w:t>Clearing Systems</w:t>
      </w:r>
      <w:r>
        <w:rPr>
          <w:rFonts w:ascii="Times New Roman" w:cs="Times New Roman" w:eastAsia="Times New Roman" w:hAnsi="Times New Roman"/>
          <w:sz w:val="18"/>
          <w:szCs w:val="18"/>
          <w:color w:val="auto"/>
        </w:rPr>
        <w:t>") shall, wherever the context so permits, be deemed to include reference to any additional or alternative clearing system approved by the Issuer and the Fiscal Agent. Any such alternative clearing system must also be authorized to hold such notes as eligible collateral for Eurosystem monetary policy and intra-day credit operations.</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AGENTS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Issuer appoints, on the terms and subject to the conditions of this Agreement:</w:t>
      </w:r>
    </w:p>
    <w:p>
      <w:pPr>
        <w:spacing w:after="0" w:line="22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BNY London Branch as fiscal agent (in such capacity, the "</w:t>
      </w:r>
      <w:r>
        <w:rPr>
          <w:rFonts w:ascii="Times New Roman" w:cs="Times New Roman" w:eastAsia="Times New Roman" w:hAnsi="Times New Roman"/>
          <w:sz w:val="18"/>
          <w:szCs w:val="18"/>
          <w:b w:val="1"/>
          <w:bCs w:val="1"/>
          <w:color w:val="auto"/>
        </w:rPr>
        <w:t>Fiscal Agent</w:t>
      </w:r>
      <w:r>
        <w:rPr>
          <w:rFonts w:ascii="Times New Roman" w:cs="Times New Roman" w:eastAsia="Times New Roman" w:hAnsi="Times New Roman"/>
          <w:sz w:val="18"/>
          <w:szCs w:val="18"/>
          <w:color w:val="auto"/>
        </w:rPr>
        <w:t>") in respect of the Notes; and</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BNY Dublin Branch as registrar (in such capacity,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as transfer agent (in such capacity,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respect of the Notes, in each case, acting at its specified office.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Fiscal Agent, the Transfer Agent and the Registrar are together referred to as the "</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obligations of the Agents hereunder are several and not joint.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Issuer reserves the right to appoint any other agents from time to time.</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 AND DELIVERY OF NOTES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Upon execution and delivery thereof by the Issuer, the Fiscal Agent shall authenticate the Global Certificate evidencing the Notes. The Issuer also authorizes and instructs the Fiscal Agent to authenticate any definitive Certificates which are required to be delivered pursuant to subclause 4.2.</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the Global Certificate is to be exchanged in accordance with its terms for definitive Certificates, the Issuer undertakes that it will deliver to, or to the order of, the Fiscal Agent, as soon as reasonably practicable and in any event not later than 15 days before the relevant exchange is due to take place, definitive Certificates in an aggregate principal amount of €500,000,000, or such lesser amount as is the principal amount of the Notes represented by the Global Certificate to be issued in exchange for the Global Certificate. Each definitive Certificate so delivered shall be duly executed on behalf of the Issuer.</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If the Global Certificate becomes exchangeable for definitive Certificates in accordance with its terms, the Fiscal Agent shall authenticate and deliver to each person designated by the relevant Clearing System (as defined below) a definitive Certificate in accordance with the terms of this Agreement and the Global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Fiscal Agent shall cause all Notes delivered to and held by it under this Agreement to be maintained in safe keeping and shall ensure that the definitive Certificates are issued only in accordance with the terms of the Global Certificate and this Agreement.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Following authentication of the Global Certificate, the Fiscal Agent shall deliver it on the Issue Date at or about the time specified in the relevant Subscription Agreement to the Common Safekeeper together with instructions to effectuate the same (if applicable), in each case against the delivery to the Fiscal Agent of evidence that instructions for payment of the subscription moneys due to the Issuer have been made, such evidence to be in the form set out in such Subscription Agreement.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If the Issuer is required to deliver definitive Certificates pursuant to the terms of the Global Certificate, the Issuer shall promptly arrange for a stock of definitive Certificates (unauthenticated and with the names of the registered holders left blank but executed on behalf of the Issuer and otherwise complete) to be made available to the Fiscal Agent.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Notes shall be dated:</w:t>
      </w:r>
    </w:p>
    <w:p>
      <w:pPr>
        <w:spacing w:after="0" w:line="225" w:lineRule="exact"/>
        <w:rPr>
          <w:sz w:val="20"/>
          <w:szCs w:val="20"/>
          <w:color w:val="auto"/>
        </w:rPr>
      </w:pPr>
    </w:p>
    <w:p>
      <w:pPr>
        <w:ind w:left="5580" w:right="3980" w:hanging="4924"/>
        <w:spacing w:after="0" w:line="783" w:lineRule="auto"/>
        <w:tabs>
          <w:tab w:leader="none" w:pos="1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Global Certificate issued on the date of closing, with that date; 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Note issued upon transfer, with the date of registration in the Register of the transfer;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Note issued to the transferor upon transfer in part of a Note, with the same date as the date of the Note transferred;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Note issued pursuant to clause 15 with the same date as the date of the lost, stolen, mutilated, defaced or destroyed Note in replacement of which it is issued.</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The Fiscal Agent shall so long as any Note is outstanding properly, and in any event within three business days of the relevant request (or such longer period as may be required to comply with any applicable fiscal or other regulations), authenticate and issue, upon receipt by it or notification from any Transfer Agent of delivery to it, of the Notes for transfer, duly dated and completed Notes in the name of the registered holders and deliver the Notes at its specified office or at the specified office of the Transfer Agent or (at the risk of the relevant registered holders) send the Notes to such address as the registered holders may request.</w:t>
      </w:r>
    </w:p>
    <w:p>
      <w:pPr>
        <w:spacing w:after="0" w:line="17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TO THE FISCAL AGENT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Issuer, failing which the Guarantor, shall, not later than 10:00 a.m. (London time) on the date on which any payment of principal and/or interest in respect of the Notes becomes due under the Conditions, and, in any event, unless agreed by the Fiscal Agent, no earlier than 10:00 a.m. five business days before the date interest and/or principal are due, initiate a transfer to an account specified by the Fiscal Agent such amount of Euro as shall be sufficient for the purposes of the payment of principal and/or interest in same day funds.</w:t>
      </w:r>
    </w:p>
    <w:p>
      <w:pPr>
        <w:spacing w:after="0" w:line="18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If for any reason the amounts received by the Fiscal Agent under subclause 5.1 are insufficient to satisfy all claims in respect of all payments then due on the Notes, the Fiscal Agent shall forthwith notify the Issuer and the Guarantor, and the Fiscal Agent shall not be obliged to pay any such claims until the Fiscal Agent has received the full amount of the monies then due and payable in respect of such Notes. If, however, the Fiscal Agent in its sole discretion shall make payment on the Notes on their maturity or redemption, or payments of interest or such other payments when otherwise due (it being understood that the Fiscal Agent shall have no obligation whatsoever to make any such payment) and the amount which should have been received is not received on such date, the Issuer (and if the Issuer fails to do so, then the Guarantor) agrees forthwith on demand to pay, or procure the payment of, to the Fiscal Agent, in addition to the amount which should have been paid hereunder, interest thereon from the day following the date when the amount unpaid should have been received under this Agreement to the date when such amount is actually received (inclusive) at a rate equal to the cost of the Fiscal Agent of funding such amount, as certified by the Fiscal Agent and expressed as a rate per annum.</w:t>
      </w:r>
    </w:p>
    <w:p>
      <w:pPr>
        <w:spacing w:after="0" w:line="19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NON-PAYMENT BY THE ISSUER OR GUARANTOR</w:t>
      </w:r>
    </w:p>
    <w:p>
      <w:pPr>
        <w:spacing w:after="0" w:line="229"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Fiscal Agent receives unconditionally the full amount of any sum payable in respect of the Notes after the relevant date specified in subclause 5.1, the Fiscal Agent shall, at the expense of the Issuer, forthwith upon receipt of any amount as described in this clause 6, cause notice of that receipt to be published under Condition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FISCAL AGENT IN RESPECT OF PAYMENTS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payments to the Fiscal Agent provided for by clause 5 being duly made, the Fiscal Agent shall pay or cause to be paid on behalf of the Issuer or the Guarantor, as applicable, on and after each date on which any payment becomes due and payable, the amounts of principal and interest payable in respect of each Note under the Conditions and the provisions of this Agreement and, in the case of a payment of principal, following receipt of the Note at the specified office of the relevant Fiscal Agent.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In relation to Notes represented by the Global Certificate, the Issuer hereby authorises and instructs the Fiscal Agent to elect Euroclear or Clearstream, Luxembourg as Common Safekeeper. From time to time, the Issuer and the Agent may agree to vary this election. The Issuer acknowledges that any such election is subject to the right of Euroclear and Clearstream, Luxembourg to determine jointly that the other shall act as Common Safekeeper in relation to such issue and agrees that no liability shall attach to the Fiscal Agent in respect of any such election made by it.</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case of the delivery to Euroclear and/or Clearstream, Luxembourg of any documentation signed by the Issuer electronically or received by Euroclear and Clearstream, Luxembourg in electronic form only (including the Global Certificate representing the Notes), the Issuer will retain any supporting or other documentation or evidence in relation to the signing of such documentation (including any authentication details used to verify the identity of the person signing and any other electronic record or confirmation of the signing process) and, if requested by Euroclear and/or Clearstream, Luxembourg, will promptly provide to the Fiscal Agent such documentation or evidence for onward transmission to Euroclear and/or Clearstream, Luxembourg.</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If default is made by the Issuer or the Guarantor in respect of any payment, unless and until the full amount of the payment has been made under the terms of this Agreement (except as to the time of making the same) or other arrangements satisfactory to the Fiscal Agent have been made, the Fiscal Agent shall not be bound to act as paying agent.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While the Notes are represented by the Global Certificate, all payments due in respect of the Notes shall be made to, or to the order of, the registered holder of the Global Certificate, subject to and in accordance with the provisions of the Global Certificate. On the occasion of each payment, the Fiscal Agent shall cause the appropriate Schedule to the Global Certificate to be annotated so as to evidence the amounts and dates of the payments of principal and/or interest as applicable.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If on presentation of a Note the amount payable in respect of the Note is not paid in full (otherwise than as a result of withholding or deduction for or on account of any taxes as permitted by the Conditions) the Fiscal Agent shall instruct Euroclear or Clearstream, Luxembourg to make appropriate entries in their records to reflect such shortfall in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ANY WITHHOLDING OR DEDUCTION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the Issuer or the Guarantor (as applicable) is, in respect of any payment in respect of the Notes, compelled to withhold or deduct any amount for or on account of any taxes as contemplated by Condition 8, the Issuer or the Guarantor (as applicable) shall give notice to the Fiscal Agent as soon as it becomes aware of the requirement to make the withholding or deduction, as well as such information as the Fiscal Agent shall require to enable it to comply with the requirement.</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Without prejudice to the Issuer's and the Guarantor's obligations under Condition 8, all payments by the Issuer or the Guarantor under this Agreement shall be made free and clear of, and without withholding or deduction for, any taxes, duties, assessments or governmental charges of whatsoever nature imposed, levied, collected, withheld or assessed by any government having power to tax, unless such withholding or deduction is required by law.</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Fiscal Agent, the Issuer and the Guarantor acknowledge that the Issuer is treated as a disregarded entity for U.S. federal income tax purposes, the sole owner of which for such purposes is the Guarantor and that therefore, payments of interest made in respect of the Notes will be treated as from U.S. sources. The Fiscal Agent shall agree to perform all U.S. federal income tax information reporting and withholding compliance obligations in accordance with such treatment and will deliver an Internal Revenue Service Form W-9 to the Issuer in that regard.</w:t>
      </w:r>
    </w:p>
    <w:p>
      <w:pPr>
        <w:spacing w:after="0" w:line="17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REGISTRAR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Registrar shall so long as any Note is outstanding:</w:t>
      </w:r>
    </w:p>
    <w:p>
      <w:pPr>
        <w:spacing w:after="0" w:line="221" w:lineRule="exact"/>
        <w:rPr>
          <w:sz w:val="20"/>
          <w:szCs w:val="20"/>
          <w:color w:val="auto"/>
        </w:rPr>
      </w:pPr>
    </w:p>
    <w:p>
      <w:pPr>
        <w:jc w:val="both"/>
        <w:ind w:left="1300" w:hanging="644"/>
        <w:spacing w:after="0" w:line="257"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at its specified office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holders of the Registered Notes which shall show (i) the principal amounts and the serial numbers of the Notes, (ii) the dates of issue of all Notes, (iii) all subsequent transfers and changes of ownership of Notes, (iv) the names and addresses of the holders of the Notes, (v) all cancellations of Notes, and (vi) all replacements of Notes, and subject to applicable laws and regulations at all reasonable times during office hours, make such copy of the Register available, upon written request, to the Fiscal Agent, the Transfer Agent, the Issuer, the Guarantor, any person authorized by the Issuer or the Guarantor or any Noteholder, for inspection;</w:t>
      </w:r>
    </w:p>
    <w:p>
      <w:pPr>
        <w:spacing w:after="0" w:line="18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all transfers of Notes;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document in relation to or affecting the title to any of the Notes including all forms of transfer, forms of exchange, probates, letters of administration and powers of attorney;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proper records of the details of all documents received by itself or the Transfer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all such lists of registered holders of the Notes as may be required by the Issuer, the Guarantor, the Fiscal Agent or any person authorized by any one of them;</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laws and regulations at all reasonable times during office hours make the Register available to the Issuer or the Guarantor or any person authorized by either of them or the registered holder of any Note for inspection and for the taking of copies or extracts;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Fiscal Agent upon its request not less than seven days before each due date for the payment of interest of the names and addresses of all registered holders of the Notes at the close of business on the relevant Record Date and the amounts of their holdings in order to enable the Fiscal Agent to make or arrange for due payment to the registered holders of the amounts of interest payable in respect of the Notes or, as the case may be, the amounts required to redeem the Notes;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proper and reasonable requests of the Issuer or the Guarantor with respect to the maintenance of the Register and give to the Fiscal Agent and the Transfer Agent such information as may be reasonably required by them for the proper performance of their duties;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Notes delivered to it with a request for transfer of all or part of the Note, and shall, if appropriate, charge to the registered holder of a Note presented for transfer the costs or expenses (if any) of delivering Notes issued on such transfer other than by regular mail. Holders of the Notes shall be responsible for payment of any stamp duty, tax or other governmental charge that may be imposed in relation to the transfer, and for the avoidance of doubt, none of the Agents shall have any responsibility in connection therewith.</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TRANSFER AGENT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Transfer Agent shall perform the duties set out in this Agreement and the Conditions and, in performing those duties, shall comply with the Conditions and the provisions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Transfer Agent shall:</w:t>
      </w:r>
    </w:p>
    <w:p>
      <w:pPr>
        <w:spacing w:after="0" w:line="225" w:lineRule="exact"/>
        <w:rPr>
          <w:sz w:val="20"/>
          <w:szCs w:val="20"/>
          <w:color w:val="auto"/>
        </w:rPr>
      </w:pPr>
    </w:p>
    <w:p>
      <w:pPr>
        <w:ind w:left="1300" w:right="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Notes delivered to it with a request for transfer of all or part of the Note, and shall, in each case, give to the Registrar all relevant details to enable it to issue Notes in accordance with each request;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charge to the registered holder of a Note presented for transfer, the costs or expenses (if any) of the Registrar in delivering Notes issued on such transfer other than by regular mail. Holders of the Notes shall be responsible for payment of any stamp duty, tax or other governmental charge that may be imposed in relation to the transfer, and for the avoidance of doubt, none of the Agents shall have any responsibility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REGULATIONS FOR TRANSFER OF REGISTERED NOTES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as provided below, the Issuer may from time to time agree with the Registrar and the Transfer Agent reasonable regulations to govern the transfer and registration of Notes. The initial regulations, which shall apply until amended under this clause, are set out in Schedule 4. Each of the Registrar and the Transfer Agent agrees to comply with the regulations as amended from time to time.</w:t>
      </w:r>
    </w:p>
    <w:p>
      <w:pPr>
        <w:spacing w:after="0" w:line="171"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OF THE FISCAL AGENT IN CONNECTION WITH CONDITIONS RELATING TO REDEMPTION, MERGER, CONSOLIDATION OR SALE, SUBSTITUTION AND ISSUANCE IN EURO</w:t>
      </w:r>
    </w:p>
    <w:p>
      <w:pPr>
        <w:spacing w:after="0" w:line="159"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If the Issuer intends to redeem Notes under Condition 7(2), it shall, at least 14 days before the latest date for the publication of the relevant notice of redemption required to be given to Noteholders:</w:t>
      </w:r>
    </w:p>
    <w:p>
      <w:pPr>
        <w:spacing w:after="0" w:line="162" w:lineRule="exact"/>
        <w:rPr>
          <w:sz w:val="20"/>
          <w:szCs w:val="20"/>
          <w:color w:val="auto"/>
        </w:rPr>
      </w:pPr>
    </w:p>
    <w:p>
      <w:pPr>
        <w:ind w:left="1292" w:right="20" w:hanging="644"/>
        <w:spacing w:after="0" w:line="282" w:lineRule="auto"/>
        <w:tabs>
          <w:tab w:leader="none" w:pos="1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in writing of its intention to the Fiscal Agent stating the date on which such Notes are to be redeemed and the redemption amount; and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Fiscal Agent the certificate and written opinion of independent legal counsel specified in such Condition.</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behalf of and at the request and expense of the Issuer, the Fiscal Agent shall deliver the notice required in connection with such redemption in the form approved by the Issuer. Such notice shall specify the information required under Condition 7(2), including, amongst other things, the redemption date, the redemption amount and the manner in which redemption will be effected.</w:t>
      </w:r>
    </w:p>
    <w:p>
      <w:pPr>
        <w:spacing w:after="0" w:line="176"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If the Issuer or the Guarantor intends, in any transaction or series of related transactions, to (i) consolidate with, or merge with or into, any other person or (ii) sell, lease or convey all or substantially all of its assets to any other person pursuant to and in accordance with Condition 4(1)(e), the Issuer or the Guarantor (as applicable) shall, at least 14 days before the date proposed by the Issuer or Guarantor (as applicable) for the publication of the relevant written notice required to be given to Noteholders:</w:t>
      </w:r>
    </w:p>
    <w:p>
      <w:pPr>
        <w:spacing w:after="0" w:line="180" w:lineRule="exact"/>
        <w:rPr>
          <w:sz w:val="20"/>
          <w:szCs w:val="20"/>
          <w:color w:val="auto"/>
        </w:rPr>
      </w:pPr>
    </w:p>
    <w:p>
      <w:pPr>
        <w:ind w:left="1292" w:right="20" w:hanging="644"/>
        <w:spacing w:after="0" w:line="282" w:lineRule="auto"/>
        <w:tabs>
          <w:tab w:leader="none" w:pos="12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in writing of its intention to the Fiscal Agent stating the date on which it intends to complete such consolidation, merger, sale, lease or conveyance; and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Fiscal Agent the officer's certificate and opinion of counsel from the Issuer or the Guarantor (as applicable) specified in such Condition.</w:t>
      </w:r>
    </w:p>
    <w:p>
      <w:pPr>
        <w:spacing w:after="0" w:line="162"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On behalf of and at the request and expense of the Issuer, the Fiscal Agent shall deliver the notice to the Noteholders required under Condition 4(1)(e) in the form approved by the Issuer.</w:t>
      </w:r>
    </w:p>
    <w:p>
      <w:pPr>
        <w:spacing w:after="0" w:line="162"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If the Issuer may be substituted and replaced pursuant to and in accordance with Condition 4(1)(f), the Issuer shall, at least 14 days before the latest date for the publication of the relevant prior written notice required to be given to Noteholders:</w:t>
      </w:r>
    </w:p>
    <w:p>
      <w:pPr>
        <w:spacing w:after="0" w:line="162" w:lineRule="exact"/>
        <w:rPr>
          <w:sz w:val="20"/>
          <w:szCs w:val="20"/>
          <w:color w:val="auto"/>
        </w:rPr>
      </w:pPr>
    </w:p>
    <w:p>
      <w:pPr>
        <w:jc w:val="center"/>
        <w:ind w:left="5572" w:right="980" w:hanging="4924"/>
        <w:spacing w:after="0" w:line="783" w:lineRule="auto"/>
        <w:tabs>
          <w:tab w:leader="none" w:pos="1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in writing of its intention to the Fiscal Agent stating the date on which such substitution is intended to occur;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17" w:name="page18"/>
    <w:bookmarkEnd w:id="17"/>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Fiscal Agent the officer's certificate and opinion of counsel specified in such Condition.</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behalf of and at the request and expense of the Issuer, the Fiscal Agent shall deliver the notice to the Noteholders required under Condition 4(1)(f) in the form approved by the Issuer.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If Euro is unavailable to the Issuer or the Guarantor due to the imposition of exchange controls or other circumstances beyond the Issuer's or the Guarantor's control or the euro is no longer used by the member states of the European Monetary Union that have adopted the euro as their currency or for the settlement of transactions by public institutions within the international banking community, the Issuer or the Guarantor (as applicable) shall:</w:t>
      </w:r>
    </w:p>
    <w:p>
      <w:pPr>
        <w:spacing w:after="0" w:line="180" w:lineRule="exact"/>
        <w:rPr>
          <w:sz w:val="20"/>
          <w:szCs w:val="20"/>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Fiscal Agent of its intention to make payments in respect of the Notes in U.S. dollars pursuant to and in accordance with Condition 15;</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payments due under clause 5 in U.S. dollars pursuant to and in accordance with Condition 15;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Fiscal Agent when it intends to resume payments in Euro.</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behalf of and at the request and expense of the Issuer, the Fiscal Agent shall deliver a notice concerning the conversion of payments in respect of the Notes from Euros to U.S. dollars and, if and upon further notification in due course, a notice concerning the intention to resume payments in Euro, in each case, in the form approved by the Issuer.</w:t>
      </w:r>
    </w:p>
    <w:p>
      <w:pPr>
        <w:spacing w:after="0" w:line="17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RECEIPT AND PUBLICATION OF NOTICES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Promptly after the receipt by the Fiscal Agent of a written notice from any Noteholder under Condition 10, the Fiscal Agent shall forward a copy of the written notice to the Issuer and the Guarantor.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On behalf of and at the written request and expense of the Issuer, the Fiscal Agent shall cause to be delivered all notices required to be given by the Issuer under the Conditions.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Fiscal Agent shall, at the written request and expense of the Issuer, notify in writing the Noteholders in respect of all notices required to be so given under the Conditions.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For so long as all of the Notes are represented by a Global Certificate and the Global Certificate is held on behalf of a Clearing System, notices to Noteholders may be given by delivery of the relevant notice to that Clearing System for communication by it to entitled Accountholders (as defined in the Global Certificate) in substitution for notification as required by Condition 12.</w:t>
      </w:r>
    </w:p>
    <w:p>
      <w:pPr>
        <w:spacing w:after="0" w:line="17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NOTES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All Notes which are surrendered in connection with redemption or transfer shall be cancelled by the Agent to which they are surrendered. Each of the Agents shall give to the Fiscal Agent details of all payments made by it and shall deliver all cancelled Notes to the Fiscal Agent (or as the Fiscal Agent may specify). If Notes are acquired by or on behalf of the Issuer, the Guarantor or any member of the Guarantor's Group, such acquisition shall not operate as a redemption or satisfaction of the indebtedness represented by such Notes unless and until the same are surrendered to the Fiscal Agent or its authorized agent for cancellation.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Fiscal Agent or its authorized agent shall (unless otherwise instructed by the Issuer in writing) dispose of all cancelled Notes in accordance with its then current policies and upon written request furnish the Issuer and the Guarantor with a certificate of disposal containing written particulars of the serial numbers of the Notes so disposed of.</w:t>
      </w:r>
    </w:p>
    <w:p>
      <w:pPr>
        <w:spacing w:after="0" w:line="172"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ISSUE OF REPLACEMENT CERTIFICATES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The Issuer shall cause a sufficient quantity of additional forms of Certificates to be available, upon request, to the Fiscal Agent for the purpose of issuing replacement Certificates as provided below.</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The Fiscal Agent shall, subject to and in accordance with Condition 11 and the following provisions of this clause, cause to be authenticated (in the case only of replacement Certificates) and delivered any replacement Certificates which the Issuer may determine to issue in place of Certificates which have been lost, stolen, mutilated, defaced or destroyed.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Fiscal Agent shall obtain verification, in the case of an allegedly lost, stolen or destroyed Certificate in respect of which the serial number is known, that the Certificate has not previously been redeemed or paid. The Fiscal Agent shall not issue a replacement Certificate unless and until the applicant has:</w:t>
      </w:r>
    </w:p>
    <w:p>
      <w:pPr>
        <w:spacing w:after="0" w:line="176"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such expenses and costs as may be reasonably incurred in connection with the replacement;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it with such evidence and indemnity or security as the Issuer and the Fiscal Agent may reasonably require;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mutilated or defaced Certificate, surrendered it to the Fiscal Agent.</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Fiscal Agent shall cancel any mutilated or defaced Certificates in respect of which replacement Certificates have been issued pursuant to this clause. The Fiscal Agent shall upon the Issuer's written request furnish the Issuer and the Guarantor with a certificate stating the serial number of the Certificates received by it and cancelled pursuant to this clause and shall, unless otherwise requested by the Issuer, destroy all those Certificates and upon written request furnish the Issuer or the Guarantor with a destruction certificate containing the information specified in subclause 14.2.</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The Fiscal Agent shall, on issuing any replacement Certificate, forthwith inform the Issuer, the Guarantor, the Registrar and the Transfer Agent of the serial number of the replacement Certificate issued and (if known) of the serial number of the Certificate in place of which the replacement Certificate has been issued.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Whenever a Certificate for which a replacement Certificate has been issued and the serial number of which is known is presented to the Fiscal Agent for payment or to the Transfer Agent for transfer, the relevant Agent shall immediately send notice to the Issuer, the Guarantor, the Registrar and (if it is not itself the Fiscal Agent) the Fiscal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 AND CERTIFICATES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The Fiscal Agent shall keep a full and complete record of all Certificates and of their redemption, purchase by or on behalf of the Issuer, the Guarantor or any member of the Guarantor's Group, cancellation or payment (as the case may be) and of all replacement Certificates issued in substitution for lost, stolen, mutilated, defaced or destroyed Certificates. The Fiscal Agent shall at all reasonable times during business hours upon prior written request make the records available to the Issuer and the Guarantor and any persons authorized by any of them for inspection and for the taking of copies of them or extracts from them.</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The Fiscal Agent shall give to the Issuer and the Guarantor, upon written request, a certificate stating (a) the aggregate principal amount of Certificates which have been redeemed, (b) the serial numbers of those Certificates, (c) the aggregate amount of interest paid (and the due dates of the payments) on the Global Certificate and/or on the Certificates, (d) the aggregate principal amounts of the Notes (if any) which have been purchased by or on behalf of the Issuer, the Guarantor or any member of the Guarantor's Group which have been delivered to it for cancellation and the serial numbers of such Certificates and (e) the aggregate principal amounts of Certificates which have been surrendered and replaced and the serial numbers of those Certificates.</w:t>
      </w:r>
    </w:p>
    <w:p>
      <w:pPr>
        <w:spacing w:after="0" w:line="18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COPIES OF THIS AGREEMENT AVAILABLE FOR INSPECTION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shall hold copies of this Agreement, and any other documents expressed to be held by them in the Offering Circular dated June 9, 2026 issued by the Issuer in relation to the Notes, available for inspection by the Noteholders upon their reasonable prior written request during normal business hours. For this purpose, the Issuer shall furnish the Fiscal Agent with sufficient copies of such documents.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Issuer, failing which the Guarantor, shall pay to the Agents such fees and expenses in respect of the services of the Agents under this Agreement as shall be agreed in writing between the Issuer, the Guarantor and the Fiscal Agent. The Issuer and the Guarantor shall not be concerned with the apportionment of payment among the Agents other than such agents that may be appointed from time to time by the Issuer and the Guarantor that are not an affiliate of BNY London Branch or BNY Dublin Branch.</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Issuer, failing which the Guarantor, shall also pay to the Fiscal Agent an amount equal to any value added tax which may be payable in respect of the commissions or fees together with all properly incurred expenses incurred by the Agents in connection with their services under this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The Fiscal Agent shall arrange for payment of the fees and expenses due to the other Agents and arrange for the reimbursement of their expenses promptly after receipt of the relevant moneys from the Issuer or the Guarantor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At the request of the Fiscal Agent, the parties to this Agreement may from time to time during the continuance of this Agreement review the commissions and fees agreed initially pursuant to subclause 18.1 with a view to determining whether the parties can mutually agree in writing upon any changes to the commissions or fees.</w:t>
      </w:r>
    </w:p>
    <w:p>
      <w:pPr>
        <w:spacing w:after="0" w:line="17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Issuer and the Guarantor jointly and severally undertake to indemnify each of the Agents and their directors, officers, employees and controlling persons against all losses, liabilities, costs, claims, actions, damages, demands or expenses (including the reasonable compensation and the expenses of counsel), incurred by any of them as a result of or in connection with the appointment of or the exercise of the powers and duties by any Agent under this Agreement including the costs and expenses of defending itself against any claim (whether asserted by the Issuer, the Guarantor, or any Noteholder or any other person) or liability in connection with the exercise or performance of any of its powers or duties hereunder, or in connection with enforcing the provisions of this subclause 19.1 except as may result from the gross negligence or willful misconduct of the relevant Agent or its directors, officers, employees and controlling persons.</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Notwithstanding the foregoing subclause 19.1, under no circumstances shall the Issuer, the Guarantor or any of the Agents be liable for any consequential, indirect, punitive or special loss (being loss of business, goodwill, opportunity or profit), howsoever caused or arising.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The indemnities in this clause 19 shall survive the termination or expiry of this Agreement and the resignation or removal of any Agent.</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The Fiscal Agent and each other Agent appointed hereunder represents and warrants that it is duly organized and validly existing under the laws of its jurisdiction of formation, and has all regulatory and other approvals necessary to perform its obligations under this Agreement.</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Each of the Agents hereby undertakes to perform its duties pursuant to the terms set forth in this Agreement, consistent with industry standards, and in compliance with applicable laws and regulations.</w:t>
      </w:r>
    </w:p>
    <w:p>
      <w:pPr>
        <w:spacing w:after="0" w:line="15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 AND COVENANT</w:t>
      </w:r>
    </w:p>
    <w:p>
      <w:pPr>
        <w:spacing w:after="0" w:line="2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and irrevocably (i) guarantees the due performance by the Issuer of its obligations under this Agreement and the Notes, including the Issuer's payment obligations hereunder and under the Notes as and when the same shall become due and payable on the terms set out in Schedule 5 and (ii) agrees and covenants to perform all of its obligations under this Agreement (including the Guarantee) and all of the obligations of the Guarantor referenced in the Notes as if such obligations were contained in this Agreement (including the Guarantee). The Guarantor's obligations under this clause 20 shall apply irrespective of the validity or enforceability of any other provision of this Agreement or the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GUARANTEE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To further evidence the Guarantee obligations of the Guarantor set forth in clause 20, the Guarantor hereby:</w:t>
      </w:r>
    </w:p>
    <w:p>
      <w:pPr>
        <w:spacing w:after="0" w:line="225" w:lineRule="exact"/>
        <w:rPr>
          <w:sz w:val="20"/>
          <w:szCs w:val="20"/>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 copy of the Guarantee shall, simultaneously with the issuance and authentication of the Notes under this Agreement, be delivered to, or to the order of, the Fiscal Agent;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and authorizes, the endorsement of a copy of the Guarantee on each Note authenticated by the Fiscal Agent;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Guarantee shall remain in full force and effect notwithstanding any failure to endorse on each Note a copy of the Guarantee;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delivery of any Note by the Fiscal Agent, after authentication thereof under this Agreement, shall constitute due delivery of the Guarantee set forth in this Agreement on behalf of the Guarantor.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BY FISCAL AGENT</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by or by arrangement with the Issuer or the Guarantor for payment to the Noteholders (as applicable) to the Fiscal Agent pursuant to the terms of this Agreement shall not be required to be repaid to the Issuer or the Guarantor unless and until any Note becomes void under the provisions of Condition 9 but in that event the Fiscal Agent shall forthwith repay to the Issuer or the Guarantor (as applicable) (upon its written request therefor to the extent it has actual knowledge of such) sums that have not yet been paid to the registered holders equivalent to the amounts which would otherwise have been payable in respect of the relevant Note.</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APPOINTMENT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as provided in subclause 23.3, the Fiscal Agent shall be entitled to deal with money paid to it by the Issuer or the Guarantor (as applicable) for the purposes of this Agreement in the same manner as other money paid to a banker by its customers and shall not be liable to account to the Issuer or the Guarantor (as applicable) for any interest or other amounts in respect of the money. No money held by any Agent need be segregated except as required by law.</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as provided in subclause 23.3, in acting under this Agreement and in connection with the Notes, the Agents shall act solely as agents of the Issuer and the Guarantor and will not assume any obligations towards or relationship of agency or trust for or with any of the owners or registered holders of the Notes.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No Agent shall exercise any right of set-off or lien against the Issuer, the Guarantor or any registered holders of Notes in respect of any moneys payable to or by it under the terms of this Agreement.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Except as otherwise permitted in the Conditions or as ordered by a court of competent jurisdiction or required by law or otherwise instructed by the Issuer, each of the Agents shall be entitled to treat the registered holder of any Note as the absolute owner for all purposes (whether or not the Note shall be overdue and notwithstanding any notice of ownership or other writing on the Note or any notice of previous loss or theft of the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Each of the Agents shall be obliged to perform such duties and only such duties as are specifically set out in this Agreement (including Schedule 6 in the case of the Fiscal Agent) and the Notes and no implied duties or obligations shall be read into this Agreement or the Notes against the Agents.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The Fiscal Agent may consult with legal and other professional advisers and the opinion of the advisers shall be full and complete protection in respect of action taken, omitted or suffered under this Agreement in good faith and in accordance with the opinion of the advisers.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Each of the Agents shall be protected, may rely, and shall incur no liability for or in respect of action taken, omitted or suffered in reliance upon, and in accordance with, any instruction, request or order from the Issuer or the Guarantor, or any notice, resolution, direction, consent, certificate, affidavit, statement, facsimile or document which it reasonably believes to be genuine and to have been delivered, signed or sent by the proper party or parties or upon written instructions from the Issuer or the Guarantor.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Any of the Agents and their affiliates, their officers, directors, employees or controlling persons may become the owner of, or acquire any interest in, Notes with the same rights that it or he would have if the Agent concerned were not appointed under this Agreement, and may engage or be interested in any financial or other transaction with the Issuer or the Guarantor, and may act on, or as depositary, trustee or agent for, any committee or body of registered holders of Notes or other obligations of the Issuer or the Guarantor, as freely as if the Agent were not appointed under this Agreement.</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The Agents shall not be under any obligation to take any action under this Agreement which any of them expects may result in any cost, expense or liability accruing to it. No provision of this Agreement shall require the Agents to expend or risk its own funds or otherwise incur any financial liability in the performance of any of its duties hereunder.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23.10</w:t>
        <w:tab/>
        <w:t>In no event shall the Agents be responsible or liable for any failure or delay in the performance of its obligations hereunder arising out of or caused by forces beyond its control, including, without limitation, acts of war or terrorism, civil or military disturbances, epidemics, pandemics, nuclear or natural catastrophes or acts of God, and interruptions, loss or malfunctions of utilities, communications or computer (software and hardware) services; it being understood that the Agents shall use reasonable best efforts to resume performance as soon as practicable under the circumstances.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23.11</w:t>
        <w:tab/>
        <w:t>In order to comply with applicable tax laws, rules and regulations (inclusive of directives, guidelines and interpretations promulgated by competent authorities) in effect from time to time ("</w:t>
      </w:r>
      <w:r>
        <w:rPr>
          <w:rFonts w:ascii="Times New Roman" w:cs="Times New Roman" w:eastAsia="Times New Roman" w:hAnsi="Times New Roman"/>
          <w:sz w:val="18"/>
          <w:szCs w:val="18"/>
          <w:b w:val="1"/>
          <w:bCs w:val="1"/>
          <w:color w:val="auto"/>
        </w:rPr>
        <w:t>Applicable Tax Law</w:t>
      </w:r>
      <w:r>
        <w:rPr>
          <w:rFonts w:ascii="Times New Roman" w:cs="Times New Roman" w:eastAsia="Times New Roman" w:hAnsi="Times New Roman"/>
          <w:sz w:val="18"/>
          <w:szCs w:val="18"/>
          <w:color w:val="auto"/>
        </w:rPr>
        <w:t>") a foreign financial institution, issuer, trustee, paying agent, holder or other institution which has agreed to be subject to or related to this Agreement agrees to provide to each Agent upon its reasonable request such reasonably available information about holders or other applicable parties and/or transactions (including any modification to the terms of such transactions) so that such Agent (as the case may be) can determine whether it has tax related obligations under Applicable Tax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23.12</w:t>
      </w:r>
      <w:r>
        <w:rPr>
          <w:sz w:val="20"/>
          <w:szCs w:val="20"/>
          <w:color w:val="auto"/>
        </w:rPr>
        <w:tab/>
      </w:r>
      <w:r>
        <w:rPr>
          <w:rFonts w:ascii="Times New Roman" w:cs="Times New Roman" w:eastAsia="Times New Roman" w:hAnsi="Times New Roman"/>
          <w:sz w:val="17"/>
          <w:szCs w:val="17"/>
          <w:color w:val="auto"/>
        </w:rPr>
        <w:t>The permissive rights of the Agents enumerated herein shall not be construed as duties of the Agents.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23.13</w:t>
        <w:tab/>
        <w:t>The Agents shall not be charged with knowledge of any default or event of default unless a trust officer of the Fiscal Agent with direct responsibility for the administration of this Agreement has received written notice of any such event and such notice references this Agreement and the Notes.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23.14</w:t>
        <w:tab/>
        <w:t>No Agent shall be liable for any action taken or omitted or for any loss or injury resulting from its actions or its performance or lack of performance of its duties hereunder in the absence of gross negligence or willful misconduct on its part. In no event shall any Agent be liable for the acts or omissions of its nominees, correspondents, designees, subagents or subcustodians in the absence of gross negligence or willful misconduct in their selection.</w:t>
      </w:r>
    </w:p>
    <w:p>
      <w:pPr>
        <w:spacing w:after="0" w:line="18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23.15</w:t>
        <w:tab/>
        <w:t>The recitals contained herein and in the Notes (except in the certificate of authentication of a duly authorized officer or a duly appointed signatory of the Fiscal Agent) shall be taken as the statements of the Issuer and the Agents assume no responsibility for the correctness of the same. None of the Agents makes any representation as to the validity, adequacy or sufficiency of this Agreement or the Notes. None of the Agents or any other paying agent shall be accountable for the use or application by the Issuer of the proceeds of any Notes authenticated and delivered by or on behalf of the Fiscal Agent in conformity with the provisions of this Agreement. No Agent shall be responsible to make any calculation with respect to any matter under this Agreement. No Agent shall have any duty to monitor or investigate the Issuer's or the Guarantor's compliance with or breach of, or cause to be performed or observed, any representation, warranty, or covenant, or agreement of any person made in this Agreement.</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23.16</w:t>
        <w:tab/>
        <w:t>No Agent shall be liable for any error of judgment made in good faith by such Agent, unless it shall be proved that such Agent was negligent in ascertaining the pertinent facts.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23.17</w:t>
        <w:tab/>
        <w:t>Each Agent may execute any of the trusts or powers hereunder or perform any duties hereunder either directly or by or through agents or attorneys and such Agent shall not be responsible for any misconduct or negligence on the part of any agent or attorney appointed with due care by it hereunder.</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23.18</w:t>
        <w:tab/>
        <w:t>None of the Agents shall be under any obligation to take any action under this Agreement that may be illegal or contrary to applicable law or regulation.</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23.19</w:t>
        <w:tab/>
        <w:t>Each party to this Agreement shall, within ten business days of a written request by another party to this Agreement, supply to that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provided, however, that no party to this Agreement shall be required to provide any forms, documentation or other information pursuant to this subclause 23.19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subclause 23.19,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shall be deemed to include (i) any rule or practice of any governmental authority by which any party to this Agreement is bound or with which it is accustomed to comply; (ii) any agreement between any governmental authorities; and (iii) any agreement between any governmental authority and any party to this Agreement that is customarily entered into by institutions of a similar nature.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COMMUNICATION WITH AGENTS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all communications relating to the subject matter of this Agreement between the Issuer and any of the Agents other than the Fiscal Agent shall be sent to the Fiscal Agent.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APPOINTMENT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Issuer may terminate the appointment of any Agent at any time and/or appoint additional or other Agents by giving to the Agent whose appointment is concerned and, where appropriate, the Fiscal Agent, at least 60 days' prior written notice to that effect, provided that, so long as any of the Notes is outstanding, (a) in the case of the Fiscal Agent, the notice shall not expire less than 45 days before any due date for the payment of interest and (b) notice shall be given under Condition 12 at least 30 days before the removal or appointment of an Agent.</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Notwithstanding the provisions of subclause 25.1, if at any time an Agent becomes incapable of acting, or is adjudged bankrupt or insolvent, or files a voluntary petition in bankruptcy, or makes an assignment for the benefit of its creditors or consents to the appointment of an administrator, liquidator or administrative or other receiver of all or any substantial part of its property, or if an administrator, liquidator or administrative or other receiver of it or of all or a substantial part of its property is appointed, or it admits in writing its inability to pay or meet its debts as they may mature or suspends payment of its debts, or if an order of any court is entered approving any petition filed by or against it under the provisions of any applicable bankruptcy or insolvency law, or if a public officer takes charge or control of the Agent or of its property or affairs for the purpose of rehabilitation, administration or liquidation; the Issuer may forthwith without notice terminate the appointment of the Agent, in which event notice shall be given by the Issuer to the Noteholders under Condition 12 as soon as is practicable.</w:t>
      </w:r>
    </w:p>
    <w:p>
      <w:pPr>
        <w:spacing w:after="0" w:line="19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All or any of the Agents may resign their respective appointments under this Agreement at any time by giving to the Issuer and the Guarantor and, where appropriate, the Fiscal Agent, upon not less than 60 days' prior written notice to that effect, provided that, so long as any of the Notes is outstanding, the notice shall not, in the case of the Fiscal Agent, expire less than 45 days before any due date for the payment of interest. Following receipt of a notice of resignation from the Fiscal Agent, the Issuer shall promptly, and in any event not less than 30 days before the resignation takes effect, give notice to the Noteholders under Condition 12. If the Fiscal Agent shall be removed pursuant to subclauses 25.1 or 25.2 above or in accordance with this subclause 25.3, the Issuer shall promptly and in any event within 30 days of receipt of the notice of resignation appoint a successor (being a leading bank acting through its office in the United States or London). If the Issuer fails to appoint a successor within such period, the Fiscal Agent may at the expense of the Issuer petition a court of competent jurisdiction for the appointment of a successor Fiscal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color w:val="auto"/>
        </w:rPr>
        <w:t>Notwithstanding the provisions of subclauses 25.1, 25.2 and 25.3, so long as any of the Notes is outstanding, the termination of the appointment of an Agent (whether by the Issuer or by the resignation of such Agent) shall not be effective unless upon the expiry of the relevant notice there is:</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Fiscal Agent;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Registrar and a Transfer Agent.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color w:val="auto"/>
        </w:rPr>
        <w:t>Any successor Agent shall execute and deliver to its predecessor, the Issuer, the Guarantor and, where appropriate, the Fiscal Agent, an instrument accepting the appointment under this Agreement, and the successor Agent, without any further act, deed or conveyance, shall become vested with all the authority, rights, powers, trusts, immunities, duties and obligations of the predecessor with like effect as if originally named as an Agent.</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8"/>
          <w:szCs w:val="18"/>
          <w:color w:val="auto"/>
        </w:rPr>
        <w:t>If the appointment of an Agent under this Agreement is terminated (whether by the Issuer or by the resignation of the relevant Agent), such Agent shall (upon payment of its charges hereunder, except for those charges, if any, under a good faith dispute by the Issuer) on the date on which the termination takes effect deliver to its successor Agent (or, if none, the Fiscal Agent) all Notes surrendered to it but not yet destroyed and all records concerning the Notes maintained by it (except such documents and records as it is obliged by law or regulation to retain or not to release) and pay to its successor Agent (or, if none, to the Fiscal Agent) the amounts (if any) held by it in respect of Notes which have become due and payable but which have not been presented for payment, but shall have no other duties or responsibilities under this Agreement.</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8"/>
          <w:szCs w:val="18"/>
          <w:color w:val="auto"/>
        </w:rPr>
        <w:t>If the Fiscal Agent or any of the other Agents shall change its specified office, it shall give to the Issuer, the Guarantor and where appropriate, the Fiscal Agent not less than 45 days' prior written notice to that effect giving the address of the new specified office. As soon as practicable thereafter and in any event at least 30 days before the change, the Fiscal Agent shall give to the Noteholders on behalf of and at the expense of the Issuer, notice of the change and the address of the new specified office under Condition 12.</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25.8</w:t>
      </w:r>
      <w:r>
        <w:rPr>
          <w:sz w:val="20"/>
          <w:szCs w:val="20"/>
          <w:color w:val="auto"/>
        </w:rPr>
        <w:tab/>
      </w:r>
      <w:r>
        <w:rPr>
          <w:rFonts w:ascii="Times New Roman" w:cs="Times New Roman" w:eastAsia="Times New Roman" w:hAnsi="Times New Roman"/>
          <w:sz w:val="18"/>
          <w:szCs w:val="18"/>
          <w:color w:val="auto"/>
        </w:rPr>
        <w:t>A person into which any Agent for the time being may be merged or converted or a person with which the Agent may be consolidated or a person resulting from a merger, conversion or consolidation to which the Agent shall be a party, any person to which such Agent shall sell or otherwise transfer all or substantially all of its assets or any person to which such Agent shall sell or otherwise transfer all or substantially all of its corporate trust business, shall, to the extent permitted by applicable law, be the successor Agent under this Agreement without the execution or filing of any paper or any further act on the part of any of the parties to this Agreement. Notice of any merger, conversion or consolidation shall forthwith be given to the Issuer and, where appropriate, the Fiscal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MEETINGS OF NOTEHOLDERS</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Schedule 3 shall apply to meetings of the Noteholders (including by way of teleconference or videoconference call) and shall have effect in the same manner as if set out in this Agreement provided that, so long as any of the Notes are represented by the Global Certificate, the expression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shall include the persons for the time being shown in the records of Euroclear and/or Clearstream, Luxembourg, as the holders of a particular principal amount of such Notes (in which regard a certificate or other document issued by Euroclear or Clearstream, Luxembourg as to the principal amount of such Notes standing to the account of any person shall be conclusive and binding) for all purposes other than with respect to the payment of principal of, and interest on, such Notes, the right to which shall be vested as against the Issuer or the Guarantor solely in the nominee for the relevant Clearing System in accordance with and subject to the terms of the Global Certificate and the expressions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be construed accordingly.</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notice required to be given under this Agreement to any of the parties shall be in English and shall be delivered in person, sent by pre-paid post (first class if inland, first class airmail if overseas) 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Issuer:</w:t>
            </w: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SIMON GLOBAL DEVELOPMENT B.V.</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Stadsplateau 7</w:t>
            </w:r>
          </w:p>
        </w:tc>
      </w:tr>
      <w:tr>
        <w:trPr>
          <w:trHeight w:val="234"/>
        </w:trPr>
        <w:tc>
          <w:tcPr>
            <w:tcW w:w="2940" w:type="dxa"/>
            <w:vAlign w:val="bottom"/>
          </w:tcPr>
          <w:p>
            <w:pPr>
              <w:spacing w:after="0"/>
              <w:rPr>
                <w:sz w:val="20"/>
                <w:szCs w:val="20"/>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3521 AZ Utrecht</w:t>
            </w:r>
          </w:p>
        </w:tc>
      </w:tr>
      <w:tr>
        <w:trPr>
          <w:trHeight w:val="432"/>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r>
      <w:tr>
        <w:trPr>
          <w:trHeight w:val="432"/>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14"/>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SIMON PROPERTY GROUP, L.P.</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225 West Washington Street</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Indianapolis, Indiana 46204</w:t>
            </w:r>
          </w:p>
        </w:tc>
      </w:tr>
      <w:tr>
        <w:trPr>
          <w:trHeight w:val="234"/>
        </w:trPr>
        <w:tc>
          <w:tcPr>
            <w:tcW w:w="2940" w:type="dxa"/>
            <w:vAlign w:val="bottom"/>
          </w:tcPr>
          <w:p>
            <w:pPr>
              <w:spacing w:after="0"/>
              <w:rPr>
                <w:sz w:val="20"/>
                <w:szCs w:val="20"/>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32"/>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r>
      <w:tr>
        <w:trPr>
          <w:trHeight w:val="414"/>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Guarantor:</w:t>
            </w: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SIMON PROPERTY GROUP, L.P.</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225 West Washington Street</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Indianapolis, Indiana 46204</w:t>
            </w:r>
          </w:p>
        </w:tc>
      </w:tr>
      <w:tr>
        <w:trPr>
          <w:trHeight w:val="234"/>
        </w:trPr>
        <w:tc>
          <w:tcPr>
            <w:tcW w:w="2940" w:type="dxa"/>
            <w:vAlign w:val="bottom"/>
          </w:tcPr>
          <w:p>
            <w:pPr>
              <w:spacing w:after="0"/>
              <w:rPr>
                <w:sz w:val="20"/>
                <w:szCs w:val="20"/>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32"/>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r>
      <w:tr>
        <w:trPr>
          <w:trHeight w:val="410"/>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Fiscal Agent:</w:t>
            </w: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tc>
      </w:tr>
      <w:tr>
        <w:trPr>
          <w:trHeight w:val="220"/>
        </w:trPr>
        <w:tc>
          <w:tcPr>
            <w:tcW w:w="2940" w:type="dxa"/>
            <w:vAlign w:val="bottom"/>
          </w:tcPr>
          <w:p>
            <w:pPr>
              <w:spacing w:after="0"/>
              <w:rPr>
                <w:sz w:val="19"/>
                <w:szCs w:val="19"/>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LONDON BRANCH</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160 Queen Victoria Street</w:t>
            </w:r>
          </w:p>
        </w:tc>
      </w:tr>
      <w:tr>
        <w:trPr>
          <w:trHeight w:val="216"/>
        </w:trPr>
        <w:tc>
          <w:tcPr>
            <w:tcW w:w="294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London EC4V 4LA</w:t>
            </w:r>
          </w:p>
        </w:tc>
      </w:tr>
      <w:tr>
        <w:trPr>
          <w:trHeight w:val="234"/>
        </w:trPr>
        <w:tc>
          <w:tcPr>
            <w:tcW w:w="2940" w:type="dxa"/>
            <w:vAlign w:val="bottom"/>
          </w:tcPr>
          <w:p>
            <w:pPr>
              <w:spacing w:after="0"/>
              <w:rPr>
                <w:sz w:val="20"/>
                <w:szCs w:val="20"/>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32"/>
        </w:trPr>
        <w:tc>
          <w:tcPr>
            <w:tcW w:w="2940" w:type="dxa"/>
            <w:vAlign w:val="bottom"/>
          </w:tcPr>
          <w:p>
            <w:pPr>
              <w:spacing w:after="0"/>
              <w:rPr>
                <w:sz w:val="24"/>
                <w:szCs w:val="24"/>
                <w:color w:val="auto"/>
              </w:rPr>
            </w:pP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r>
      <w:tr>
        <w:trPr>
          <w:trHeight w:val="675"/>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873" w:right="339" w:bottom="1440" w:gutter="0" w:footer="0" w:header="0"/>
        </w:sectPr>
      </w:pPr>
    </w:p>
    <w:bookmarkStart w:id="27" w:name="page28"/>
    <w:bookmarkEnd w:id="27"/>
    <w:p>
      <w:pPr>
        <w:ind w:left="3280" w:right="1980" w:hanging="3279"/>
        <w:spacing w:after="0" w:line="263" w:lineRule="auto"/>
        <w:tabs>
          <w:tab w:leader="none" w:pos="3260" w:val="left"/>
        </w:tabs>
        <w:rPr>
          <w:sz w:val="20"/>
          <w:szCs w:val="20"/>
          <w:color w:val="auto"/>
        </w:rPr>
      </w:pPr>
      <w:r>
        <w:rPr>
          <w:rFonts w:ascii="Times New Roman" w:cs="Times New Roman" w:eastAsia="Times New Roman" w:hAnsi="Times New Roman"/>
          <w:sz w:val="18"/>
          <w:szCs w:val="18"/>
          <w:color w:val="auto"/>
        </w:rPr>
        <w:t>The Registrar and Transfer Agent:</w:t>
      </w:r>
      <w:r>
        <w:rPr>
          <w:sz w:val="20"/>
          <w:szCs w:val="20"/>
          <w:color w:val="auto"/>
        </w:rPr>
        <w:tab/>
      </w:r>
      <w:r>
        <w:rPr>
          <w:rFonts w:ascii="Times New Roman" w:cs="Times New Roman" w:eastAsia="Times New Roman" w:hAnsi="Times New Roman"/>
          <w:sz w:val="18"/>
          <w:szCs w:val="18"/>
          <w:b w:val="1"/>
          <w:bCs w:val="1"/>
          <w:color w:val="auto"/>
        </w:rPr>
        <w:t xml:space="preserve">THE BANK OF NEW YORK MELLON SA/NV, DUBLIN BRANCH </w:t>
      </w:r>
      <w:r>
        <w:rPr>
          <w:rFonts w:ascii="Times New Roman" w:cs="Times New Roman" w:eastAsia="Times New Roman" w:hAnsi="Times New Roman"/>
          <w:sz w:val="18"/>
          <w:szCs w:val="18"/>
          <w:color w:val="auto"/>
        </w:rPr>
        <w:t>The Shipping Office</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20-26 Sir John Rogerson’s Quay</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D02 Y049</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Dublin 2, Ireland</w:t>
      </w:r>
    </w:p>
    <w:p>
      <w:pPr>
        <w:spacing w:after="0" w:line="2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address of which notice in writing has been given to the other parties to this Agreement under the provisions of this clause.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notice shall take effect, if delivered in person, at the time of delivery, if sent by post, three days in the case of inland post or seven days in the case of overseas post, after the time of despatch, and, if sent by Electronic Means (as defined below), upon confirmation of delivery received by the person making such transmissions.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of the Agents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given pursuant to this Agreement and delivered using Electronic Means (as defined below); provided, however, that the Issuer and the Guarantor shall provide to the Agents an incumbency certificate listing officers with the authority to provide such Instructions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or the Guarantor, as applicable, whenever a person is to be added or deleted from the listing. If the Issuer or the Guarantor, as applicable, elects to give an Agent Instructions using Electronic Means and such Agent in its discretion elects to act upon such Instructions, the Agent's understanding of such Instructions shall be deemed controlling. Each of the Issuer and the Guarantor understands and agrees that the Agents cannot determine the identity of the actual sender of such Instructions and that the Agents shall conclusively presume that directions that purport to have been sent by an Authorized Officer listed on the incumbency certificate provided to the Agents have been sent by such Authorized Officer. The Issuer and the Guarantor, as applicable, shall be responsible for ensuring that only Authorized Officers transmit such Instructions to the Agents and that the Issuer, the Guarantor and all Authorized Officers are solely responsible to safeguard the use and confidentiality of applicable user and authorization codes, passwords and/or authentication keys upon receipt by the Issuer or the Guarantor, as applicable. The Agents shall not be liable for any losses, costs or expenses arising directly or indirectly from such Agent's reliance upon and compliance with such Instructions notwithstanding such directions conflict or are inconsistent with a subsequent written instruction. Each of the Issuer and the Guarantor agrees: (i) to assume all risks arising out of the use of Electronic Means to submit Instructions to the Agents, including without limitation the risk of an Agent acting on unauthorized Instructions, and the risk of interception and misuse by third parties; (ii) that it is fully informed of the protections and risks associated with the various methods of transmitting Instructions to an Agent and that there may be more secure methods of transmitting Instructions than the method(s) selected by the Issuer or the Guarantor, as applicable; (iii) that the security procedures (if any) to be followed in connection with its transmission of Instructions provide to it a commercially reasonable degree of protection in light of its particular needs and circumstances; and (iv) to notify the Agent immediately upon learning of any compromise or unauthorized use of the security procedures.</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8" w:name="page29"/>
    <w:bookmarkEnd w:id="28"/>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shall mean the following communications methods: e-mail, secure electronic transmission containing applicable authorization codes, passwords and/or authentication keys issued by an Agent, or another method or system specified by such Agent as available for use in connection with its services hereunder.</w:t>
      </w:r>
    </w:p>
    <w:p>
      <w:pPr>
        <w:spacing w:after="0" w:line="17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 AND STAMP DUTIES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agree to pay any and all stamp and other taxes or duties which may be payable in connection with the execution, delivery, performance and enforcement of this Agreement by the Agents.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agreement and any party may enter into this Agreement by executing a counterpart.</w:t>
      </w:r>
    </w:p>
    <w:p>
      <w:pPr>
        <w:spacing w:after="0" w:line="15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copies of this Agreement and of signature pages by facsimile or electronic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"pdf" or "tif") transmission shall constitute effective execution and delivery of this Agreement as to the parties hereto and may be used in lieu of the original Agreement for all purposes. The exchange of copies of this Agreement and of signature pages that are executed by manual signatures that are scanned, photocopied or faxed or by other electronic signing created on an electronic platform (such as DocuSign) or by digital signing (such as Adobe Sign), in each case that is approved by the Agents, shall constitute effective execution and delivery of this Agreement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Agents, shall be deemed to be their original signatures for all purposes of this Agreement as to the parties hereto and may be used in lieu of the original.</w:t>
      </w:r>
    </w:p>
    <w:p>
      <w:pPr>
        <w:spacing w:after="0" w:line="186"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or the Notes to the contrary notwithstanding, for the purposes of the transactions contemplated by this Agreement, the Notes and any document to be signed in connection with the Agreement or the Notes (including the Notes, the Guarantee, the Fiscal Agent's certificate of authentication and amendments, supplements, waivers, consents and other modifications, certificates, Issuer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Agents, and contract formations on electronic platforms approved by the Agents,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DESCRIPTIVE HEADINGS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descriptive headings in this Agreement are for convenience of reference only and shall not define or limit the provisions of this Agreement.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SUBMISSION TO JURISDICTION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This Agreement is governed by, and shall be construed in accordance with, the laws of the State of New York, without regard to principles of conflicts of laws.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Each of the Issuer, the Guarantor and the Agents irrevocably consents to the non-exclusive jurisdiction of the State or Federal courts sitting in the Borough of Manhattan, The City of New York ("</w:t>
      </w:r>
      <w:r>
        <w:rPr>
          <w:rFonts w:ascii="Times New Roman" w:cs="Times New Roman" w:eastAsia="Times New Roman" w:hAnsi="Times New Roman"/>
          <w:sz w:val="18"/>
          <w:szCs w:val="18"/>
          <w:b w:val="1"/>
          <w:bCs w:val="1"/>
          <w:color w:val="auto"/>
        </w:rPr>
        <w:t>New York Courts</w:t>
      </w:r>
      <w:r>
        <w:rPr>
          <w:rFonts w:ascii="Times New Roman" w:cs="Times New Roman" w:eastAsia="Times New Roman" w:hAnsi="Times New Roman"/>
          <w:sz w:val="18"/>
          <w:szCs w:val="18"/>
          <w:color w:val="auto"/>
        </w:rPr>
        <w:t>") to adjudicate any disputes which may arise out of or in connection with this Agreement or the Notes and that accordingly any action or proceedings (together referred to as "</w:t>
      </w: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arising out of or in connection with this Agreement or the Notes may be brought in such New York Courts. Each of the Issuer, the Guarantor and the Agents waive any objection to Proceedings in such courts whether on the ground of venue or on the ground that the Proceedings have been brought in an inconvenient forum.</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Each of the Issuer, the Guarantor, the Agents and each Noteholder by its acceptance of a Note, agrees to waive, to the fullest extent permitted by applicable law, any right any of them may have to a trial by jury in any legal proceeding directly or indirectly arising out of or relating to this Agreement or any Note (whether based on contract, tort or any other theory). Each of the Issuer, the Guarantor and the Agents, (a) certifies that no representative, agent or attorney or any other party has represented, expressly or otherwise, that such other party would not, in the event of Proceedings, seek to enforce the foregoing waiver and (b) acknowledges that it and the other parties to this Agreement have been induced to enter in this Agreement by, among other things, the mutual waivers and certifications in this clause.</w:t>
      </w:r>
    </w:p>
    <w:p>
      <w:pPr>
        <w:spacing w:after="0" w:line="18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Issuer hereby agrees that the process by which any Proceedings in the New York Courts are begun may be served on it by being delivered to Simon Property Group, Inc., 225 West Washington Street, Indianapolis, Indiana 46204, United States of America and agrees further that service of process upon such person shall be deemed in every respect effective service of process in any such proceedings. If the appointment of the person appointed to receive process on behalf of the Issuer ceases to be effective, the Issuer shall forthwith appoint a further person in the State of New York to accept service of process on its behalf and notify the name and address of such person to the Fiscal Agent, on behalf of the Agents, and, failing such appointment within fifteen days, the Fiscal Agent shall be entitled to appoint such a person by written notice addressed and delivered to the Issuer.</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To the extent that either the Issuer or the Guarantor has or hereafter may acquire any immunity from jurisdiction of any court or from any legal process with respect to itself or its property, each of the Issuer and the Guarantor hereby irrevocably waives such immunity in respect of its obligations under this Agreement and under any Note.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ind w:left="652" w:hanging="652"/>
        <w:spacing w:after="0"/>
        <w:tabs>
          <w:tab w:leader="none" w:pos="6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2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all of the parties, without the consent of any Noteholder, either;</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curing any ambiguity or of curing, correcting or supplementing any manifest or proven error or any other defective provision contained in this Agreement; or</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which the parties may mutually deem necessary or desirable and which shall not be inconsistent with the Conditions and shall not be materially prejudicial to the interests of the Noteholders.</w:t>
      </w:r>
    </w:p>
    <w:p>
      <w:pPr>
        <w:spacing w:after="0" w:line="162"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Prior to executing any amendment, the Fiscal Agent shall be entitled to receive, and shall be fully protected in relying on, an opinion of counsel to the Issuer stating that such amendment is permitted under this Agreement. The Fiscal Agent may, but shall not be obligated to, execute any amendment if such amendment adversely affects the Fiscal Agent's rights, duties or immunities.</w:t>
      </w:r>
    </w:p>
    <w:p>
      <w:pPr>
        <w:spacing w:after="0" w:line="172"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CONTRACTUAL RECOGNITION OF BAIL-IN POWERS</w:t>
      </w:r>
    </w:p>
    <w:p>
      <w:pPr>
        <w:spacing w:after="0" w:line="229" w:lineRule="exact"/>
        <w:rPr>
          <w:rFonts w:ascii="Times New Roman" w:cs="Times New Roman" w:eastAsia="Times New Roman" w:hAnsi="Times New Roman"/>
          <w:sz w:val="18"/>
          <w:szCs w:val="18"/>
          <w:color w:val="auto"/>
        </w:rPr>
      </w:pPr>
    </w:p>
    <w:p>
      <w:pPr>
        <w:jc w:val="both"/>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 between any of the parties hereto, each of the parties acknowledges, accepts, and agrees that any BRRD Liability of a BRRD Party hereto arising under this Agreement may be subject to the exercise of Statutory Loss Absorption Powers by the Relevant Resolution Authority and acknowledges, accepts and agrees to be bound by:</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any Statutory Loss Absorption Powers by the Relevant Resolution Authority, in relation to any BRRD Liability of a BRRD Party hereto, that (without limitation) may include and result in any of the following, or some combination thereof:</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225"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such BRRD Party or another person, and the issue to or conferral on it of such shares, securities or obligations;</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or</w:t>
      </w:r>
    </w:p>
    <w:p>
      <w:pPr>
        <w:spacing w:after="0" w:line="225"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any Statutory Loss Absorption Powers by the Relevant Resolution Authority.</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For the purposes of this clause 33:</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(i) in relation to a member state of the European Economic Area which has implemented, or which at any time implements, the BRRD, the relevant implementing law, regulation, rule or requirement as described in the EU Bail-in Legislation Schedule from time to time and (ii) Part I of the United Kingdom Banking Act 2009 (as amended from time to time) and any other law or regulation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Liability</w:t>
      </w:r>
      <w:r>
        <w:rPr>
          <w:rFonts w:ascii="Times New Roman" w:cs="Times New Roman" w:eastAsia="Times New Roman" w:hAnsi="Times New Roman"/>
          <w:sz w:val="18"/>
          <w:szCs w:val="18"/>
          <w:color w:val="auto"/>
        </w:rPr>
        <w:t>" means a liability in respect of which the relevant Statutory Loss Absorption Powers may be exercised;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Party</w:t>
      </w:r>
      <w:r>
        <w:rPr>
          <w:rFonts w:ascii="Times New Roman" w:cs="Times New Roman" w:eastAsia="Times New Roman" w:hAnsi="Times New Roman"/>
          <w:sz w:val="18"/>
          <w:szCs w:val="18"/>
          <w:color w:val="auto"/>
        </w:rPr>
        <w:t>" means any party hereto that is subject to Statutory Loss Absorption Powers;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http://www.lma.eu.com/pages.aspx?p=499.</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Resolution Authority</w:t>
      </w:r>
      <w:r>
        <w:rPr>
          <w:rFonts w:ascii="Times New Roman" w:cs="Times New Roman" w:eastAsia="Times New Roman" w:hAnsi="Times New Roman"/>
          <w:sz w:val="18"/>
          <w:szCs w:val="18"/>
          <w:color w:val="auto"/>
        </w:rPr>
        <w:t>" means, in relation to any BRRD Party, the resolution authority with the ability to exercise any Statutory Loss Absorption Powers as defined in this clause; and</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Loss Absorption Powers</w:t>
      </w:r>
      <w:r>
        <w:rPr>
          <w:rFonts w:ascii="Times New Roman" w:cs="Times New Roman" w:eastAsia="Times New Roman" w:hAnsi="Times New Roman"/>
          <w:sz w:val="18"/>
          <w:szCs w:val="18"/>
          <w:color w:val="auto"/>
        </w:rPr>
        <w:t>" means any powers of the Relevant Resolution Authority under the Bail-In Legislation to cancel, transfer or reduce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Write-down and Conversion Powers as defined in the EU Bail-in Legislation Schedule, in relation to the relevant Bail-in Legislation.</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THE GLOBAL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CERTIFICATE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CERTIFICATE IS A GLOBAL CERTIFICATE REGISTERED IN THE NAME OF A NOMINEE FOR A COMMON SAFEKEEPER FOR EUROCLEAR BANKING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w:t>
      </w:r>
      <w:r>
        <w:rPr>
          <w:rFonts w:ascii="Times New Roman" w:cs="Times New Roman" w:eastAsia="Times New Roman" w:hAnsi="Times New Roman"/>
          <w:sz w:val="18"/>
          <w:szCs w:val="18"/>
          <w:b w:val="1"/>
          <w:bCs w:val="1"/>
          <w:color w:val="auto"/>
        </w:rPr>
        <w:t>CLEARSTREAM, LUXEMBOURG</w:t>
      </w:r>
      <w:r>
        <w:rPr>
          <w:rFonts w:ascii="Times New Roman" w:cs="Times New Roman" w:eastAsia="Times New Roman" w:hAnsi="Times New Roman"/>
          <w:sz w:val="18"/>
          <w:szCs w:val="18"/>
          <w:color w:val="auto"/>
        </w:rPr>
        <w:t>") AND HELD UNDER THE NEW SAFEKEEPING STRUCTURE. THIS GLOBAL CERTIFICATE HAS NOT BEEN AND WILL NOT BE REGISTERED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NEITHER THIS GLOBAL CERTIFICATE NOR ANY PORTION HEREOF MAY BE OFFERED OR SOLD WITHIN THE UNITED STATES OR TO ANY U.S. PERSON UNLESS EXEMPT FROM, OR NOT SUBJECT TO, THE REGISTRATION REQUIREMENTS OF THE SECURITIES ACT. PRIOR TO THE EXPIRATION OF THE 40-DAY "DISTRIBUTION COMPLIANCE PERIOD" (AS DEFINED IN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NEITHER THIS GLOBAL CERTIFICATE NOR ANY PORTION HEREOF MAY BE REOFFERED, SOLD, ASSIGNED, TRANSFERRED, PLEDGED, ENCUMBERED OR OTHERWISE DISPOSED OF WITHIN THE UNITED STATES OR TO, OR FOR THE ACCOUNT OR BENEFIT OF, A U.S. PERSON EXCEPT IN COMPLIANCE WITH REGULATION S.</w:t>
      </w:r>
    </w:p>
    <w:p>
      <w:pPr>
        <w:spacing w:after="0" w:line="194"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ISIN: XS3330157572</w:t>
      </w:r>
    </w:p>
    <w:p>
      <w:pPr>
        <w:spacing w:after="0" w:line="22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7"/>
          <w:szCs w:val="17"/>
          <w:color w:val="auto"/>
        </w:rPr>
        <w:t>Common Code: 333015757</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Simon Global Development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 Dutch law, having its official seat in Amsterdam, and registered with the Dutch Trade Register under number 73380520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hereby certifies that Euroclear Nominee Limited is, at the date hereof, entered in the Register as the holder of the aggregate nominal amount of €500,000,000 of a duly authorized issue of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described, and having the provisions specified, in the attached Terms and Conditions of the Notes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Words and expressions defined or set out in the Conditions shall have the same meaning when used in this Global Certificate.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Global Certificate is issued subject to, and with the benefit of, the Conditions and a fiscal agency agreement (the "</w:t>
      </w:r>
      <w:r>
        <w:rPr>
          <w:rFonts w:ascii="Times New Roman" w:cs="Times New Roman" w:eastAsia="Times New Roman" w:hAnsi="Times New Roman"/>
          <w:sz w:val="18"/>
          <w:szCs w:val="18"/>
          <w:b w:val="1"/>
          <w:bCs w:val="1"/>
          <w:color w:val="auto"/>
        </w:rPr>
        <w:t>Agency Agreement</w:t>
      </w:r>
      <w:r>
        <w:rPr>
          <w:rFonts w:ascii="Times New Roman" w:cs="Times New Roman" w:eastAsia="Times New Roman" w:hAnsi="Times New Roman"/>
          <w:sz w:val="18"/>
          <w:szCs w:val="18"/>
          <w:color w:val="auto"/>
        </w:rPr>
        <w:t>" which expression shall be construed as a reference to that agreement as the same may be amended, supplemented, novated or restated from time to time) dated June 15, 2026 and made among the Issuer, Simon Property Group, L.P., The Bank of New York Mellon, London Branch, as Fiscal Agent and The Bank of New York Mellon SA/NV, Dublin Branch, as Registrar and Transfer Agent.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and in accordance with the Conditions, the registered holder of this Global Certificate is entitled to receive on June 15, 2031 and/or on such earlier date(s) as all or any of the Notes represented by this Global Certificate may become due and repayable in accordance with the Conditions, the amount payable under the Conditions in respect of the Notes on each such date and interest on the nominal amount of the Notes from time to time represented by this Global Certificate calculated and payable as provided in the Conditions together with any other sums payable under the Conditions, all in accordance with the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On any redemption of, payment of interest being made in respect of, or purchase and cancellation of, any of the Notes represented by this Global Certificate, details of such redemption, payment or purchase and cancellation (as the case may be) shall be entered by the Registrar in the Register. Upon any such redemption or purchase and cancellation, the nominal amount of the Notes held by the registered holder hereof shall be reduced by the nominal amount of the Notes so redeemed or purchased and cancelled. The nominal amount of the Notes held by the registered holder hereof following any such redemption or purchase and cancellation or any transfer or exchange as referred to below shall be that amount most recently entered in the Register.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represented by this Global Certificate are transferable only in accordance with, and subject to, the provisions of this Global Certificate and of Condition 2 and the rules and operating procedures of Euroclear and Clearstream, Luxembourg (together, the "</w:t>
      </w:r>
      <w:r>
        <w:rPr>
          <w:rFonts w:ascii="Times New Roman" w:cs="Times New Roman" w:eastAsia="Times New Roman" w:hAnsi="Times New Roman"/>
          <w:sz w:val="18"/>
          <w:szCs w:val="18"/>
          <w:b w:val="1"/>
          <w:bCs w:val="1"/>
          <w:color w:val="auto"/>
        </w:rPr>
        <w:t>Clearing Systems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Global Certificate may be exchanged in whole but not in part (free of charge) for definitive Certificates in the form set out in Part 1 of Schedule 2 to the Agency Agreement (on the basis that all the appropriate details have been included on the face of such definitive Certificates and the Conditions have been endorsed on or attached to such Certificates) only upon the occurrence of any of the following events:</w:t>
      </w:r>
    </w:p>
    <w:p>
      <w:pPr>
        <w:spacing w:after="0" w:line="176"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premium, if any, or interest in respect of any Note is not paid when due and payable in accordance with the Conditions;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Global Certificate is registered in the name of a nominee for a common safekeeper for Euroclear and Clearstream, Luxembourg, the Issuer has been notified that both Euroclear and Clearstream, Luxembourg have been closed for business for a continuous period of 14 days (other than by reason of holiday, statutory or otherwise) or have announced an intention permanently to cease business or have in fact done so and no successor clearing system is available.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will promptly give notice to Noteholders in accordance with Condition 12 upon the occurrence of any such event. In the event of the occurrence of any such event, Euroclear and/or Clearstream, Luxembourg, as the case may be, acting on the instructions of any holder of an interest in this Global Certificate may give notice to the Registrar requesting exchange. An exchange shall occur no later than 10 days after the date of receipt of the relevant notice by the Registrar.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Exchanges will be made upon presentation of this Global Certificate at the office of the Registrar at The Bank of New York Mellon SA/NV, Dublin Branch, The Shipping Office, 20-26 Sir John Rogerson’s Quay, D02 Y04, Dublin 2, Ireland by the holder of it on any day (other than a Saturday or Sunday) on which banks are open for general business in Ireland. The aggregate nominal amount of Certificates issued upon an exchange of this Global Certificate will be equal to the aggregate nominal amount of this Global Certificate.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exchange in whole of this Global Certificate, this Global Certificate shall be surrendered to the Registrar.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any exchange or transfer following which either (i) Notes represented by this Global Certificate are no longer to be so represented or (ii) Notes not so represented are to be so represented, details of the transfer shall be entered by the Registrar in the Register, following which the nominal amount of this Global Certificate and the Note held by the registered holder of this Global Certificate shall be increased or reduced (as the case may be) by the nominal amount so transferred.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Until the exchange of the whole of this Global Certificate, the registered holder of this Global Certificate shall in all respects (except as otherwise provided in this Global Certificate and in the Conditions) be entitled to the same benefits as if he were the registered holder of the Certificates represented by this Global Certificate.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this Global Certificate (or any part of it) has become due and repayable in accordance with the Conditions or that the maturity date has occurred and, in either case, payment in full of the amount due has not been made to the registered holder of this Global Certificate in accordance with the provisions set out above, then holders of interests in this Global Certificate will become entitled to proceed directly against the Issuer on the basis of statement of account provided by Euroclear and Clearstream, Luxembourg, as the case may be, provided nothing herein shall prevent the Issuer or any Agent from giving effect to any written certification, proxy or other authorization furnished by the depositary or impair, as between the Clearing Systems and their agent members, the operation of customary practices of such depositary governing the exercise of the rights of a holder of a beneficial interest in this Global Certificate.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Global Certificate is not a document of title. Entitlements are determined by entry in the Register and only the duly registered holder from time to time is entitled to payment in respect of this Global Certificate.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so long as all of the Notes are represented by this Global Certificate and this Global Certificate is held on behalf of a clearing system, each person (other than another clearing system) who is for the time being shown in the records of Euroclear or Clearstream, Luxembourg (as the case may be), as the holder of a particular aggregate principal amount of such Notes (each an "</w:t>
      </w:r>
      <w:r>
        <w:rPr>
          <w:rFonts w:ascii="Times New Roman" w:cs="Times New Roman" w:eastAsia="Times New Roman" w:hAnsi="Times New Roman"/>
          <w:sz w:val="18"/>
          <w:szCs w:val="18"/>
          <w:b w:val="1"/>
          <w:bCs w:val="1"/>
          <w:color w:val="auto"/>
        </w:rPr>
        <w:t>Accountholder</w:t>
      </w:r>
      <w:r>
        <w:rPr>
          <w:rFonts w:ascii="Times New Roman" w:cs="Times New Roman" w:eastAsia="Times New Roman" w:hAnsi="Times New Roman"/>
          <w:sz w:val="18"/>
          <w:szCs w:val="18"/>
          <w:color w:val="auto"/>
        </w:rPr>
        <w:t>") (in which regard any certificate or other document issued by Euroclear or Clearstream, Luxembourg (as the case may be) as to the aggregate principal amount of such Notes standing to the account by any person shall in the absence of manifest error, be conclusive and binding for all purposes), shall be treated as the holder of such aggregate principal amount of such Notes (and the expression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and references to "</w:t>
      </w:r>
      <w:r>
        <w:rPr>
          <w:rFonts w:ascii="Times New Roman" w:cs="Times New Roman" w:eastAsia="Times New Roman" w:hAnsi="Times New Roman"/>
          <w:sz w:val="18"/>
          <w:szCs w:val="18"/>
          <w:b w:val="1"/>
          <w:bCs w:val="1"/>
          <w:color w:val="auto"/>
        </w:rPr>
        <w:t>holding of Notes</w:t>
      </w:r>
      <w:r>
        <w:rPr>
          <w:rFonts w:ascii="Times New Roman" w:cs="Times New Roman" w:eastAsia="Times New Roman" w:hAnsi="Times New Roman"/>
          <w:sz w:val="18"/>
          <w:szCs w:val="18"/>
          <w:color w:val="auto"/>
        </w:rPr>
        <w:t>" and to "</w:t>
      </w:r>
      <w:r>
        <w:rPr>
          <w:rFonts w:ascii="Times New Roman" w:cs="Times New Roman" w:eastAsia="Times New Roman" w:hAnsi="Times New Roman"/>
          <w:sz w:val="18"/>
          <w:szCs w:val="18"/>
          <w:b w:val="1"/>
          <w:bCs w:val="1"/>
          <w:color w:val="auto"/>
        </w:rPr>
        <w:t>holder of Notes</w:t>
      </w:r>
      <w:r>
        <w:rPr>
          <w:rFonts w:ascii="Times New Roman" w:cs="Times New Roman" w:eastAsia="Times New Roman" w:hAnsi="Times New Roman"/>
          <w:sz w:val="18"/>
          <w:szCs w:val="18"/>
          <w:color w:val="auto"/>
        </w:rPr>
        <w:t>" shall be construed accordingly) for all purposes other than with respect to payments on such Notes, the right to which shall be vested, as against the Issuer, solely in the nominee for the relevant clearing system (the "</w:t>
      </w:r>
      <w:r>
        <w:rPr>
          <w:rFonts w:ascii="Times New Roman" w:cs="Times New Roman" w:eastAsia="Times New Roman" w:hAnsi="Times New Roman"/>
          <w:sz w:val="18"/>
          <w:szCs w:val="18"/>
          <w:b w:val="1"/>
          <w:bCs w:val="1"/>
          <w:color w:val="auto"/>
        </w:rPr>
        <w:t>Relevant Nominee</w:t>
      </w:r>
      <w:r>
        <w:rPr>
          <w:rFonts w:ascii="Times New Roman" w:cs="Times New Roman" w:eastAsia="Times New Roman" w:hAnsi="Times New Roman"/>
          <w:sz w:val="18"/>
          <w:szCs w:val="18"/>
          <w:color w:val="auto"/>
        </w:rPr>
        <w:t>"), in accordance with and subject to the terms of this Global Certificate. Each Accountholder must look solely to Euroclear or Clearstream, Luxembourg, as the case may be, for its share of each payment made to the Relevant Nominee.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principal and premium, if any, in respect of Notes represented by this Global Certificate, if no further payment falls to be made in respect of the Notes, will be made upon presentation and surrender of this Global Certificate to or to the order of the Fiscal Agent or such other Agent as shall have been notified to the registered holder of this Global Certificate for such purpose.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Notes are represented by the Global Certificate, each payment in respect of the Global Certificate will be made to, or to the order of, the person shown as the holder of the Notes in the Register (as such term is defined in the Agency Agreement) at the close of business (of the relevant clearing system) on the Clearing System Business Day immediately prior to the due date for such payments, where "</w:t>
      </w:r>
      <w:r>
        <w:rPr>
          <w:rFonts w:ascii="Times New Roman" w:cs="Times New Roman" w:eastAsia="Times New Roman" w:hAnsi="Times New Roman"/>
          <w:sz w:val="18"/>
          <w:szCs w:val="18"/>
          <w:b w:val="1"/>
          <w:bCs w:val="1"/>
          <w:color w:val="auto"/>
        </w:rPr>
        <w:t>Clearing System Business Day</w:t>
      </w:r>
      <w:r>
        <w:rPr>
          <w:rFonts w:ascii="Times New Roman" w:cs="Times New Roman" w:eastAsia="Times New Roman" w:hAnsi="Times New Roman"/>
          <w:sz w:val="18"/>
          <w:szCs w:val="18"/>
          <w:color w:val="auto"/>
        </w:rPr>
        <w:t>" means Monday to Friday, inclusive, except December 25 and January 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record of each payment made will be endorsed on the appropriate schedule to this Global Certificate by or on behalf of the Fiscal Agent and shall be prima facie evidence that payment has been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long as all the Notes are represented by this Global Certificate and this Global Certificate is held on behalf of a clearing system, notices to Noteholders may be given by delivery of the relevant notice to that clearing system for communication by it to entitled Accountholders in substitution for notification as required by the Conditions.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Registrar will not register title to the Notes in a name other than that of the Relevant Nominee for a period of 15 calendar days preceding the due date for any payment of principal or premium, if any, in respect of the Notes.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of book-entry interests in the Notes will be effected through the records of Euroclear and Clearstream, Luxembourg and their respective participants in accordance with the rules and procedures of Euroclear and Clearstream, Luxembourg and their respective direct and indirect participants.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Certificate is governed by, and shall be construed in accordance with, New York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Global Certificate shall not be valid unless authenticated by the Fiscal Agent and effectuated by the entity appointed as Common Safekeeper by the relevant clearing systems.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Issuer has caused this Global Certificate to be duly executed on its behalf.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 GLOBAL DEVELOPMENT B.V.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C.A.A.C. den Dekker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74415" cy="1568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74415" cy="1568450"/>
                    </a:xfrm>
                    <a:prstGeom prst="rect">
                      <a:avLst/>
                    </a:prstGeom>
                    <a:noFill/>
                  </pic:spPr>
                </pic:pic>
              </a:graphicData>
            </a:graphic>
          </wp:anchor>
        </w:drawing>
      </w:r>
    </w:p>
    <w:p>
      <w:pPr>
        <w:spacing w:after="0" w:line="295" w:lineRule="exact"/>
        <w:rPr>
          <w:sz w:val="20"/>
          <w:szCs w:val="20"/>
          <w:color w:val="auto"/>
        </w:rPr>
      </w:pPr>
    </w:p>
    <w:p>
      <w:pPr>
        <w:jc w:val="center"/>
        <w:ind w:right="4799"/>
        <w:spacing w:after="0"/>
        <w:rPr>
          <w:sz w:val="20"/>
          <w:szCs w:val="20"/>
          <w:color w:val="auto"/>
        </w:rPr>
      </w:pPr>
      <w:r>
        <w:rPr>
          <w:rFonts w:ascii="Times New Roman" w:cs="Times New Roman" w:eastAsia="Times New Roman" w:hAnsi="Times New Roman"/>
          <w:sz w:val="18"/>
          <w:szCs w:val="18"/>
          <w:color w:val="auto"/>
        </w:rPr>
        <w:t>Authenticated without recourse, warranty or</w:t>
      </w:r>
    </w:p>
    <w:p>
      <w:pPr>
        <w:spacing w:after="0" w:line="27" w:lineRule="exact"/>
        <w:rPr>
          <w:sz w:val="20"/>
          <w:szCs w:val="20"/>
          <w:color w:val="auto"/>
        </w:rPr>
      </w:pPr>
    </w:p>
    <w:p>
      <w:pPr>
        <w:jc w:val="center"/>
        <w:ind w:right="4799"/>
        <w:spacing w:after="0"/>
        <w:rPr>
          <w:sz w:val="20"/>
          <w:szCs w:val="20"/>
          <w:color w:val="auto"/>
        </w:rPr>
      </w:pPr>
      <w:r>
        <w:rPr>
          <w:rFonts w:ascii="Times New Roman" w:cs="Times New Roman" w:eastAsia="Times New Roman" w:hAnsi="Times New Roman"/>
          <w:sz w:val="18"/>
          <w:szCs w:val="18"/>
          <w:color w:val="auto"/>
        </w:rPr>
        <w:t>liability by</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LONDON BRANCH, as Fiscal Agent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8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 </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Effectuation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Certificate is effectuated by or on behalf of the Common Safekeeper.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EUROCLEAR BANKING SA/NV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color w:val="auto"/>
        </w:rPr>
        <w:t>Common Safekeeper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effectuation only.</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being the registered holder of this Global Certificate, hereby sell(s), assign(s) and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 (including postal code) of transferee)</w:t>
      </w:r>
    </w:p>
    <w:p>
      <w:pPr>
        <w:spacing w:after="0" w:line="225" w:lineRule="exact"/>
        <w:rPr>
          <w:sz w:val="20"/>
          <w:szCs w:val="20"/>
          <w:color w:val="auto"/>
        </w:rPr>
      </w:pPr>
    </w:p>
    <w:p>
      <w:pPr>
        <w:jc w:val="both"/>
        <w:ind w:firstLine="8"/>
        <w:spacing w:after="0" w:line="261" w:lineRule="auto"/>
        <w:tabs>
          <w:tab w:leader="none" w:pos="1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 in principal amount outstanding of the €500,000,000 3.650% Guaranteed Notes due 2031 of Simon Global Development B.V.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all rights thereunder, hereby irrevocably constituting and appointing The Bank of New York Mellon SA/NV, Dublin Branch, in its capacity as registrar in relation to the Notes (or any successor to The Bank of New York Mellon SA/NV, Dublin Branch, in its capacity as such) to effect the relevant transfer by means of appropriate entries in the register kept by it.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426"/>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80" w:type="dxa"/>
            <w:vAlign w:val="bottom"/>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N.B.</w:t>
            </w:r>
          </w:p>
        </w:tc>
        <w:tc>
          <w:tcPr>
            <w:tcW w:w="4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This form of transfer must be accompanied by such documents, evidence and information as may be required pursuant to the Conditions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and must be executed under the hand of the transferor or, if the transferor is a corporation, either under its common seal or under the hand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 two of its officers duly authorized in writing and, in such latter case, the document so authorizing such officers must be delivered with</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this form of transfer.</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2</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name of the person by or on whose behalf this form of transfer is signed must correspond with the name of the registered holder as it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appears on the front of this Global Certificate.</w:t>
            </w:r>
          </w:p>
        </w:tc>
        <w:tc>
          <w:tcPr>
            <w:tcW w:w="0" w:type="dxa"/>
            <w:vAlign w:val="bottom"/>
          </w:tcPr>
          <w:p>
            <w:pPr>
              <w:spacing w:after="0"/>
              <w:rPr>
                <w:sz w:val="1"/>
                <w:szCs w:val="1"/>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4520"/>
              <w:spacing w:after="0"/>
              <w:rPr>
                <w:sz w:val="20"/>
                <w:szCs w:val="20"/>
                <w:color w:val="auto"/>
              </w:rPr>
            </w:pPr>
            <w:r>
              <w:rPr>
                <w:rFonts w:ascii="Times New Roman" w:cs="Times New Roman" w:eastAsia="Times New Roman" w:hAnsi="Times New Roman"/>
                <w:sz w:val="18"/>
                <w:szCs w:val="18"/>
                <w:color w:val="auto"/>
              </w:rPr>
              <w:t>30</w:t>
            </w: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Exchange and Cancellation of Notes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7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then</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delivered or</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 any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by which</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or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78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 or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premium, if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then</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Notes then</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Authorised</w:t>
            </w:r>
          </w:p>
        </w:tc>
      </w:tr>
      <w:tr>
        <w:trPr>
          <w:trHeight w:val="238"/>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cancellation</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any, paid</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increased</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[Attached to the Global Certificate]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[Guarantee as set out in Schedule 5]</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[Terms and Conditions of the Notes as set out in Part 2 of 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foot of the Terms and Conditions of the Notes:]</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FISCAL AGENT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Bank of New York Mellon, London Branch</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160 Queen Victoria Street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London EC4V 4LA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England</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Bank of New York Mellon SA/NV, Dublin Branch</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Shipping Office</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20-26 Sir John Rogerson’s Quay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D02 Y049</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Dublin 2, Ireland</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AND TERMS AND CONDITIONS OF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NOTE HAS NOT BEEN AND WILL NOT BE REGISTERED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NEITHER THIS NOTE NOR ANY PORTION HEREOF MAY BE OFFERED OR SOLD WITHIN THE UNITED STATES OR TO ANY U.S. PERSON UNLESS EXEMPT FROM, OR NOT SUBJECT TO, THE REGISTRATION REQUIREMENTS OF THE SECURITIES ACT. PRIOR TO THE EXPIRATION OF THE 40-DAY "DISTRIBUTION COMPLIANCE PERIOD" (AS DEFINED IN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NEITHER THIS NOTE NOR ANY PORTION HEREOF MAY BE REOFFERED, SOLD, ASSIGNED, TRANSFERRED, PLEDGED, ENCUMBERED OR OTHERWISE DISPOSED OF WITHIN THE UNITED STATES OR TO, OR FOR THE ACCOUNT OR BENEFIT OF, A U.S. PERSON EXCEPT IN COMPLIANCE WITH REGULATION 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XS3330157572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Common Code: 333015757</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Simon Global Development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 Dutch law, having its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official seat in Amsterdam, and registered with the Dutch Trade Register under number 73380520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hereby certifies that is/are, at the date of this Note, entered in the Register as the holder(s) of the aggregate nominal amount of € of a duly authorized issue of €500,000,000</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3.650% Guaranteed Notes due 2031 by the Issuer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described, and having the provisions specified, in the attached Terms and Conditions of the Notes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References in this Note to the Conditions shall be to the Terms and Conditions attached to this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Words and expressions defined or set out in the Conditions shall have the same meaning when used in this Note.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Note is issued subject to, and with the benefit of, the Conditions and a fiscal agency agreement (the "</w:t>
      </w:r>
      <w:r>
        <w:rPr>
          <w:rFonts w:ascii="Times New Roman" w:cs="Times New Roman" w:eastAsia="Times New Roman" w:hAnsi="Times New Roman"/>
          <w:sz w:val="18"/>
          <w:szCs w:val="18"/>
          <w:b w:val="1"/>
          <w:bCs w:val="1"/>
          <w:color w:val="auto"/>
        </w:rPr>
        <w:t>Agency Agreement</w:t>
      </w:r>
      <w:r>
        <w:rPr>
          <w:rFonts w:ascii="Times New Roman" w:cs="Times New Roman" w:eastAsia="Times New Roman" w:hAnsi="Times New Roman"/>
          <w:sz w:val="18"/>
          <w:szCs w:val="18"/>
          <w:color w:val="auto"/>
        </w:rPr>
        <w:t>", which expression shall be construed as a reference to that agreement as the same may be amended, supplemented, novated or restated from time to time) dated June 15, 2026 and made among the Issuer, Simon Property Group, L.P., The Bank of New York Mellon, London Branch, as Fiscal Agent and The Bank of New York Mellon SA/NV, Dublin Branch, as Registrar and Transfer Agent.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and in accordance with the Conditions, the registered holder(s) of this Note is/are entitled to receive on June 15, 2031 and/or on such earlier date(s) as this Note may become due and repayable in accordance with the Conditions, the amount payable under the Conditions in respect of this Note on each such due date and interest (if any) on this Note calculated and payable as provided in the Conditions together with any other sums payable under the Conditions, all in accordance with the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This Note is not a document of title. Entitlements are determined by entry in the Register and only the duly registered holder from time to time is entitled to payment in respect of this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not be valid unless authenticated by the Fiscal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Issuer has caused this Note to be duly executed on its behalf.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 GLOBAL DEVELOPMENT B.V.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C.A.A.C. den Dekker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74415" cy="1568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74415" cy="1568450"/>
                    </a:xfrm>
                    <a:prstGeom prst="rect">
                      <a:avLst/>
                    </a:prstGeom>
                    <a:noFill/>
                  </pic:spPr>
                </pic:pic>
              </a:graphicData>
            </a:graphic>
          </wp:anchor>
        </w:drawing>
      </w:r>
    </w:p>
    <w:p>
      <w:pPr>
        <w:spacing w:after="0" w:line="295"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8"/>
          <w:szCs w:val="18"/>
          <w:color w:val="auto"/>
        </w:rPr>
        <w:t>Authenticated without recourse, warranty or</w:t>
      </w:r>
    </w:p>
    <w:p>
      <w:pPr>
        <w:spacing w:after="0" w:line="27"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8"/>
          <w:szCs w:val="18"/>
          <w:color w:val="auto"/>
        </w:rPr>
        <w:t>liability by</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LONDON BRANCH, as Fiscal Agent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8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 </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27875" cy="4487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7875" cy="4487545"/>
                    </a:xfrm>
                    <a:prstGeom prst="rect">
                      <a:avLst/>
                    </a:prstGeom>
                    <a:noFill/>
                  </pic:spPr>
                </pic:pic>
              </a:graphicData>
            </a:graphic>
          </wp:anchor>
        </w:drawing>
        <w:t>FORM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print or type name and address (including postal code) of transferee)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nominal amount of this Note and all rights hereunder, hereby irrevocably constituting and appointing [REGISTRAR] as attorney to</w:t>
      </w:r>
    </w:p>
    <w:p>
      <w:pPr>
        <w:spacing w:after="0" w:line="27" w:lineRule="exact"/>
        <w:rPr>
          <w:sz w:val="20"/>
          <w:szCs w:val="20"/>
          <w:color w:val="auto"/>
        </w:rPr>
      </w:pPr>
    </w:p>
    <w:p>
      <w:pPr>
        <w:ind w:left="5580" w:right="280" w:hanging="5574"/>
        <w:spacing w:after="0" w:line="511" w:lineRule="auto"/>
        <w:rPr>
          <w:sz w:val="20"/>
          <w:szCs w:val="20"/>
          <w:color w:val="auto"/>
        </w:rPr>
      </w:pPr>
      <w:r>
        <w:rPr>
          <w:rFonts w:ascii="Times New Roman" w:cs="Times New Roman" w:eastAsia="Times New Roman" w:hAnsi="Times New Roman"/>
          <w:sz w:val="18"/>
          <w:szCs w:val="18"/>
          <w:color w:val="auto"/>
        </w:rPr>
        <w:t>transfer such principal amount of this Note in the register maintained by SIMON GLOBAL DEVELOPMENT B.V. with full power of substitution. Signature(s)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9" w:lineRule="exact"/>
        <w:rPr>
          <w:sz w:val="20"/>
          <w:szCs w:val="20"/>
          <w:color w:val="auto"/>
        </w:rPr>
      </w:pPr>
    </w:p>
    <w:p>
      <w:pPr>
        <w:jc w:val="both"/>
        <w:ind w:left="660" w:hanging="650"/>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transfer must be accompanied by such documents, evidence and information as may be required pursuant to the Conditions and must be executed under the hand of the transferor or, if the transferor is a corporation, either under its common seal or under the hand of two of its officers duly authorized in writing and, in such latter case, the document so authorizing such officers must be delivered with this form of transfer.</w:t>
      </w:r>
    </w:p>
    <w:p>
      <w:pPr>
        <w:spacing w:after="0" w:line="179" w:lineRule="exact"/>
        <w:rPr>
          <w:rFonts w:ascii="Times New Roman" w:cs="Times New Roman" w:eastAsia="Times New Roman" w:hAnsi="Times New Roman"/>
          <w:sz w:val="18"/>
          <w:szCs w:val="18"/>
          <w:color w:val="auto"/>
        </w:rPr>
      </w:pPr>
    </w:p>
    <w:p>
      <w:pPr>
        <w:ind w:left="660" w:hanging="650"/>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person by or on whose behalf this form of transfer is signed must correspond with the name of the registered holder as it appears on the front of this Certificate.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480" w:top="887"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[Attached to the Certificate]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[Guarantee as set out in Schedule 5]</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[Terms and Conditions of the Notes as set out in Part 2 of this 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foot of the Terms and Conditions of the Notes:]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Bank of New York Mellon, London Branch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 Queen Victoria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EC4V 4LA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England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Bank of New York Mellon SA/NV, Dublin Branch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Shipping Office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20-26 Sir John Rogerson’s Quay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D02 Y049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Dublin 2, Ireland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and/or such other or further Fiscal Agent, Transfer Agent and/or Registrar and/or specified offices as may from time to time be appointed by the Issuer and notice of which has been given to the Noteholders.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THE NOTES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the text of the Terms and Conditions of the Notes which (subject to modification and except for the paragraphs in italics) will be endorsed on the Certificates issued in respect of the Notes: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€500,000,000 3.650% Guaranteed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expression shall in these Conditions, unless the context otherwise requires, include any further notes issued pursuant to Condition 14 and forming a single series with the Notes) of Simon Global Development B.V.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issued subject to and with the benefit of (i) a fiscal agency agreement dated June 15, 2026 (such agreement as amended and/or supplemented and/or restated from time to time, the "</w:t>
      </w:r>
      <w:r>
        <w:rPr>
          <w:rFonts w:ascii="Times New Roman" w:cs="Times New Roman" w:eastAsia="Times New Roman" w:hAnsi="Times New Roman"/>
          <w:sz w:val="18"/>
          <w:szCs w:val="18"/>
          <w:b w:val="1"/>
          <w:bCs w:val="1"/>
          <w:color w:val="auto"/>
        </w:rPr>
        <w:t>Agency Agreement</w:t>
      </w:r>
      <w:r>
        <w:rPr>
          <w:rFonts w:ascii="Times New Roman" w:cs="Times New Roman" w:eastAsia="Times New Roman" w:hAnsi="Times New Roman"/>
          <w:sz w:val="18"/>
          <w:szCs w:val="18"/>
          <w:color w:val="auto"/>
        </w:rPr>
        <w:t>") made between the Issuer, Simon Property Group, L.P. in its capacity as guarantor (the "Guarantor"), The Bank of New York Mellon, London Branch in its capacity as fiscal agent (the "</w:t>
      </w:r>
      <w:r>
        <w:rPr>
          <w:rFonts w:ascii="Times New Roman" w:cs="Times New Roman" w:eastAsia="Times New Roman" w:hAnsi="Times New Roman"/>
          <w:sz w:val="18"/>
          <w:szCs w:val="18"/>
          <w:b w:val="1"/>
          <w:bCs w:val="1"/>
          <w:color w:val="auto"/>
        </w:rPr>
        <w:t>Fiscal Agent</w:t>
      </w:r>
      <w:r>
        <w:rPr>
          <w:rFonts w:ascii="Times New Roman" w:cs="Times New Roman" w:eastAsia="Times New Roman" w:hAnsi="Times New Roman"/>
          <w:sz w:val="18"/>
          <w:szCs w:val="18"/>
          <w:color w:val="auto"/>
        </w:rPr>
        <w:t>") and The Bank of New York Mellon SA/NV, Dublin Branch in its capacity as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and registrar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together with the Fiscal Agent and the Transfer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and (ii) a full guarantee by the Guarantor as set out in the Agency Agreement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date of the Notes is June 15, 2026.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statements in these Conditions include summaries of, and are subject to, the detailed provisions of and definitions in the Agency Agreement. Copies of the Agency Agreement are available for inspection during normal business hours at the specified office of the Fiscal Agent. The holders of the Notes (the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are entitled to the benefit of, are bound by, and are deemed to have notice of, all the provisions of the Agency Agreement (which includes, without limitation, the Guarantee) applicable to them. References in these Conditions to the Agents shall include any successor appointed under the Agency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The owners shown in the records of Euroclear Bank SA/NV ("</w:t>
      </w:r>
      <w:r>
        <w:rPr>
          <w:rFonts w:ascii="Times New Roman" w:cs="Times New Roman" w:eastAsia="Times New Roman" w:hAnsi="Times New Roman"/>
          <w:sz w:val="18"/>
          <w:szCs w:val="18"/>
          <w:b w:val="1"/>
          <w:bCs w:val="1"/>
          <w:i w:val="1"/>
          <w:iCs w:val="1"/>
          <w:color w:val="auto"/>
        </w:rPr>
        <w:t>Euroclear</w:t>
      </w:r>
      <w:r>
        <w:rPr>
          <w:rFonts w:ascii="Times New Roman" w:cs="Times New Roman" w:eastAsia="Times New Roman" w:hAnsi="Times New Roman"/>
          <w:sz w:val="18"/>
          <w:szCs w:val="18"/>
          <w:i w:val="1"/>
          <w:iCs w:val="1"/>
          <w:color w:val="auto"/>
        </w:rPr>
        <w:t>") and Clearstream Banking S.A. ("</w:t>
      </w:r>
      <w:r>
        <w:rPr>
          <w:rFonts w:ascii="Times New Roman" w:cs="Times New Roman" w:eastAsia="Times New Roman" w:hAnsi="Times New Roman"/>
          <w:sz w:val="18"/>
          <w:szCs w:val="18"/>
          <w:b w:val="1"/>
          <w:bCs w:val="1"/>
          <w:i w:val="1"/>
          <w:iCs w:val="1"/>
          <w:color w:val="auto"/>
        </w:rPr>
        <w:t>Clearstream, Luxembourg</w:t>
      </w:r>
      <w:r>
        <w:rPr>
          <w:rFonts w:ascii="Times New Roman" w:cs="Times New Roman" w:eastAsia="Times New Roman" w:hAnsi="Times New Roman"/>
          <w:sz w:val="18"/>
          <w:szCs w:val="18"/>
          <w:i w:val="1"/>
          <w:iCs w:val="1"/>
          <w:color w:val="auto"/>
        </w:rPr>
        <w:t>") of book-entry interests in Notes are entitled to the benefit of, are bound by, and are deemed to have notice of, all the provisions of the Agency Agreement (which includes, without limitation, the Guarantee) applicable to them.</w:t>
      </w:r>
    </w:p>
    <w:p>
      <w:pPr>
        <w:spacing w:after="0" w:line="17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Denomination, Title and Guarantee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 and denomination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Notes are in registered form, serially numbered, in denominations of €100,000 each and integral multiples of €1,000 in excess thereof (referred to as the principal amount of a Note). A note certificate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will be issued to each Noteholder in respect of its registered holding of Notes. Each Certificate will be numbered serially with an identifying number which will be recorded on the relevant Certificate and in the register of Noteholders which the Issuer will procure to be kept by the Registrar.</w:t>
      </w:r>
    </w:p>
    <w:p>
      <w:pPr>
        <w:spacing w:after="0" w:line="179"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Notes are not issuable in bearer 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left="644"/>
        <w:spacing w:after="0" w:line="258" w:lineRule="auto"/>
        <w:rPr>
          <w:sz w:val="20"/>
          <w:szCs w:val="20"/>
          <w:color w:val="auto"/>
        </w:rPr>
      </w:pPr>
      <w:r>
        <w:rPr>
          <w:rFonts w:ascii="Times New Roman" w:cs="Times New Roman" w:eastAsia="Times New Roman" w:hAnsi="Times New Roman"/>
          <w:sz w:val="18"/>
          <w:szCs w:val="18"/>
          <w:i w:val="1"/>
          <w:iCs w:val="1"/>
          <w:color w:val="auto"/>
        </w:rPr>
        <w:t>Upon issue, the Notes will be represented by an individual Global Certificate registered in the name of a nominee for a common safekeeper for Euroclear and Clearstream, Luxembourg held under the new safekeeping structure. As long as the Notes are represented by an individual Global Certificate, references to "Noteholder" are references to the person in whose name the relevant Global Certificate is for the time being registered in the register of the Noteholders which is held by or on behalf of a common safekeeper for Euroclear and Clearstream, Luxembourg and/or any other relevant clearing system.</w:t>
      </w:r>
    </w:p>
    <w:p>
      <w:pPr>
        <w:spacing w:after="0" w:line="181"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Title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44"/>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Title to the Notes passes only by registration in the register of Noteholders. The holder of any Note will (except as otherwise required by law) be treated as its absolute owner for all purposes (whether or not it is overdue and regardless of any notice of ownership, trust or any interest or any writing on, or the theft or loss of, the Certificate issued in respect of it) and no person, including the Agents, will be liable for so treating the holder. In these Conditions “Noteholder” and (in relation to a Note)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a Note is registered in the register of Noteholders.</w:t>
      </w:r>
    </w:p>
    <w:p>
      <w:pPr>
        <w:spacing w:after="0" w:line="181" w:lineRule="exact"/>
        <w:rPr>
          <w:rFonts w:ascii="Times New Roman" w:cs="Times New Roman" w:eastAsia="Times New Roman" w:hAnsi="Times New Roman"/>
          <w:sz w:val="18"/>
          <w:szCs w:val="18"/>
          <w:b w:val="1"/>
          <w:bCs w:val="1"/>
          <w:i w:val="1"/>
          <w:iCs w:val="1"/>
          <w:color w:val="auto"/>
        </w:rPr>
      </w:pPr>
    </w:p>
    <w:p>
      <w:pPr>
        <w:ind w:left="644" w:right="20"/>
        <w:spacing w:after="0" w:line="28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Interests in the Notes will be registered in the records of Euroclear and Clearstream, Luxembourg and interests in the Notes will only be transferable in accordance with the rules and procedures of Euroclear and Clearstream, Luxembourg.</w:t>
      </w:r>
    </w:p>
    <w:p>
      <w:pPr>
        <w:spacing w:after="0" w:line="158" w:lineRule="exact"/>
        <w:rPr>
          <w:rFonts w:ascii="Times New Roman" w:cs="Times New Roman" w:eastAsia="Times New Roman" w:hAnsi="Times New Roman"/>
          <w:sz w:val="18"/>
          <w:szCs w:val="18"/>
          <w:b w:val="1"/>
          <w:bCs w:val="1"/>
          <w:i w:val="1"/>
          <w:iCs w:val="1"/>
          <w:color w:val="auto"/>
        </w:rPr>
      </w:pPr>
    </w:p>
    <w:p>
      <w:pPr>
        <w:ind w:left="64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 a description of the procedures for transferring title to book-entry interests in the Notes, see the Agency Agreement and Condition 2.</w:t>
      </w:r>
    </w:p>
    <w:p>
      <w:pPr>
        <w:spacing w:after="0" w:line="223" w:lineRule="exact"/>
        <w:rPr>
          <w:rFonts w:ascii="Times New Roman" w:cs="Times New Roman" w:eastAsia="Times New Roman" w:hAnsi="Times New Roman"/>
          <w:sz w:val="18"/>
          <w:szCs w:val="18"/>
          <w:b w:val="1"/>
          <w:bCs w:val="1"/>
          <w:i w:val="1"/>
          <w:iCs w:val="1"/>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44"/>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Guarantor has in the Agency Agreement fully and unconditionally guaranteed the due and punctual payment of the principal of, and premium, if any, and interest on, and all other amounts payable under, each Note and the Agency Agreement. The obligations of the Guarantor under the Guarantee constitute direct and unconditional unsecured and unsubordinated obligations of the Guarantor and will rank equally with all of the Guarantor's other existing and future unsecured and unsubordinated indebtedness from time to time outstanding. Notwithstanding the foregoing, the obligations of the Guarantor under the Guarantee at any time shall be limited to the maximum amount as will result in the obligations of the Guarantor under the Guarantee not constituting a fraudulent transfer or conveyance for purposes of any Debtor Relief Law to the extent applicable to the Agency Agreement, the Notes and the obligations of the Guarantor thereunder. In these Conditions, "</w:t>
      </w:r>
      <w:r>
        <w:rPr>
          <w:rFonts w:ascii="Times New Roman" w:cs="Times New Roman" w:eastAsia="Times New Roman" w:hAnsi="Times New Roman"/>
          <w:sz w:val="18"/>
          <w:szCs w:val="18"/>
          <w:b w:val="1"/>
          <w:bCs w:val="1"/>
          <w:color w:val="auto"/>
        </w:rPr>
        <w:t>Debtor Relief Law</w:t>
      </w:r>
      <w:r>
        <w:rPr>
          <w:rFonts w:ascii="Times New Roman" w:cs="Times New Roman" w:eastAsia="Times New Roman" w:hAnsi="Times New Roman"/>
          <w:sz w:val="18"/>
          <w:szCs w:val="18"/>
          <w:color w:val="auto"/>
        </w:rPr>
        <w:t>" means Title 11 of the United States Code, as amended, and all other liquidation, bankruptcy, assignment for the benefit of creditors, conservatorship, moratorium, receivership, insolvency, rearrangement, reorganization or similar debtor relief laws of the United States or other applicable jurisdictions in effect from time to time. Subject to specified limitations as described in Condition 4 below, the Agency Agreement and the Notes permit the Guarantor and its subsidiaries to incur additional secured and unsecured indebtedness and to issue preferred equity.</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46" w:name="page47"/>
    <w:bookmarkEnd w:id="46"/>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Transfers of Notes and Issue of Certificates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Transfers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Note may be transferred by depositing the Certificate issued in respect of that Note, with the form of transfer on the back duly completed and signed, at the specified office of the Registrar or any of the Transfer Agents. Notes are only transferable in minimum denominations of at least €100,000.</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130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Transfers of book-entry interests in the Notes will be effected through the records of each of Euroclear and Clearstream, Luxembourg and their respective participants in accordance with the rules and procedures of each of Euroclear and Clearstream, Luxembourg and their respective direct and indirect participants.</w:t>
      </w:r>
    </w:p>
    <w:p>
      <w:pPr>
        <w:spacing w:after="0" w:line="17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Delivery of new Certificates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Each new Certificate to be issued upon transfer of Notes will, within five business days of receipt by the Registrar or the relevant Transfer Agent of the duly completed form of transfer endorsed on the relevant Certificate, be mailed by uninsured mail at the risk of the holder entitled to the Note to the address specified in the form of transfer. For the purposes of this Condition 2, "business day" shall mean a day on which banks are open for business in the city in which the specified office of the Transfer Agent with whom a Certificate is deposited in connection with a transfer is located.</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130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Except in the limited circumstances described herein, owners of interests in the Notes will not be entitled to receive physical delivery of Certificates. Issues of Certificates upon transfer of Notes are subject to compliance by the transferor and transferee with the certification procedures described above and in the Agency Agreement.</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some but not all of the Notes in respect of which a Certificate is issued are to be transferred, a new Certificate in respect of the Notes not so transferred will, within five business days of receipt by the Registrar or the relevant Transfer Agent of the original Certificate, be mailed by uninsured mail at the risk of the holder of the Notes not so transferred to the address of such holder appearing on the register of Noteholders or as specified in the form of transfer.</w:t>
      </w:r>
    </w:p>
    <w:p>
      <w:pPr>
        <w:spacing w:after="0" w:line="175"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Formalities free of charge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Registration or transfer of Notes will be effected without charge by or on behalf of the Issuer or any Agent but upon payment (or the giving of such indemnity as the Issuer or any Agent may reasonably require) in respect of any tax or other governmental charges which may be imposed in relation to such transfer.</w:t>
      </w:r>
    </w:p>
    <w:p>
      <w:pPr>
        <w:spacing w:after="0" w:line="17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Closed Periods</w:t>
      </w:r>
    </w:p>
    <w:p>
      <w:pPr>
        <w:spacing w:after="0" w:line="229" w:lineRule="exact"/>
        <w:rPr>
          <w:rFonts w:ascii="Times New Roman" w:cs="Times New Roman" w:eastAsia="Times New Roman" w:hAnsi="Times New Roman"/>
          <w:sz w:val="18"/>
          <w:szCs w:val="18"/>
          <w:b w:val="1"/>
          <w:bCs w:val="1"/>
          <w:i w:val="1"/>
          <w:iCs w:val="1"/>
          <w:color w:val="auto"/>
        </w:rPr>
      </w:pPr>
    </w:p>
    <w:p>
      <w:pPr>
        <w:ind w:left="130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Noteholder may require the transfer of a Note to be registered during the period of 15 days ending on the due date for any payment of principal of, or premium, if any, or interest on, that Note.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left="1292" w:hanging="644"/>
        <w:spacing w:after="0"/>
        <w:tabs>
          <w:tab w:leader="none" w:pos="1292" w:val="left"/>
        </w:tabs>
        <w:numPr>
          <w:ilvl w:val="1"/>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8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All transfers of Notes and entries on the register of Noteholders will be made subject to the detailed regulations concerning transfer of Notes scheduled to the Agency Agreement. The regulations may be changed by the Issuer with the prior written approval of the Registrar. A copy of the current regulations will be mailed (free of charge) by or on behalf of the Issuer to any Noteholder who requests one.</w:t>
      </w:r>
    </w:p>
    <w:p>
      <w:pPr>
        <w:spacing w:after="0" w:line="153" w:lineRule="exact"/>
        <w:rPr>
          <w:rFonts w:ascii="Times New Roman" w:cs="Times New Roman" w:eastAsia="Times New Roman" w:hAnsi="Times New Roman"/>
          <w:sz w:val="18"/>
          <w:szCs w:val="18"/>
          <w:b w:val="1"/>
          <w:bCs w:val="1"/>
          <w:i w:val="1"/>
          <w:iCs w:val="1"/>
          <w:color w:val="auto"/>
        </w:rPr>
      </w:pPr>
    </w:p>
    <w:p>
      <w:pPr>
        <w:ind w:left="652" w:hanging="652"/>
        <w:spacing w:after="0"/>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 of the Notes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constitute direct and unconditional unsecured and unsubordinated obligations of the Issuer and will rank equally with all of the Issuer's other existing and future unsecured and unsubordinated indebtedness from time to time outstanding. Subject to specified limitations as described in Condition 4 below, the Agency Agreement and the Notes permit the Issuer to incur additional secured and unsecured indebtedness.</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Covenants</w:t>
      </w:r>
    </w:p>
    <w:p>
      <w:pPr>
        <w:spacing w:after="0" w:line="229" w:lineRule="exact"/>
        <w:rPr>
          <w:rFonts w:ascii="Times New Roman" w:cs="Times New Roman" w:eastAsia="Times New Roman" w:hAnsi="Times New Roman"/>
          <w:sz w:val="18"/>
          <w:szCs w:val="18"/>
          <w:b w:val="1"/>
          <w:bCs w:val="1"/>
          <w:i w:val="1"/>
          <w:iCs w:val="1"/>
          <w:color w:val="auto"/>
        </w:rPr>
      </w:pPr>
    </w:p>
    <w:p>
      <w:pPr>
        <w:ind w:left="129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Issuer and the Guarantor jointly and severally covenant and agree as follows:</w:t>
      </w:r>
    </w:p>
    <w:p>
      <w:pPr>
        <w:spacing w:after="0" w:line="223" w:lineRule="exact"/>
        <w:rPr>
          <w:rFonts w:ascii="Times New Roman" w:cs="Times New Roman" w:eastAsia="Times New Roman" w:hAnsi="Times New Roman"/>
          <w:sz w:val="18"/>
          <w:szCs w:val="18"/>
          <w:b w:val="1"/>
          <w:bCs w:val="1"/>
          <w:i w:val="1"/>
          <w:iCs w:val="1"/>
          <w:color w:val="auto"/>
        </w:rPr>
      </w:pPr>
    </w:p>
    <w:p>
      <w:pPr>
        <w:ind w:left="1952" w:hanging="656"/>
        <w:spacing w:after="0"/>
        <w:tabs>
          <w:tab w:leader="none" w:pos="195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Debt</w:t>
      </w:r>
    </w:p>
    <w:p>
      <w:pPr>
        <w:spacing w:after="0" w:line="227" w:lineRule="exact"/>
        <w:rPr>
          <w:rFonts w:ascii="Times New Roman" w:cs="Times New Roman" w:eastAsia="Times New Roman" w:hAnsi="Times New Roman"/>
          <w:sz w:val="18"/>
          <w:szCs w:val="18"/>
          <w:color w:val="auto"/>
        </w:rPr>
      </w:pPr>
    </w:p>
    <w:p>
      <w:pPr>
        <w:ind w:left="19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each Reporting Date (as defined below), Debt (as defined below) shall not exceed 65% of Total Assets (as defined below).</w:t>
      </w:r>
    </w:p>
    <w:p>
      <w:pPr>
        <w:spacing w:after="0" w:line="22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Secured Debt</w:t>
      </w:r>
    </w:p>
    <w:p>
      <w:pPr>
        <w:spacing w:after="0" w:line="227" w:lineRule="exact"/>
        <w:rPr>
          <w:rFonts w:ascii="Times New Roman" w:cs="Times New Roman" w:eastAsia="Times New Roman" w:hAnsi="Times New Roman"/>
          <w:sz w:val="18"/>
          <w:szCs w:val="18"/>
          <w:color w:val="auto"/>
        </w:rPr>
      </w:pPr>
    </w:p>
    <w:p>
      <w:pPr>
        <w:ind w:left="19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each Reporting Date, Secured Debt (as defined below) shall not exceed 50% of Total Assets.</w:t>
      </w:r>
    </w:p>
    <w:p>
      <w:pPr>
        <w:spacing w:after="0" w:line="22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Fixed Charge Coverage Ratio</w:t>
      </w:r>
    </w:p>
    <w:p>
      <w:pPr>
        <w:spacing w:after="0" w:line="227" w:lineRule="exact"/>
        <w:rPr>
          <w:rFonts w:ascii="Times New Roman" w:cs="Times New Roman" w:eastAsia="Times New Roman" w:hAnsi="Times New Roman"/>
          <w:sz w:val="18"/>
          <w:szCs w:val="18"/>
          <w:color w:val="auto"/>
        </w:rPr>
      </w:pPr>
    </w:p>
    <w:p>
      <w:pPr>
        <w:ind w:left="19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four consecutive quarters ending on each Reporting Date, the ratio of Annualized EBITDA (as defined below) to Annualized Interest Expense (as defined below) shall be at least 1.50 to 1.00.</w:t>
      </w:r>
    </w:p>
    <w:p>
      <w:pPr>
        <w:spacing w:after="0" w:line="159"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Total Unencumbered Assets</w:t>
      </w:r>
    </w:p>
    <w:p>
      <w:pPr>
        <w:spacing w:after="0" w:line="227" w:lineRule="exact"/>
        <w:rPr>
          <w:rFonts w:ascii="Times New Roman" w:cs="Times New Roman" w:eastAsia="Times New Roman" w:hAnsi="Times New Roman"/>
          <w:sz w:val="18"/>
          <w:szCs w:val="18"/>
          <w:color w:val="auto"/>
        </w:rPr>
      </w:pPr>
    </w:p>
    <w:p>
      <w:pPr>
        <w:ind w:left="19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each Reporting Date, Unencumbered Assets (as defined below) shall be at least 125% of Unsecured Debt (as defined below).</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48" w:name="page49"/>
    <w:bookmarkEnd w:id="48"/>
    <w:p>
      <w:pPr>
        <w:ind w:left="840" w:hanging="656"/>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Consolidation or Sale</w:t>
      </w:r>
    </w:p>
    <w:p>
      <w:pPr>
        <w:spacing w:after="0" w:line="227" w:lineRule="exact"/>
        <w:rPr>
          <w:rFonts w:ascii="Times New Roman" w:cs="Times New Roman" w:eastAsia="Times New Roman" w:hAnsi="Times New Roman"/>
          <w:sz w:val="18"/>
          <w:szCs w:val="18"/>
          <w:color w:val="auto"/>
        </w:rPr>
      </w:pPr>
    </w:p>
    <w:p>
      <w:pPr>
        <w:jc w:val="both"/>
        <w:ind w:left="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the Guarantor may, in any transaction or series of related transactions, (i) consolidate with, or merge with or into, any other person or (ii) sell, lease or convey all or substantially all of its assets to any other person, in each case, without the consent of holders of the Notes, unless:</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53" w:lineRule="auto"/>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transaction or transactions involving the Issuer, the Issuer shall be the continuing person or the successor person (if other than the Issuer) formed by or resulting from the consolidation or merger or to which its assets shall have been sold, leased or conveyed (i) is a corporation, limited liability company, partnership or other entity organized and existing under the laws of the United States (as defined in Condition 8 below) or any other member country in the Organization for Economic Co-operation and Development or any political subdivision or governmental authority thereof, (ii) if organized and existing other than under the laws of the United States, irrevocably and unconditionally</w:t>
      </w:r>
    </w:p>
    <w:p>
      <w:pPr>
        <w:spacing w:after="0" w:line="5" w:lineRule="exact"/>
        <w:rPr>
          <w:rFonts w:ascii="Times New Roman" w:cs="Times New Roman" w:eastAsia="Times New Roman" w:hAnsi="Times New Roman"/>
          <w:sz w:val="18"/>
          <w:szCs w:val="18"/>
          <w:color w:val="auto"/>
        </w:rPr>
      </w:pPr>
    </w:p>
    <w:p>
      <w:pPr>
        <w:jc w:val="both"/>
        <w:ind w:left="1480"/>
        <w:spacing w:after="0" w:line="251" w:lineRule="auto"/>
        <w:tabs>
          <w:tab w:leader="none" w:pos="175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submits to the jurisdiction of any United States federal court or New York state court, in each case located in the Borough of Manhattan in The City of New York, in respect of any legal action, suit or proceeding against it arising out of, or in connection with, the Agency Agreement or the Notes, (2) waives, to the fullest extent permitted by law, any objection to the laying of venue in any such court or that any such legal action, suit or proceeding has been brought in an inconvenient forum and (3) appoints an agent in The City of New York for service of process in any such legal action, suit or proceeding, and (iii) expressly assumes the due and punctual payment of the principal of, and premium, if any, and interest on, all the Notes and the due and punctual performance of all of the Issuer's other obligations under the Agency Agreement and the Notes;</w:t>
      </w:r>
    </w:p>
    <w:p>
      <w:pPr>
        <w:spacing w:after="0" w:line="193" w:lineRule="exact"/>
        <w:rPr>
          <w:rFonts w:ascii="Times New Roman" w:cs="Times New Roman" w:eastAsia="Times New Roman" w:hAnsi="Times New Roman"/>
          <w:sz w:val="18"/>
          <w:szCs w:val="18"/>
          <w:color w:val="auto"/>
        </w:rPr>
      </w:pPr>
    </w:p>
    <w:p>
      <w:pPr>
        <w:jc w:val="both"/>
        <w:ind w:left="1480" w:hanging="648"/>
        <w:spacing w:after="0" w:line="253" w:lineRule="auto"/>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transaction or transactions involving the Guarantor, the Guarantor shall be the continuing person or the successor person (if other than the Guarantor) formed by or resulting from the consolidation or merger or to which its assets shall have been sold, leased or conveyed (i) is a corporation, limited liability company, partnership or other entity organized and existing under the laws of the United States or any other member country in the Organization for Economic Co-operation and Development or any political subdivision or governmental authority thereof, (ii) if organized and existing other than under the laws of the United States, irrevocably and unconditionally (1) consents and submits to the jurisdiction of any United States federal court or New York state court, in each case located in the Borough of Manhattan in The City of New York, in respect of any legal action, suit or proceeding against it arising out of, or in connection with, the Agency Agreement or the Guarantee, (2) waives, to the fullest extent permitted by law, any objection to the laying of venue in any such court or that any such legal action, suit or proceeding has been brought in an inconvenient forum and (3) appoints an agent in The City of New York for service of process in any such legal action, suit or proceeding and (iii) expressly assumes, via a supplement to the Agency Agreement or otherwise, all of the Guarantor's obligations under the Agency Agreement and the Guarantee;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5" w:right="339" w:bottom="1440" w:gutter="0" w:footer="0" w:header="0"/>
        </w:sectPr>
      </w:pPr>
    </w:p>
    <w:bookmarkStart w:id="49" w:name="page50"/>
    <w:bookmarkEnd w:id="49"/>
    <w:p>
      <w:pPr>
        <w:ind w:left="1480" w:hanging="648"/>
        <w:spacing w:after="0" w:line="282" w:lineRule="auto"/>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transactions, no Event of Default, and no event which, after notice or the lapse of time or both would become an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shall have received from the Issuer or the Guarantor a certificate of an authorized officer of the Issuer or the Guarantor (or its general partner), as applicable, and a written opinion of counsel to the effect that all conditions precedent to such transaction or transactions have been satisfied.</w:t>
      </w:r>
    </w:p>
    <w:p>
      <w:pPr>
        <w:spacing w:after="0" w:line="176"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Upon any such consolidation, merger, sale, lease or conveyance and upon any such assumption by a successor person, such successor person shall succeed to, and be substituted for, the Issuer or the Guarantor, as applicable, and may exercise every right and power of the Issuer or the Guarantor, as applicable, under the Notes or the Guarantee, as applicable, and the Agency Agreement with the same effect as if such successor person had been named as the Issuer or the Guarantor, as applicable, in the Notes or the Guarantee, as applicable, and the Agency Agreement; and thereafter, except in the case of a lease, the predecessor person shall be released from all obligations and covenants under the Notes and the Guarantee, as applicable, and the Agency Agreement. The Issuer or the Guarantor, as applicable, shall promptly provide written notice of any such consolidation, merger, sale, lease or conveyance to the Noteholders.</w:t>
      </w:r>
    </w:p>
    <w:p>
      <w:pPr>
        <w:spacing w:after="0" w:line="19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For the avoidance of doubt, no notice to, or consent from, the Noteholders shall be required solely with respect to any transfer of the equity interests in the Issuer to another wholly-owned (whether directly or indirectly) Subsidiary (as defined below) of the Guarantor or to the Guarantor, provided that: (i) such transfer is not a transaction or part of a series of related transactions that would be required to comply with the above terms and requirements of this Condition 4(1)(e), (ii) the Guarantee in respect of the Notes remains fully effective in relation to the obligations of the Issuer in respect of the Notes and remains valid, binding and enforceable against the Guarantor with respect to the Notes, and (iii) immediately after giving effect to such transfer, no Event of Default, and no event which, after notice or the lapse of time or both, would become an Event of Default, shall have occurred and be continuing.</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50" w:name="page51"/>
    <w:bookmarkEnd w:id="50"/>
    <w:p>
      <w:pPr>
        <w:ind w:left="840" w:hanging="656"/>
        <w:spacing w:after="0"/>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w:t>
      </w:r>
    </w:p>
    <w:p>
      <w:pPr>
        <w:spacing w:after="0" w:line="227" w:lineRule="exact"/>
        <w:rPr>
          <w:rFonts w:ascii="Times New Roman" w:cs="Times New Roman" w:eastAsia="Times New Roman" w:hAnsi="Times New Roman"/>
          <w:sz w:val="18"/>
          <w:szCs w:val="18"/>
          <w:color w:val="auto"/>
        </w:rPr>
      </w:pPr>
    </w:p>
    <w:p>
      <w:pPr>
        <w:jc w:val="both"/>
        <w:ind w:left="8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be replaced, and any member of the Guarantor's Group (as defined below) may be substituted for the Issuer, as principal debtor in respect of the Notes (such member of the Guarantor's Group substituted for the Issuer, the "Substituted Debtor"), without the consent of holders of the Notes, upon not less than 30 nor more than 60 days' prior written notice, provided that (i) the Issuer will use commercially reasonable efforts to select as the Substituted Debtor an entity incorporated in a member state of the European Union whose currency is the Euro that satisfies the requirements of ECB/2016/16, (ii) the Substituted Debtor has expressly assumed the due and punctual payment of the principal of, and premium, if any, and interest on, all of the Notes and the due and punctual performance of all of the Issuer's other obligations under the Agency Agreement and the Notes, (ii) if the Substituted Debtor is organized and existing other than under the laws of the United States, the Substituted Debtor has irrevocably and unconditionally (A) consented and submitted to the jurisdiction of any United States federal court or New York state court, in each case located in the Borough of Manhattan in The City of New York, in respect of any legal action, suit or proceeding against it arising out of, or in connection with, the Agency Agreement or the Notes,</w:t>
      </w:r>
    </w:p>
    <w:p>
      <w:pPr>
        <w:spacing w:after="0" w:line="3" w:lineRule="exact"/>
        <w:rPr>
          <w:rFonts w:ascii="Times New Roman" w:cs="Times New Roman" w:eastAsia="Times New Roman" w:hAnsi="Times New Roman"/>
          <w:sz w:val="18"/>
          <w:szCs w:val="18"/>
          <w:color w:val="auto"/>
        </w:rPr>
      </w:pPr>
    </w:p>
    <w:p>
      <w:pPr>
        <w:jc w:val="both"/>
        <w:ind w:left="8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waived, to the fullest extent permitted by law, any objection to the laying of venue in any such court or that any such legal action, suit or proceeding has been brought in an inconvenient forum and (C) appointed an agent in The City of New York for service of process in any such legal action, suit or proceeding, (iii) if the Substituted Debtor is other than the Guarantor, the Guarantee in respect of the Notes is fully effective in relation to the obligations of the Substituted Debtor in respect of the Notes or an equivalent guarantee is entered into by the Guarantor that has been duly authorized by it and is valid, binding and enforceable against it with respect to the Notes, (iv) immediately after giving effect to such substitution, no Event of Default, and no event which, after notice or the lapse of time or both, would become an Event of Default, shall have occurred and be continuing and (v) the Fiscal Agent shall have received from the Issuer a certificate of an authorized officer of the Issuer (or its general partner) and a written opinion of counsel to the effect that all conditions precedent to such substitution have been satisfied.</w:t>
      </w:r>
    </w:p>
    <w:p>
      <w:pPr>
        <w:spacing w:after="0" w:line="193"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Upon any replacement of the Issuer, as principal debtor, by any Substituted Debtor, in accordance with the provisions of this Condition 4(1)(f), the Substituted Debtor shall succeed to, and be substituted for, the Issuer with respect to the Notes, and may exercise every right and power of the Issuer under the Agency Agreement and the Notes with the same effect as if the Substituted Debtor had been named as the Issuer in the Agency Agreement and the Notes; and thereafter, the predecessor person shall be released from all obligations and covenants under the Notes and the Agency Agreement.</w:t>
      </w:r>
    </w:p>
    <w:p>
      <w:pPr>
        <w:spacing w:after="0" w:line="181" w:lineRule="exact"/>
        <w:rPr>
          <w:sz w:val="20"/>
          <w:szCs w:val="20"/>
          <w:color w:val="auto"/>
        </w:rPr>
      </w:pPr>
    </w:p>
    <w:p>
      <w:pPr>
        <w:ind w:left="840" w:hanging="656"/>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Existence</w:t>
      </w:r>
    </w:p>
    <w:p>
      <w:pPr>
        <w:spacing w:after="0" w:line="227" w:lineRule="exact"/>
        <w:rPr>
          <w:rFonts w:ascii="Times New Roman" w:cs="Times New Roman" w:eastAsia="Times New Roman" w:hAnsi="Times New Roman"/>
          <w:sz w:val="18"/>
          <w:szCs w:val="18"/>
          <w:color w:val="auto"/>
        </w:rPr>
      </w:pPr>
    </w:p>
    <w:p>
      <w:pPr>
        <w:jc w:val="both"/>
        <w:ind w:lef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Conditions 4(1)(e) and 4(1)(f) above, the Issuer and the Guarantor shall do or cause to be done all things necessary to preserve and keep in full force and effect their respective existence, rights (by partnership agreement and statute) and franchises, provided that, neither the Issuer nor the Guarantor shall be required to preserve any right or franchise if it determines that its loss is not disadvantageous in any material respect to the Noteholders.</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75" w:right="339" w:bottom="1440" w:gutter="0" w:footer="0" w:header="0"/>
        </w:sectPr>
      </w:pPr>
    </w:p>
    <w:bookmarkStart w:id="51" w:name="page52"/>
    <w:bookmarkEnd w:id="51"/>
    <w:p>
      <w:pPr>
        <w:ind w:left="840" w:hanging="656"/>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Properties</w:t>
      </w:r>
    </w:p>
    <w:p>
      <w:pPr>
        <w:spacing w:after="0" w:line="227" w:lineRule="exact"/>
        <w:rPr>
          <w:rFonts w:ascii="Times New Roman" w:cs="Times New Roman" w:eastAsia="Times New Roman" w:hAnsi="Times New Roman"/>
          <w:sz w:val="18"/>
          <w:szCs w:val="18"/>
          <w:color w:val="auto"/>
        </w:rPr>
      </w:pPr>
    </w:p>
    <w:p>
      <w:pPr>
        <w:jc w:val="both"/>
        <w:ind w:left="8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cause all of its material properties used or useful in the conduct of its business or the business of any of its Subsidiaries to be maintained and kept in good condition, repair and working order and supplied with all necessary equipment. The Guarantor shall also cause to be made all necessary repairs, renewals, replacements, betterments and improvements on these properties. The Guarantor's obligations with respect to the maintenance of these properties is subject to its reasonable judgment as to what may be necessary so that the business carried on in connection with these properties may be properly conducted at all times. The Guarantor and its Subsidiaries shall not be prevented from selling or otherwise disposing of any properties for value in the ordinary course of business.</w:t>
      </w:r>
    </w:p>
    <w:p>
      <w:pPr>
        <w:spacing w:after="0" w:line="186"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p>
    <w:p>
      <w:pPr>
        <w:spacing w:after="0" w:line="227" w:lineRule="exact"/>
        <w:rPr>
          <w:rFonts w:ascii="Times New Roman" w:cs="Times New Roman" w:eastAsia="Times New Roman" w:hAnsi="Times New Roman"/>
          <w:sz w:val="18"/>
          <w:szCs w:val="18"/>
          <w:color w:val="auto"/>
        </w:rPr>
      </w:pPr>
    </w:p>
    <w:p>
      <w:pPr>
        <w:jc w:val="both"/>
        <w:ind w:lef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and shall cause each of its Subsidiaries to, keep in force insurance policies on all of its insurable properties. The insurance policies shall be issued by financially sound and reputable companies protecting against loss or damage at least equal to the property's then full insurable value (subject to reasonable deductibles determined by the Guarantor or the relevant Subsidiary (as the case may be)).</w:t>
      </w:r>
    </w:p>
    <w:p>
      <w:pPr>
        <w:spacing w:after="0" w:line="17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Taxes and Other Claims</w:t>
      </w:r>
    </w:p>
    <w:p>
      <w:pPr>
        <w:spacing w:after="0" w:line="2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pay or discharge or cause to be paid or discharged, before the same become delinquent:</w:t>
      </w:r>
    </w:p>
    <w:p>
      <w:pPr>
        <w:spacing w:after="0" w:line="225"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the Guarantor or any of its Subsidiaries or upon any of their respective income, profits or property; and</w:t>
      </w:r>
    </w:p>
    <w:p>
      <w:pPr>
        <w:spacing w:after="0" w:line="161"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the property of the Guarantor or any of its Subsidiaries;</w:t>
      </w:r>
    </w:p>
    <w:p>
      <w:pPr>
        <w:spacing w:after="0" w:line="162"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excluding, however, any tax, assessment, charge or claim whose amount, applicability or validity is being contested in good faith by appropriate proceedings.</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5" w:right="339" w:bottom="1440" w:gutter="0" w:footer="0" w:header="0"/>
        </w:sectPr>
      </w:pPr>
    </w:p>
    <w:bookmarkStart w:id="52" w:name="page53"/>
    <w:bookmarkEnd w:id="52"/>
    <w:p>
      <w:pPr>
        <w:ind w:left="840" w:hanging="656"/>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of Financial Information</w:t>
      </w:r>
    </w:p>
    <w:p>
      <w:pPr>
        <w:spacing w:after="0" w:line="227" w:lineRule="exact"/>
        <w:rPr>
          <w:rFonts w:ascii="Times New Roman" w:cs="Times New Roman" w:eastAsia="Times New Roman" w:hAnsi="Times New Roman"/>
          <w:sz w:val="18"/>
          <w:szCs w:val="18"/>
          <w:color w:val="auto"/>
        </w:rPr>
      </w:pPr>
    </w:p>
    <w:p>
      <w:pPr>
        <w:jc w:val="both"/>
        <w:ind w:left="8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Guarantor is subject to Section 13 or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to the extent permitted under the Exchange Act, the Guarantor shall file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 annual reports, quarterly reports and other documents required under Sections 13 or 15(d) (the "</w:t>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on or prior to the respective dates (the "</w:t>
      </w:r>
      <w:r>
        <w:rPr>
          <w:rFonts w:ascii="Times New Roman" w:cs="Times New Roman" w:eastAsia="Times New Roman" w:hAnsi="Times New Roman"/>
          <w:sz w:val="18"/>
          <w:szCs w:val="18"/>
          <w:b w:val="1"/>
          <w:bCs w:val="1"/>
          <w:color w:val="auto"/>
        </w:rPr>
        <w:t>Required Filing Dates</w:t>
      </w:r>
      <w:r>
        <w:rPr>
          <w:rFonts w:ascii="Times New Roman" w:cs="Times New Roman" w:eastAsia="Times New Roman" w:hAnsi="Times New Roman"/>
          <w:sz w:val="18"/>
          <w:szCs w:val="18"/>
          <w:color w:val="auto"/>
        </w:rPr>
        <w:t>") by which the Guarantor would have been required to file those documents if it were subject to Section 13 or 15(d). The Guarantor also shall in any event within 15 days of each Required Filing Date:</w:t>
      </w:r>
    </w:p>
    <w:p>
      <w:pPr>
        <w:spacing w:after="0" w:line="187"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publicly available from the Commission, transmit copies of the Financial Information by mail to all Noteholders (as their names and addresses appear in the security register) without cost to the Noteholders, and</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copies of the Financial Information with the Fiscal Agent.</w:t>
      </w:r>
    </w:p>
    <w:p>
      <w:pPr>
        <w:spacing w:after="0" w:line="225"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If the Guarantor is not permitted to file these documents with the Commission under the Exchange Act, the Guarantor shall supply copies of the documents to any prospective Noteholder promptly upon written request.</w:t>
      </w:r>
    </w:p>
    <w:p>
      <w:pPr>
        <w:spacing w:after="0" w:line="162" w:lineRule="exact"/>
        <w:rPr>
          <w:sz w:val="20"/>
          <w:szCs w:val="20"/>
          <w:color w:val="auto"/>
        </w:rPr>
      </w:pPr>
    </w:p>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The availability of the foregoing materials on the Commission's website or on the website of Simon Property (as defined below) shall be deemed to satisfy the foregoing delivery obligations.</w:t>
      </w:r>
    </w:p>
    <w:p>
      <w:pPr>
        <w:spacing w:after="0" w:line="162"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Delivery of any reports, information and documents to the Fiscal Agent is for informational purposes only and the Fiscal Agent's receipt of them will not constitute actual or constructive notice of any information contained therein or determinable from information contained therein, including the Guarantor's compliance with any of its covenants hereunder (as to which the Fiscal Agent is entitled to rely exclusively on a certificate of an authorized officer of the Guarantor (or its general partner)).</w:t>
      </w:r>
    </w:p>
    <w:p>
      <w:pPr>
        <w:spacing w:after="0" w:line="178" w:lineRule="exact"/>
        <w:rPr>
          <w:sz w:val="20"/>
          <w:szCs w:val="20"/>
          <w:color w:val="auto"/>
        </w:rPr>
      </w:pPr>
    </w:p>
    <w:p>
      <w:pPr>
        <w:ind w:left="840" w:hanging="656"/>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p>
    <w:p>
      <w:pPr>
        <w:spacing w:after="0" w:line="2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these Conditions, the following defined terms have the meanings indicated:</w:t>
      </w:r>
    </w:p>
    <w:p>
      <w:pPr>
        <w:spacing w:after="0" w:line="221" w:lineRule="exact"/>
        <w:rPr>
          <w:rFonts w:ascii="Times New Roman" w:cs="Times New Roman" w:eastAsia="Times New Roman" w:hAnsi="Times New Roman"/>
          <w:sz w:val="18"/>
          <w:szCs w:val="18"/>
          <w:color w:val="auto"/>
        </w:rPr>
      </w:pPr>
    </w:p>
    <w:p>
      <w:pPr>
        <w:jc w:val="both"/>
        <w:ind w:left="8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Annualized EBITDA</w:t>
      </w:r>
      <w:r>
        <w:rPr>
          <w:rFonts w:ascii="Times New Roman" w:cs="Times New Roman" w:eastAsia="Times New Roman" w:hAnsi="Times New Roman"/>
          <w:sz w:val="17"/>
          <w:szCs w:val="17"/>
          <w:color w:val="auto"/>
        </w:rPr>
        <w:t>" means, for the four consecutive quarters ending on each Reporting Date, the Guarantor's Pro Rata Share of earnings before interest, taxes, depreciation and amortization ("</w:t>
      </w:r>
      <w:r>
        <w:rPr>
          <w:rFonts w:ascii="Times New Roman" w:cs="Times New Roman" w:eastAsia="Times New Roman" w:hAnsi="Times New Roman"/>
          <w:sz w:val="17"/>
          <w:szCs w:val="17"/>
          <w:b w:val="1"/>
          <w:bCs w:val="1"/>
          <w:i w:val="1"/>
          <w:iCs w:val="1"/>
          <w:color w:val="auto"/>
        </w:rPr>
        <w:t>EBITDA</w:t>
      </w:r>
      <w:r>
        <w:rPr>
          <w:rFonts w:ascii="Times New Roman" w:cs="Times New Roman" w:eastAsia="Times New Roman" w:hAnsi="Times New Roman"/>
          <w:sz w:val="17"/>
          <w:szCs w:val="17"/>
          <w:color w:val="auto"/>
        </w:rPr>
        <w:t>"),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75" w:right="339" w:bottom="1440" w:gutter="0" w:footer="0" w:header="0"/>
        </w:sectPr>
      </w:pPr>
    </w:p>
    <w:bookmarkStart w:id="53" w:name="page54"/>
    <w:bookmarkEnd w:id="53"/>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Annualized Interest Expense</w:t>
      </w:r>
      <w:r>
        <w:rPr>
          <w:rFonts w:ascii="Times New Roman" w:cs="Times New Roman" w:eastAsia="Times New Roman" w:hAnsi="Times New Roman"/>
          <w:sz w:val="18"/>
          <w:szCs w:val="18"/>
          <w:color w:val="auto"/>
        </w:rPr>
        <w:t>" means, for the four consecutive quarters ending on each Reporting Date, the Guarantor's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Rate</w:t>
      </w:r>
      <w:r>
        <w:rPr>
          <w:rFonts w:ascii="Times New Roman" w:cs="Times New Roman" w:eastAsia="Times New Roman" w:hAnsi="Times New Roman"/>
          <w:sz w:val="18"/>
          <w:szCs w:val="18"/>
          <w:color w:val="auto"/>
        </w:rPr>
        <w:t>" means 7.00%.</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Capitalized Value</w:t>
      </w:r>
      <w:r>
        <w:rPr>
          <w:rFonts w:ascii="Times New Roman" w:cs="Times New Roman" w:eastAsia="Times New Roman" w:hAnsi="Times New Roman"/>
          <w:sz w:val="18"/>
          <w:szCs w:val="18"/>
          <w:color w:val="auto"/>
        </w:rPr>
        <w:t>" means, as of any date, Annualized EBITDA divided by the Capitalization Rate.</w:t>
      </w:r>
    </w:p>
    <w:p>
      <w:pPr>
        <w:spacing w:after="0" w:line="22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means the Guarantor's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Guarantor or any Subsidiary directly, or indirectly through unconsolidated joint ventures, as determined in accordance with generally accepted accounting principles, (iii) reimbursement obligations in connection with any letters of credit actually issued and called, (iv) any lease of property by the Guarantor or any Subsidiary as lessee which is reflected in the Guarantor's balance sheet as a capitalized lease, in accordance with generally accepted accounting principles; provided, that Debt also includes, to the extent not otherwise included, any obligation by the Guarantor or any Subsidiary to be liable for, or to pay, as obligor, guarantor or otherwise, items of indebtedness of another Person (other than the Guarantor or any Subsidiary) described in clauses (i) through (iv) above (or, in the case of any such obligation made jointly with another Person, the Guarantor's or Subsidiary's allocable portion of such obligation based on its ownership interest in the related real estate assets); and provided, further, that Debt excludes Intercompany Debt.</w:t>
      </w:r>
    </w:p>
    <w:p>
      <w:pPr>
        <w:spacing w:after="0" w:line="190"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ECB/2016/16</w:t>
      </w:r>
      <w:r>
        <w:rPr>
          <w:rFonts w:ascii="Times New Roman" w:cs="Times New Roman" w:eastAsia="Times New Roman" w:hAnsi="Times New Roman"/>
          <w:sz w:val="18"/>
          <w:szCs w:val="18"/>
          <w:color w:val="auto"/>
        </w:rPr>
        <w:t>" means Decision (EU) 2016/948 of June 1, 2016 on the implementation of the corporate sector purchase programme, as amended.</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 Group</w:t>
      </w:r>
      <w:r>
        <w:rPr>
          <w:rFonts w:ascii="Times New Roman" w:cs="Times New Roman" w:eastAsia="Times New Roman" w:hAnsi="Times New Roman"/>
          <w:sz w:val="18"/>
          <w:szCs w:val="18"/>
          <w:color w:val="auto"/>
        </w:rPr>
        <w:t>" means Simon Property, the Guarantor and their respective Subsidiaries.</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3" w:right="339" w:bottom="1440" w:gutter="0" w:footer="0" w:header="0"/>
        </w:sectPr>
      </w:pPr>
    </w:p>
    <w:bookmarkStart w:id="54" w:name="page55"/>
    <w:bookmarkEnd w:id="54"/>
    <w:p>
      <w:pPr>
        <w:jc w:val="both"/>
        <w:ind w:left="8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Debt</w:t>
      </w:r>
      <w:r>
        <w:rPr>
          <w:rFonts w:ascii="Times New Roman" w:cs="Times New Roman" w:eastAsia="Times New Roman" w:hAnsi="Times New Roman"/>
          <w:sz w:val="18"/>
          <w:szCs w:val="18"/>
          <w:color w:val="auto"/>
        </w:rPr>
        <w:t>" means Debt to which the only parties are the Guarantor, Simon Property and any of the Guarantor's and Simon Property's Subsidiaries or affiliates, but only so long as that Debt is held solely by any of the Guarantor, Simon Property and any Subsidiary or affiliate and, provided that, in the case of Debt owed by the Guarantor to any Subsidiary or affiliate, the Debt is subordinated in right of payment to the holders of the Notes.</w:t>
      </w:r>
    </w:p>
    <w:p>
      <w:pPr>
        <w:spacing w:after="0" w:line="176"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any agency or political subdivision thereof.</w:t>
      </w:r>
    </w:p>
    <w:p>
      <w:pPr>
        <w:spacing w:after="0" w:line="155"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 any applicable figure or measure of the Guarantor and its Subsidiaries on a consolidated basis, less any portion attributable to minority interests, plus the Guarantor's or its Subsidiaries' allocable portion of such figure or measure, based on their ownership interest, of unconsolidated joint ventures.</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Reporting Date</w:t>
      </w:r>
      <w:r>
        <w:rPr>
          <w:rFonts w:ascii="Times New Roman" w:cs="Times New Roman" w:eastAsia="Times New Roman" w:hAnsi="Times New Roman"/>
          <w:sz w:val="18"/>
          <w:szCs w:val="18"/>
          <w:color w:val="auto"/>
        </w:rPr>
        <w:t>" means March 31, June 30, September 30 and December 31 of each year.</w:t>
      </w:r>
    </w:p>
    <w:p>
      <w:pPr>
        <w:spacing w:after="0" w:line="225"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Debt</w:t>
      </w:r>
      <w:r>
        <w:rPr>
          <w:rFonts w:ascii="Times New Roman" w:cs="Times New Roman" w:eastAsia="Times New Roman" w:hAnsi="Times New Roman"/>
          <w:sz w:val="18"/>
          <w:szCs w:val="18"/>
          <w:color w:val="auto"/>
        </w:rPr>
        <w:t>" means Debt secured by any mortgage, lien, pledge, encumbrance or security interest of any kind upon any of the Guarantor's property or the property of any Subsidiary.</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Simon Property</w:t>
      </w:r>
      <w:r>
        <w:rPr>
          <w:rFonts w:ascii="Times New Roman" w:cs="Times New Roman" w:eastAsia="Times New Roman" w:hAnsi="Times New Roman"/>
          <w:sz w:val="18"/>
          <w:szCs w:val="18"/>
          <w:color w:val="auto"/>
        </w:rPr>
        <w:t>" means Simon Property Group, Inc.</w:t>
      </w:r>
    </w:p>
    <w:p>
      <w:pPr>
        <w:spacing w:after="0" w:line="225"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Stabilized Asset</w:t>
      </w:r>
      <w:r>
        <w:rPr>
          <w:rFonts w:ascii="Times New Roman" w:cs="Times New Roman" w:eastAsia="Times New Roman" w:hAnsi="Times New Roman"/>
          <w:sz w:val="18"/>
          <w:szCs w:val="18"/>
          <w:color w:val="auto"/>
        </w:rPr>
        <w:t>" means (i) with respect to an acquisition of an asset, such asset becomes stabilized when the Guarantor or its Subsidiaries or an unconsolidated joint venture in which the Guarantor or any Subsidiary has an interest has owned the asset as of at least six Reporting Dates, and (ii) with respect to a new construction or development asset, such asset becomes stabilized four Reporting Dates after the earlier of (A) six (6) Reporting Dates after substantial completion of construction or development or (B) the first Reporting Date on which the asset is at least 90% leased.</w:t>
      </w:r>
    </w:p>
    <w:p>
      <w:pPr>
        <w:spacing w:after="0" w:line="179"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 corporation, partnership, joint venture, limited liability company or other entity, a majority of the outstanding voting stock, partnership interests or membership interests, as the case may be, of which is owned or controlled, directly or indirectly, by the Guarantor or by one or more other Subsidiaries of the Guarantor and, for the purposes of this definition, "</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stock having voting power for the election of directors, or trustees, as the case may be, whether at all times or only so long as no senior class of stock has such voting power by reason of any contingency.</w:t>
      </w:r>
    </w:p>
    <w:p>
      <w:pPr>
        <w:spacing w:after="0" w:line="179"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means, as of any Reporting Date, the sum of (i) for Stabilized Assets, Capitalized Value, (ii) for all other assets of the Guarantor and its Subsidiaries, the Guarantor's Pro Rata Share of undepreciated book value as determined in accordance with generally accepted accounting principles and (iii) the Guarantor's Pro Rata Share of cash and cash equivalents.</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3" w:right="339" w:bottom="1440" w:gutter="0" w:footer="0" w:header="0"/>
        </w:sectPr>
      </w:pPr>
    </w:p>
    <w:bookmarkStart w:id="55" w:name="page56"/>
    <w:bookmarkEnd w:id="55"/>
    <w:p>
      <w:pPr>
        <w:ind w:left="19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Unencumbered Annualized EBITDA</w:t>
      </w:r>
      <w:r>
        <w:rPr>
          <w:rFonts w:ascii="Times New Roman" w:cs="Times New Roman" w:eastAsia="Times New Roman" w:hAnsi="Times New Roman"/>
          <w:sz w:val="18"/>
          <w:szCs w:val="18"/>
          <w:color w:val="auto"/>
        </w:rPr>
        <w:t>" means Annualized EBITDA less any portion thereof attributable to assets serving as collateral for Secured Debt.</w:t>
      </w:r>
    </w:p>
    <w:p>
      <w:pPr>
        <w:spacing w:after="0" w:line="155" w:lineRule="exact"/>
        <w:rPr>
          <w:sz w:val="20"/>
          <w:szCs w:val="20"/>
          <w:color w:val="auto"/>
        </w:rPr>
      </w:pPr>
    </w:p>
    <w:p>
      <w:pPr>
        <w:ind w:left="19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Unencumbered Assets</w:t>
      </w:r>
      <w:r>
        <w:rPr>
          <w:rFonts w:ascii="Times New Roman" w:cs="Times New Roman" w:eastAsia="Times New Roman" w:hAnsi="Times New Roman"/>
          <w:sz w:val="18"/>
          <w:szCs w:val="18"/>
          <w:color w:val="auto"/>
        </w:rPr>
        <w:t>" as of any Reporting Date means Total Assets as of such date multiplied by a fraction, the numerator of which is Unencumbered Annualized EBITDA and the denominator of which is Annualized EBITDA.</w:t>
      </w:r>
    </w:p>
    <w:p>
      <w:pPr>
        <w:spacing w:after="0" w:line="15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Unsecured Debt</w:t>
      </w:r>
      <w:r>
        <w:rPr>
          <w:rFonts w:ascii="Times New Roman" w:cs="Times New Roman" w:eastAsia="Times New Roman" w:hAnsi="Times New Roman"/>
          <w:sz w:val="17"/>
          <w:szCs w:val="17"/>
          <w:color w:val="auto"/>
        </w:rPr>
        <w:t>" means Debt which is not secured by any mortgage, lien, pledge, encumbrance or security interest of any kind.</w:t>
      </w:r>
    </w:p>
    <w:p>
      <w:pPr>
        <w:spacing w:after="0" w:line="237" w:lineRule="exact"/>
        <w:rPr>
          <w:sz w:val="20"/>
          <w:szCs w:val="20"/>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Rate and Interest Payment Dates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 Notes shall bear interest from, and including, June 15, 2026 at the rate of 3.650% per </w:t>
      </w:r>
      <w:r>
        <w:rPr>
          <w:rFonts w:ascii="Times New Roman" w:cs="Times New Roman" w:eastAsia="Times New Roman" w:hAnsi="Times New Roman"/>
          <w:sz w:val="18"/>
          <w:szCs w:val="18"/>
          <w:color w:val="231F20"/>
        </w:rPr>
        <w:t>annum</w:t>
      </w:r>
      <w:r>
        <w:rPr>
          <w:rFonts w:ascii="Times New Roman" w:cs="Times New Roman" w:eastAsia="Times New Roman" w:hAnsi="Times New Roman"/>
          <w:sz w:val="18"/>
          <w:szCs w:val="18"/>
          <w:color w:val="auto"/>
        </w:rPr>
        <w:t>, payable annually in arrears on June 15 in each year (each, an “Interest Payment Date”). The first payment of interest in respect of the Notes shall be due and payable on June 15, 2027 in respect of the period from and including June 15, 2026 to, but excluding, June 15, 2027.</w:t>
      </w:r>
    </w:p>
    <w:p>
      <w:pPr>
        <w:spacing w:after="0" w:line="171" w:lineRule="exact"/>
        <w:rPr>
          <w:rFonts w:ascii="Times New Roman" w:cs="Times New Roman" w:eastAsia="Times New Roman" w:hAnsi="Times New Roman"/>
          <w:sz w:val="18"/>
          <w:szCs w:val="18"/>
          <w:b w:val="1"/>
          <w:bCs w:val="1"/>
          <w:i w:val="1"/>
          <w:iCs w:val="1"/>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Accrual</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Each Note will cease to bear interest from and including its due date for redemption unless, upon due presentation, payment of the principal in respect of the Note is improperly withheld or refused or unless default is otherwise made in respect of </w:t>
      </w:r>
      <w:r>
        <w:rPr>
          <w:rFonts w:ascii="Times New Roman" w:cs="Times New Roman" w:eastAsia="Times New Roman" w:hAnsi="Times New Roman"/>
          <w:sz w:val="18"/>
          <w:szCs w:val="18"/>
          <w:color w:val="231F20"/>
        </w:rPr>
        <w:t>payment</w:t>
      </w:r>
      <w:r>
        <w:rPr>
          <w:rFonts w:ascii="Times New Roman" w:cs="Times New Roman" w:eastAsia="Times New Roman" w:hAnsi="Times New Roman"/>
          <w:sz w:val="18"/>
          <w:szCs w:val="18"/>
          <w:color w:val="auto"/>
        </w:rPr>
        <w:t>. In such event, interest will continue to accrue until whichever is the earlier of:</w:t>
      </w:r>
    </w:p>
    <w:p>
      <w:pPr>
        <w:spacing w:after="0" w:line="175" w:lineRule="exact"/>
        <w:rPr>
          <w:rFonts w:ascii="Times New Roman" w:cs="Times New Roman" w:eastAsia="Times New Roman" w:hAnsi="Times New Roman"/>
          <w:sz w:val="18"/>
          <w:szCs w:val="18"/>
          <w:b w:val="1"/>
          <w:bCs w:val="1"/>
          <w:i w:val="1"/>
          <w:iCs w:val="1"/>
          <w:color w:val="auto"/>
        </w:rPr>
      </w:pPr>
    </w:p>
    <w:p>
      <w:pPr>
        <w:ind w:left="1952" w:hanging="656"/>
        <w:spacing w:after="0"/>
        <w:tabs>
          <w:tab w:leader="none" w:pos="195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due in respect of such Note have been paid; and</w:t>
      </w:r>
    </w:p>
    <w:p>
      <w:pPr>
        <w:spacing w:after="0" w:line="225"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days after the date on which the full amount of the moneys payable in respect of such Notes has been received by the Fiscal Agent and notice to that effect has been given to the Noteholders in accordance with Condition 12.</w:t>
      </w:r>
    </w:p>
    <w:p>
      <w:pPr>
        <w:spacing w:after="0" w:line="15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Calculation of Interest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231F20"/>
        </w:rPr>
        <w:t xml:space="preserve">Interest on the Notes will be computed on the basis of the actual number of days in the period for which interest is being calculated divided by the actual number of days from and including the last date on which interest was paid on the Notes (or from and including </w:t>
      </w:r>
      <w:r>
        <w:rPr>
          <w:rFonts w:ascii="Times New Roman" w:cs="Times New Roman" w:eastAsia="Times New Roman" w:hAnsi="Times New Roman"/>
          <w:sz w:val="18"/>
          <w:szCs w:val="18"/>
          <w:color w:val="000000"/>
        </w:rPr>
        <w:t xml:space="preserve">June 15, 2026 </w:t>
      </w:r>
      <w:r>
        <w:rPr>
          <w:rFonts w:ascii="Times New Roman" w:cs="Times New Roman" w:eastAsia="Times New Roman" w:hAnsi="Times New Roman"/>
          <w:sz w:val="18"/>
          <w:szCs w:val="18"/>
          <w:color w:val="231F20"/>
        </w:rPr>
        <w:t>if no interest has been paid on the Notes) to, but excluding, the next scheduled interest payment date.</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56" w:name="page57"/>
    <w:bookmarkEnd w:id="56"/>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Payments in respect of Notes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Payment of principal, premium, if any, and interest will be made by transfer to the registered account of the Noteholder. Payments of principal and premium, if any, and payments of interest due otherwise than on an Interest Payment Date will only be made against surrender of the relevant Certificate at the specified office of the Fiscal Agent. Interest on Notes due on an Interest Payment Date will (except as may otherwise be required by the rules and procedures of Euroclear and/or Clearstream, Luxembourg), be paid to the holder shown on the register of Noteholders at the close of business on the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being the fifteenth day before the due date for the payment of interest.</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purposes of this Condition 6, a Noteholder’s registered account means the euro account maintained by or on behalf of the Noteholder with a bank that processes payments in euro, details of which appear on the register of Noteholders at the close of business, in the case of principal, on the second Business Day before the due date for payment and, in the case of interest, on the relevant record date.</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For so long as the Notes are represented by a Global Certificate, each payment in respect of a Global Certificate will be made to the person shown as the holder of the Notes in the register of the Noteholders at the close of business (of the relevant clearing system) on the Clearing System Business Day before the due date for such payments, where </w:t>
      </w:r>
      <w:r>
        <w:rPr>
          <w:rFonts w:ascii="Times New Roman" w:cs="Times New Roman" w:eastAsia="Times New Roman" w:hAnsi="Times New Roman"/>
          <w:sz w:val="18"/>
          <w:szCs w:val="18"/>
          <w:b w:val="1"/>
          <w:bCs w:val="1"/>
          <w:i w:val="1"/>
          <w:iCs w:val="1"/>
          <w:color w:val="auto"/>
        </w:rPr>
        <w:t>''Clearing System Business Day'</w:t>
      </w:r>
      <w:r>
        <w:rPr>
          <w:rFonts w:ascii="Times New Roman" w:cs="Times New Roman" w:eastAsia="Times New Roman" w:hAnsi="Times New Roman"/>
          <w:sz w:val="18"/>
          <w:szCs w:val="18"/>
          <w:i w:val="1"/>
          <w:iCs w:val="1"/>
          <w:color w:val="auto"/>
        </w:rPr>
        <w:t>' means a weekday (Monday to Friday, inclusive) except December 25 and January 1.</w:t>
      </w:r>
    </w:p>
    <w:p>
      <w:pPr>
        <w:spacing w:after="0" w:line="177"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Payments subject to Applicable Laws</w:t>
      </w:r>
    </w:p>
    <w:p>
      <w:pPr>
        <w:spacing w:after="0" w:line="229" w:lineRule="exact"/>
        <w:rPr>
          <w:rFonts w:ascii="Times New Roman" w:cs="Times New Roman" w:eastAsia="Times New Roman" w:hAnsi="Times New Roman"/>
          <w:sz w:val="18"/>
          <w:szCs w:val="18"/>
          <w:b w:val="1"/>
          <w:bCs w:val="1"/>
          <w:i w:val="1"/>
          <w:iCs w:val="1"/>
          <w:color w:val="auto"/>
        </w:rPr>
      </w:pPr>
    </w:p>
    <w:p>
      <w:pPr>
        <w:ind w:left="130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Payments of principal of, or premium, if any, and interest on, Notes are subject in all cases to any fiscal or other laws and regulations applicable in the place of payment, but without prejudice to the provisions of Condition 8 below.</w:t>
      </w:r>
    </w:p>
    <w:p>
      <w:pPr>
        <w:spacing w:after="0" w:line="157"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commissions</w:t>
      </w:r>
    </w:p>
    <w:p>
      <w:pPr>
        <w:spacing w:after="0" w:line="229"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commissions or expenses shall be charged to the Noteholders in respect of any payments made in accordance with this Condition 6.</w:t>
      </w:r>
    </w:p>
    <w:p>
      <w:pPr>
        <w:spacing w:after="0" w:line="22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 on Business Days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payment is to be made by transfer to a registered account, payment instructions (for value the due date or, if that is not a Business Day (as defined below), for value the first following day which is a Business Day) will be initiated and, where payment is to be made by cheque, the cheque will be mailed, on the Business Day preceding the due date for payment or, in the case of a payment of principal or premium, if any, or interest due otherwise than on an Interest Payment Date, if later, on the Business Day on which the relevant Certificate is surrendered at the specified office of the Fiscal Agent.</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Noteholders will not be entitled to any interest or other payment for any delay after the due date in receiving the amount due if the due date is not a Business Day, if the Noteholder is late in surrendering its Certificate (if required to do so) or if a cheque mailed in accordance with this Condition 6 arrives after the due date for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these Conditions, “Business Day” means any day other than a Saturday or Sunday, (a) which is not a day on which banking institutions in the City of New York or London are authorized or required by law, regulation or executive order to close and (b) on which the real time gross settlement system operated by the Eurosystem, or any successor or replacement system, is open.</w:t>
      </w:r>
    </w:p>
    <w:p>
      <w:pPr>
        <w:spacing w:after="0" w:line="172"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Partial Payments</w:t>
      </w:r>
    </w:p>
    <w:p>
      <w:pPr>
        <w:spacing w:after="0" w:line="229" w:lineRule="exact"/>
        <w:rPr>
          <w:rFonts w:ascii="Times New Roman" w:cs="Times New Roman" w:eastAsia="Times New Roman" w:hAnsi="Times New Roman"/>
          <w:sz w:val="18"/>
          <w:szCs w:val="18"/>
          <w:b w:val="1"/>
          <w:bCs w:val="1"/>
          <w:i w:val="1"/>
          <w:iCs w:val="1"/>
          <w:color w:val="auto"/>
        </w:rPr>
      </w:pPr>
    </w:p>
    <w:p>
      <w:pPr>
        <w:ind w:left="13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the amount of principal, premium, if any, or interest which is due on the Notes is not paid in full, the Registrar will annotate the register of Noteholders with a record of the amount of principal, premium (if any) or interest in fact paid.</w:t>
      </w:r>
    </w:p>
    <w:p>
      <w:pPr>
        <w:spacing w:after="0" w:line="157"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Agents</w:t>
      </w:r>
    </w:p>
    <w:p>
      <w:pPr>
        <w:spacing w:after="0" w:line="229" w:lineRule="exact"/>
        <w:rPr>
          <w:rFonts w:ascii="Times New Roman" w:cs="Times New Roman" w:eastAsia="Times New Roman" w:hAnsi="Times New Roman"/>
          <w:sz w:val="18"/>
          <w:szCs w:val="18"/>
          <w:b w:val="1"/>
          <w:bCs w:val="1"/>
          <w:i w:val="1"/>
          <w:iCs w:val="1"/>
          <w:color w:val="auto"/>
        </w:rPr>
      </w:pPr>
    </w:p>
    <w:p>
      <w:pPr>
        <w:ind w:left="130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names of the initial Agents and their initial specified offices are set out at the end of these Conditions. The Issuer reserves the right at any time to vary or terminate the appointment of any Agent and to appoint additional or other Agents provided that:</w:t>
      </w:r>
    </w:p>
    <w:p>
      <w:pPr>
        <w:spacing w:after="0" w:line="161" w:lineRule="exact"/>
        <w:rPr>
          <w:rFonts w:ascii="Times New Roman" w:cs="Times New Roman" w:eastAsia="Times New Roman" w:hAnsi="Times New Roman"/>
          <w:sz w:val="18"/>
          <w:szCs w:val="18"/>
          <w:b w:val="1"/>
          <w:bCs w:val="1"/>
          <w:i w:val="1"/>
          <w:iCs w:val="1"/>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at all times be a Fiscal Agent;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at all times be a Registrar and a Transfer Agent.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Notice of any termination or appointment, and of any changes in specified offices, will be given to the Noteholders promptly by the Issuer in accordance with Condition 12 below.</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and Purchase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Redemption at Maturity</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Unless previously redeemed, called or purchased and cancelled as provided below, the Issuer will redeem the Notes at their principal amount on June 15, 2031 (the “Stated Maturity”), subject as provided in Condition 6 above. No sinking fund shall be provided for the Notes and the Notes shall not be repayable at the option of the Noteholders prior to the Stated Maturity.</w:t>
      </w:r>
    </w:p>
    <w:p>
      <w:pPr>
        <w:spacing w:after="0" w:line="17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Optional Redemption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may redeem the Notes at its option at any time, in whole or from time to time in part, at a redemption price (the “Redemption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sum of:</w:t>
      </w:r>
    </w:p>
    <w:p>
      <w:pPr>
        <w:spacing w:after="0" w:line="207" w:lineRule="exact"/>
        <w:rPr>
          <w:sz w:val="20"/>
          <w:szCs w:val="20"/>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in the case of a redemption in part, the relevant Redemption Proportion (as defined below) of the principal amount of the Notes plus accrued and unpaid interest thereon, if any, to, but excluding, the redemption date;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(as defined below), if any, with respect to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provided that, if such Notes are redeemed on or after May 15, 2031 (the “Par Call Date”), the Redemption Price will not include the Make-Whole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Notes are to be redeemed in part only on any date in accordance with this Condition 7, each Note shall be redeemed in part in the proportion which the aggregate principal amount of the outstanding Notes to be redeemed on the relevant redemption date bears to the aggregate principal amount of outstanding Notes on such date (the “Redemption Proportion”).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an Interest Payment Date falling on or prior to a redemption date will be payable on such Interest Payment Date to the holders thereof as of the close of business on the relevant record date. If the Issuer has given notice of redemption as provided in the Agency Agreement and has made funds available on the redemption date referred to in the notice for the redemption, on and after the relevant redemption date, interest will cease to accrue on the Notes or, in the case of a redemption in part, the relevant Redemption Proportion of the principal amount of outstanding Notes.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of any redemption (the “Optional Redemption Notice”) will be given to the Noteholders at least 15 days but not more than 60 days before the redemption date. The notice of redemption will specify, amongst other things, the Redemption Price, the principal amount of the Notes to be redeemed, (in the case of a redemption in part) the relevant Redemption Proportion and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Condition 7(2):</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means an independent financial institution appointed by the Issuer that agrees to serve in such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Amount</w:t>
      </w:r>
      <w:r>
        <w:rPr>
          <w:rFonts w:ascii="Times New Roman" w:cs="Times New Roman" w:eastAsia="Times New Roman" w:hAnsi="Times New Roman"/>
          <w:sz w:val="18"/>
          <w:szCs w:val="18"/>
          <w:color w:val="auto"/>
        </w:rPr>
        <w:t>” means, in connection with any optional redemption or accelerated payment of the Notes, the excess, if any, of:</w:t>
      </w:r>
    </w:p>
    <w:p>
      <w:pPr>
        <w:spacing w:after="0" w:line="227" w:lineRule="exact"/>
        <w:rPr>
          <w:sz w:val="20"/>
          <w:szCs w:val="20"/>
          <w:color w:val="auto"/>
        </w:rPr>
      </w:pPr>
    </w:p>
    <w:p>
      <w:pPr>
        <w:jc w:val="both"/>
        <w:ind w:left="1300" w:hanging="644"/>
        <w:spacing w:after="0" w:line="255"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present value as of the date of redemption or accelerated payment of each euro of principal being redeemed and the amount of interest, excluding interest accrued to the date of redemption or accelerated payment, that would have been payable in respect of each euro assuming the Notes matured on the Par Call Date if the redemption or accelerated payment had not been made (determined by discounting, on an annual basis (ICMA) Actual/Actual (as described in the handbook of the International Capital Market Association)), the principal and interest at the Reinvestment Rate, from the respective dates on which the principal and interest would have been payable assuming the Notes matured on the Par Call Date if the redemption or accelerated payment had not been made, to the date of redemption or accelerated payment), over</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or, in the case of a redemption in part, the relevant Redemption Proportion of the principal amount of the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Bund</w:t>
      </w:r>
      <w:r>
        <w:rPr>
          <w:rFonts w:ascii="Times New Roman" w:cs="Times New Roman" w:eastAsia="Times New Roman" w:hAnsi="Times New Roman"/>
          <w:sz w:val="18"/>
          <w:szCs w:val="18"/>
          <w:color w:val="auto"/>
        </w:rPr>
        <w:t>” means the 2.500% Federal Government Bond of Bundesrepublik Deutschland due April 16, 2031 with ISIN DE000BU25067.</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Dealer</w:t>
      </w:r>
      <w:r>
        <w:rPr>
          <w:rFonts w:ascii="Times New Roman" w:cs="Times New Roman" w:eastAsia="Times New Roman" w:hAnsi="Times New Roman"/>
          <w:sz w:val="18"/>
          <w:szCs w:val="18"/>
          <w:color w:val="auto"/>
        </w:rPr>
        <w:t>” means each of the four banks selected by a Calculation Agent which are primary European government security dealers, and their respective successors, or market makers in pricing corporate bond issues.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Reinvestment Rate</w:t>
      </w:r>
      <w:r>
        <w:rPr>
          <w:rFonts w:ascii="Times New Roman" w:cs="Times New Roman" w:eastAsia="Times New Roman" w:hAnsi="Times New Roman"/>
          <w:sz w:val="18"/>
          <w:szCs w:val="18"/>
          <w:color w:val="auto"/>
        </w:rPr>
        <w:t>” means 0.150%, plus the average of the four quotations given by the Reference Dealers of the mid-market annual yield to maturity of the Reference Bund at 11:00 a.m. (Central European time (“CET”)) on the third Business Day preceding such redemption date and if the Reference Bund is no longer outstanding, a Similar Security will be chosen by the Calculation Agent at 11:00 a.m. (CET) on the third Business Day prior to the date fixed for the redemption or the date of accelerated payment, as applicable, quoted in writing by the Calculation Agent to the Issuer.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Similar Security</w:t>
      </w:r>
      <w:r>
        <w:rPr>
          <w:rFonts w:ascii="Times New Roman" w:cs="Times New Roman" w:eastAsia="Times New Roman" w:hAnsi="Times New Roman"/>
          <w:sz w:val="18"/>
          <w:szCs w:val="18"/>
          <w:color w:val="auto"/>
        </w:rPr>
        <w:t>” means a reference bond or reference bonds issued in respect of the Notes, by the German federal government, in each case, having an actual or interpolated maturity comparable with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71"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Redemption for Taxation Reasons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Subject to Condition 8(B) below, if (a) as a result of any change in, or amendment to, the laws (or any regulations or rulings promulgated under the laws) or treaties of the Netherlands (or any taxing authority thereof or therein), or any change in, or amendments to, an official position regarding the application or interpretation of such laws, regulations, rulings or treaties, which change or amendment is announced or becomes effective on or after June 15, 2026, the Issuer becomes or, based upon a written opinion of independent counsel selected by the Issuer, will become obligated to pay Additional Amounts as described under Condition 8 below with respect to the Notes or (b) as a result of any change in, or amendment to, the laws (or any regulations or rulings promulgated under the laws) or treaties of the United States (or any taxing authority thereof or therein), or any change in, or amendments to, an official position regarding the application or interpretation of such laws, regulations, rulings or treaties which change or amendment is announced or becomes effective on or after June 15, 2026, the Issuer or the Guarantor becomes or, based upon a written opinion of independent counsel selected by the Issuer or the Guarantor, will become obligated to pay Additional Amounts as described under Condition 8 below with respect to the Notes, then the Issuer may at any time at its option, having given not less than 15 nor more than 60 days' prior notice to Noteholders, redeem, in whole, but not in part, the Notes at a redemption price equal to 100% of the principal amount of the Notes, together with accrued and unpaid interest on the Notes to, but excluding, the date fixed for redemption, provided that no such notice of redemption shall be given earlier than 90 days prior to the earliest date on which the Issuer or the Guarantor would be obliged to pay such Additional Amounts if a payment in respect of the Notes were then due or (as the case may be) a demand under the Guarantee were then made and, at the time such notification of redemption is given, such obligation to pay such Additional Amounts remains in effect. Prior to the publication of any notice of redemption pursuant to this Condition 7(3), the Issuer shall deliver to the Fiscal Agent (i) a certificate stating that the Issuer is entitled to effect such redemption and that the conditions precedent to the right of the Issuer to so redeem have occurred and (ii) the written opinion of independent counsel to the effect that the Issuer or (as the case may be) the Guarantor has or will become obligated to pay such Additional Amounts as a result of such change or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0" w:name="page61"/>
    <w:bookmarkEnd w:id="60"/>
    <w:p>
      <w:pPr>
        <w:ind w:left="1300" w:hanging="644"/>
        <w:spacing w:after="0"/>
        <w:tabs>
          <w:tab w:leader="none" w:pos="1300" w:val="left"/>
        </w:tabs>
        <w:numPr>
          <w:ilvl w:val="1"/>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w:t>
      </w:r>
    </w:p>
    <w:p>
      <w:pPr>
        <w:spacing w:after="0" w:line="229"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Issuer, the Guarantor or any Subsidiary may at any time purchase Notes in any manner and at any price.</w:t>
      </w:r>
    </w:p>
    <w:p>
      <w:pPr>
        <w:spacing w:after="0" w:line="22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Cancellations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Notes are acquired by or on behalf of the Issuer, the Guarantor or any member of the Guarantor's Group, such acquisition shall not operate as a redemption or satisfaction of the indebtedness represented by such Notes unless and until the same are surrendered to the Fiscal Agent or its authorized agent for cancellation.</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130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So long as the Notes are represented by a Global Certificate, cancellation of any Note following its redemption or purchase by the Issuer, the Guarantor or any of its Subsidiaries will be effected by reduction in the aggregate principal amount of the Notes in the register of Noteholders.</w:t>
      </w:r>
    </w:p>
    <w:p>
      <w:pPr>
        <w:spacing w:after="0" w:line="171"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 Final</w:t>
      </w:r>
    </w:p>
    <w:p>
      <w:pPr>
        <w:spacing w:after="0" w:line="229" w:lineRule="exact"/>
        <w:rPr>
          <w:rFonts w:ascii="Times New Roman" w:cs="Times New Roman" w:eastAsia="Times New Roman" w:hAnsi="Times New Roman"/>
          <w:sz w:val="18"/>
          <w:szCs w:val="18"/>
          <w:b w:val="1"/>
          <w:bCs w:val="1"/>
          <w:i w:val="1"/>
          <w:iCs w:val="1"/>
          <w:color w:val="auto"/>
        </w:rPr>
      </w:pPr>
    </w:p>
    <w:p>
      <w:pPr>
        <w:ind w:left="13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the expiry of any notice as is referred to in paragraph (2) or (3) above, the Issuer shall be bound to redeem the Notes in accordance with the terms of such paragraph (2) or (3), as the case may be.</w:t>
      </w:r>
    </w:p>
    <w:p>
      <w:pPr>
        <w:spacing w:after="0" w:line="157" w:lineRule="exact"/>
        <w:rPr>
          <w:rFonts w:ascii="Times New Roman" w:cs="Times New Roman" w:eastAsia="Times New Roman" w:hAnsi="Times New Roman"/>
          <w:sz w:val="18"/>
          <w:szCs w:val="18"/>
          <w:b w:val="1"/>
          <w:bCs w:val="1"/>
          <w:i w:val="1"/>
          <w:iCs w:val="1"/>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Additional Amounts</w:t>
      </w:r>
    </w:p>
    <w:p>
      <w:pPr>
        <w:spacing w:after="0" w:line="225"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 Amounts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payments in respect of the Notes (including payments by the Guarantor under the Guarantee) will be made without withholding or deduction for, or on account of, any present or future taxes, duties, assessments or governmental charges of whatever nature, imposed or levied by the Netherlands, the United States or any taxing authority thereof or therein, unless such withholding or deduction is required by law. If such withholding or deduction is required by law, the Issuer or (as the case may be) the Guarantor will pay to a Noteholder who is not a United States person (as defined below) such additional amounts (the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as are necessary in order that the net payment of the principal of, and premium, if any, and interest on, the Notes to such Noteholder, after such withholding or deduction, will not be less than the amount provided in the Notes to be then due and payable; provided, however, that the foregoing obligation to pay Additional Amounts shall not apply:</w:t>
      </w:r>
    </w:p>
    <w:p>
      <w:pPr>
        <w:spacing w:after="0" w:line="191" w:lineRule="exact"/>
        <w:rPr>
          <w:rFonts w:ascii="Times New Roman" w:cs="Times New Roman" w:eastAsia="Times New Roman" w:hAnsi="Times New Roman"/>
          <w:sz w:val="18"/>
          <w:szCs w:val="18"/>
          <w:b w:val="1"/>
          <w:bCs w:val="1"/>
          <w:i w:val="1"/>
          <w:iCs w:val="1"/>
          <w:color w:val="auto"/>
        </w:rPr>
      </w:pPr>
    </w:p>
    <w:p>
      <w:pPr>
        <w:jc w:val="both"/>
        <w:ind w:left="1960" w:hanging="656"/>
        <w:spacing w:after="0" w:line="26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Netherlands or the United States or having or having had a permanent establishment in the Netherlands or the United States or having or having had a qualified business unit which has the United States dollar as its functional currency;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left="1480" w:hanging="648"/>
        <w:spacing w:after="0" w:line="261" w:lineRule="auto"/>
        <w:tabs>
          <w:tab w:leader="none" w:pos="14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Netherlands or the United States (other than a connection arising solely as a result of the ownership of the Notes, the receipt of any payment or the enforcement of any rights thereunder) or being considered as having such relationship, including being or having been a citizen or resident of the Netherlands or the United States;</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foreign or domestic personal holding company, a passive foreign investment company, a foreign controlled foreign corporation or a controlled foreign corporation with respect to the United States, or a corporation that has accumulated earnings to avoid U.S. federal income tax;</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Guarantor or the Issuer,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or any successor provision; or</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bank described in section 881(c)(3)(A) of the Code;</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any Additional Amounts had the beneficiary, settlor, beneficial owner or member received directly its beneficial or distributive share of the payment;</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any other person to comply (in the case of any compliance relating to the Netherlands, following a reasonable written request for such compliance from the Issuer) with certification, identification or information reporting requirements concerning the nationality, residence, identity or connection with the Netherlands or the United States of the holder or beneficial owner of the Notes, if compliance is required by statute, by regulation of the Netherlands or the United States or any respective taxing authority therein or by an applicable income tax treaty to which the Netherlands or the United States is a party as a precondition to exemption from such tax, assessment or other governmental charge (including, with respect to the United States, submitting a properly completed IRS Form W-8BEN or W-8BEN-E (or other applicable documentation) to establish the so-called "portfolio interest exemption," if applicable);</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62" w:name="page63"/>
    <w:bookmarkEnd w:id="62"/>
    <w:p>
      <w:pPr>
        <w:ind w:left="840" w:hanging="656"/>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from the payment;</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89" w:lineRule="auto"/>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withholding or deduction that is imposed on a payment pursuant to Sections 1471 through 1474 of the Code and related Treasury regulations and pronouncements (the Foreign Account Tax Compliance Act, or "</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or any successor provisions and any regulations or official law, agreement or interpretations thereof implementing an intergovernmental approach thereto;</w:t>
      </w:r>
    </w:p>
    <w:p>
      <w:pPr>
        <w:spacing w:after="0" w:line="155" w:lineRule="exact"/>
        <w:rPr>
          <w:rFonts w:ascii="Times New Roman" w:cs="Times New Roman" w:eastAsia="Times New Roman" w:hAnsi="Times New Roman"/>
          <w:sz w:val="17"/>
          <w:szCs w:val="17"/>
          <w:color w:val="auto"/>
        </w:rPr>
      </w:pPr>
    </w:p>
    <w:p>
      <w:pPr>
        <w:ind w:left="840" w:hanging="656"/>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or withheld pursuant to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as amended; or</w:t>
      </w:r>
    </w:p>
    <w:p>
      <w:pPr>
        <w:spacing w:after="0" w:line="22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(2), (3), (4), (5), (6), (7), (8) and (9).</w:t>
      </w:r>
    </w:p>
    <w:p>
      <w:pPr>
        <w:spacing w:after="0" w:line="22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Condition 8, neither the Issuer nor the Guarantor will be required to make any payment for any tax, duty, assessment or governmental charge of whatever nature imposed by any government or a political subdivision or taxing authority of or in any government or political subdivision.</w:t>
      </w:r>
    </w:p>
    <w:p>
      <w:pPr>
        <w:spacing w:after="0" w:line="176"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color w:val="auto"/>
        </w:rPr>
        <w:t>As used in these Conditions, the term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(including the states and the District of Columbia and any political subdivision thereof), and the term "</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any individual who is a citizen or resident of the United States for U.S. federal income tax purposes, a corporation, partnership or other entity created or organized in or under the laws of the United States, including an entity treated as a corporation for United States income tax purposes, or any estate or trust the income of which is subject to U.S. federal income taxation regardless of its source.</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63" w:name="page64"/>
    <w:bookmarkEnd w:id="63"/>
    <w:p>
      <w:pPr>
        <w:ind w:left="1300" w:hanging="644"/>
        <w:spacing w:after="0"/>
        <w:tabs>
          <w:tab w:leader="none" w:pos="130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Alternative or Additional Taxing Jurisdictions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as a result of a consolidation, merger, sale, lease or conveyance permitted under Condition 4(1)(e) above or a substitution permitted under Condition 4(1)(f) above, the Issuer (or any successor or substitute person thereof) or the Guarantor (or any successor person thereof) becomes organized and existing under the laws of any taxing jurisdiction other than the Netherlands or the United States, respectively, references in this Condition 8 and Condition 7(2) above to:</w:t>
      </w:r>
    </w:p>
    <w:p>
      <w:pPr>
        <w:spacing w:after="0" w:line="179" w:lineRule="exact"/>
        <w:rPr>
          <w:rFonts w:ascii="Times New Roman" w:cs="Times New Roman" w:eastAsia="Times New Roman" w:hAnsi="Times New Roman"/>
          <w:sz w:val="18"/>
          <w:szCs w:val="18"/>
          <w:b w:val="1"/>
          <w:bCs w:val="1"/>
          <w:i w:val="1"/>
          <w:iCs w:val="1"/>
          <w:color w:val="auto"/>
        </w:rPr>
      </w:pPr>
    </w:p>
    <w:p>
      <w:pPr>
        <w:ind w:left="1960" w:hanging="656"/>
        <w:spacing w:after="0" w:line="282"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or substitute person of the Issuer, the Netherlands shall be construed as references to such other taxing jurisdiction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person of the Guarantor, the United States shall be construed as references to such other taxing jurisdiction;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such construction shall not apply to or affect any other Conditions, other than this Condition 8 and Condition 7(2) above.</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addition, if the Issuer or the Guarantor becomes subject to an additional taxing jurisdiction, references in this Condition 8 and Condition 7(2) above to the Netherlands or the United States (as the case may be) shall also be construed as references to such other taxing jurisdiction; provided, that, such construction shall not apply to or affect any other Conditions, other than this Condition 8 and Condition 7(2) above.</w:t>
      </w:r>
    </w:p>
    <w:p>
      <w:pPr>
        <w:spacing w:after="0" w:line="17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Prescription</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New York State's statute of limitations, any legal action upon the Notes must be commenced within six years after the payment thereof is due. Thereafter, Notes will become generally unenforceable.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of the following events:</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the Notes when the interest becomes due and payable, and continuance of the default for a period of 30 days;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Note when it becomes due and payable at its Stated Maturity or by acceleration, notice of redemption or otherwise;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the covenants in these Conditions or the Agency Agreement (including the Guarantee) (other than a covenant, a default in the performance of which, or a breach of which, is elsewhere in this Condition 10 specifically dealt with), and continuance of such default or breach for a period of 90 days after there has been given, by registered or certified mail, to the Issuer, the Guarantor and the Fiscal Agent by the holders of at least 25% in principal amount of the outstanding Notes, a written notice specifying such default or breach and requiring it to be remedied and stating that the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left="644" w:hanging="644"/>
        <w:spacing w:after="0" w:line="253"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evidence of recourse indebtedness of the Issuer or the Guarantor, or under any mortgage, indenture or other instrument of the Issuer or the Guarantor under which there may be issued or by which there may be secured any recourse indebtedness of the Issuer or the Guarantor (or of any Subsidiary, the repayment of which the Issuer or the Guarantor has guaranteed or for which the Issuer or the Guarantor is directly responsible or liable as obligor or guarantor), whether such indebtedness now exists or shall hereafter be created, which default shall constitute a failure to pay an aggregate principal amount exceeding U.S.$50,000,000 of such indebtedness when due and payable after the expiration of any applicable grace period with respect thereto and shall have resulted in such indebtedness in an aggregate principal amount exceeding U.S.$50,000,000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Issuer, the Guarantor and the Fiscal Agent by the holders of at least 25% in principal amount of the outstanding Notes a written notice specifying such default and requiring the Issuer or the Guarantor, as applicable, to cause such indebtedness to be discharged or cause such acceleration to be rescinded or annulled and stating that the notice is a "Notice of Default" hereunder;</w:t>
      </w:r>
    </w:p>
    <w:p>
      <w:pPr>
        <w:spacing w:after="0" w:line="18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Guarantor or any Significant Subsidiary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the Guarantor or any Significant Subsidiary in an involuntary case,</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Issuer, the Guarantor or any Significant Subsidiary or for all or substantially all of the property of the Issuer, the Guarantor or any Significant Subsidiary, or</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5" w:name="page66"/>
    <w:bookmarkEnd w:id="65"/>
    <w:p>
      <w:pPr>
        <w:ind w:left="1304" w:hanging="656"/>
        <w:spacing w:after="0" w:line="282" w:lineRule="auto"/>
        <w:tabs>
          <w:tab w:leader="none" w:pos="13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Issuer, the Guarantor or any Significant Subsidiary, and the order or decree remains unstayed and in effect for 90 days;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is not (or is claimed by the Guarantor not to be) in full force and effect.</w:t>
      </w:r>
    </w:p>
    <w:p>
      <w:pPr>
        <w:spacing w:after="0" w:line="22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If an Event of Default shall have occurred and is continuing, the Noteholders of not less than 25% of the principal amount of the outstanding Notes may declare the principal amount and premium or Make-Whole Amount, if any, and accrued interest on all the Notes to be due and payable immediately by written notice thereof to the Issuer, the Guarantor and to the Fiscal Agent; provided, that in the case of an Event of Default as described in subparagraphs (e) or (f) above, acceleration is automatic. The Fiscal Agent shall not be charged with knowledge of any default or Event of Default with respect to the Notes unless a written notice of such default or Event of Default shall have been given to an officer of the Fiscal Agent with direct responsibility for the administration of the Agency Agreement and the Notes at the office of the Fiscal Agent specified in the Agency Agreement, by the Issuer, the Guarantor or any Noteholder.</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these Conditions: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Issuer, Regulation (EU) No 2015/848 on insolvency proceedings, as amended or any other relevant law of any jurisdiction relating to bankruptcy, insolvency, liquidation, reorganization, moratorium, winding-up or composition or readjustment of debts for the relief of debtors;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Guarantor, title 11, U.S. Code or any similar federal or state law for the relief of debtors;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Significant Subsidiary, any of (a) or (b) or any other similar law as applicable.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other similar official under any Bankruptcy Law.</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which is a "significant subsidiary" (as defined in Article I, Rule 1-02 of Regulation S-X promulgated under the Securities Act) of the Guarantor.</w:t>
      </w:r>
    </w:p>
    <w:p>
      <w:pPr>
        <w:spacing w:after="0" w:line="15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but before a judgment or decree for payment of the money due has been obtained, the holders of a majority in principal amount of the outstanding Notes may, by written notice to the Issuer, the Guarantor and the Fiscal Agent, rescind and annul the declaration and its consequences if:</w:t>
      </w:r>
    </w:p>
    <w:p>
      <w:pPr>
        <w:spacing w:after="0" w:line="176" w:lineRule="exact"/>
        <w:rPr>
          <w:sz w:val="20"/>
          <w:szCs w:val="20"/>
          <w:color w:val="auto"/>
        </w:rPr>
      </w:pPr>
    </w:p>
    <w:p>
      <w:pPr>
        <w:ind w:left="644" w:hanging="644"/>
        <w:spacing w:after="0" w:line="282"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Guarantor has deposited with the Fiscal Agent all required payments of the principal of, and premium or Make-Whole Amount, if any, and interest on the Notes, plus any specified fees, expenses, disbursement and advances of the Fiscal Agent; and</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6" w:name="page67"/>
    <w:bookmarkEnd w:id="66"/>
    <w:p>
      <w:pPr>
        <w:jc w:val="both"/>
        <w:ind w:left="1292" w:hanging="644"/>
        <w:spacing w:after="0" w:line="266" w:lineRule="auto"/>
        <w:tabs>
          <w:tab w:leader="none" w:pos="12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Notes, other than the non-payment of principal of, or premium or Make-Whole Amount, if any, or interest on the Notes which has become due solely by the declaration of acceleration, have been cured or waived as provided in the Agency Agreement.</w:t>
      </w:r>
    </w:p>
    <w:p>
      <w:pPr>
        <w:spacing w:after="0" w:line="176"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Notes may waive any past default with respect to the Notes and its consequences, except a default:</w:t>
      </w:r>
    </w:p>
    <w:p>
      <w:pPr>
        <w:spacing w:after="0" w:line="162" w:lineRule="exact"/>
        <w:rPr>
          <w:sz w:val="20"/>
          <w:szCs w:val="20"/>
          <w:color w:val="auto"/>
        </w:rPr>
      </w:pPr>
    </w:p>
    <w:p>
      <w:pPr>
        <w:ind w:left="1292" w:hanging="644"/>
        <w:spacing w:after="0"/>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payable on any Note; or</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in these Conditions or the Agency Agreement that cannot be modified or amended without the passing of an Extraordinary Resolution (as defined in the Agency Agreement).</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Replacement of Certificates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Certificate be lost, stolen, mutilated, defaced or destroyed it may be replaced at the specified office of the Fiscal Agent, upon payment by the claimant of the expenses incurred in connection with the replacement and on such terms as to evidence and indemnity as the Issuer may reasonably require. Mutilated or defaced Certificates must be surrendered before replacements will be issued.</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color w:val="auto"/>
        </w:rPr>
      </w:pPr>
    </w:p>
    <w:p>
      <w:pPr>
        <w:jc w:val="both"/>
        <w:ind w:left="65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to the Noteholders will be valid if mailed to them at their respective addresses in the register of Noteholders maintained by the Registrar. The Issuer shall also ensure that notices are duly published in a manner which complies with the rules and procedures of Euroclear and/or Clearstream, Luxembourg, as applicable, and of any stock exchange on which the Notes are for the time being listed. Any notice shall be deemed to have been given on the second day after being so mailed or on the date of publication or, if so published more than once or on different dates, on the date of the first publication.</w:t>
      </w:r>
    </w:p>
    <w:p>
      <w:pPr>
        <w:spacing w:after="0" w:line="181" w:lineRule="exact"/>
        <w:rPr>
          <w:rFonts w:ascii="Times New Roman" w:cs="Times New Roman" w:eastAsia="Times New Roman" w:hAnsi="Times New Roman"/>
          <w:sz w:val="18"/>
          <w:szCs w:val="18"/>
          <w:color w:val="auto"/>
        </w:rPr>
      </w:pPr>
    </w:p>
    <w:p>
      <w:pPr>
        <w:jc w:val="both"/>
        <w:ind w:left="652"/>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so long as the Global Certificates are held on behalf of Euroclear or Clearstream, any notice to Noteholders shall be validly given by the delivery of the relevant notice to Euroclear or Clearstream, Luxembourg. Any such notice shall be deemed to have been given on the date of publication or, if so published on more than one or on different dates, on the date of the first publication.</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Meetings of Noteholders and Modification</w:t>
      </w:r>
    </w:p>
    <w:p>
      <w:pPr>
        <w:spacing w:after="0" w:line="225" w:lineRule="exact"/>
        <w:rPr>
          <w:sz w:val="20"/>
          <w:szCs w:val="20"/>
          <w:color w:val="auto"/>
        </w:rPr>
      </w:pPr>
    </w:p>
    <w:p>
      <w:pPr>
        <w:ind w:left="1292" w:hanging="644"/>
        <w:spacing w:after="0"/>
        <w:tabs>
          <w:tab w:leader="none" w:pos="1292"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Provisions for Meeting</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Agency Agreement contains provisions for convening meetings of the Noteholders (including by way of teleconference or videoconference call) to consider any matter affecting their interests, including the modification by Extraordinary Resolution of these Conditions or the provisions of the Agency Agreement. The quorum at any meeting for passing an Extraordinary Resolution will be one or more persons present holding or representing in aggregate more than 50% in principal amount of the Notes for the time being outstanding, or at any adjourned meeting one or more persons present whatever the principal amount of the Notes held or represented by him or them, except that at any meeting the business of which includes any of the following matters (each of which shall only be capable of being affected after having been approved by Extraordinary Resolution):</w:t>
      </w:r>
    </w:p>
    <w:p>
      <w:pPr>
        <w:spacing w:after="0" w:line="188" w:lineRule="exact"/>
        <w:rPr>
          <w:rFonts w:ascii="Times New Roman" w:cs="Times New Roman" w:eastAsia="Times New Roman" w:hAnsi="Times New Roman"/>
          <w:sz w:val="18"/>
          <w:szCs w:val="18"/>
          <w:b w:val="1"/>
          <w:bCs w:val="1"/>
          <w:i w:val="1"/>
          <w:iCs w:val="1"/>
          <w:color w:val="auto"/>
        </w:rPr>
      </w:pPr>
    </w:p>
    <w:p>
      <w:pPr>
        <w:ind w:left="1952" w:hanging="656"/>
        <w:spacing w:after="0" w:line="282" w:lineRule="auto"/>
        <w:tabs>
          <w:tab w:leader="none" w:pos="195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Stated Maturity of the principal of, or premium or Make-Whole Amount, if any, on, or any installment of interest on, any Note;</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67" w:name="page68"/>
    <w:bookmarkEnd w:id="67"/>
    <w:p>
      <w:pPr>
        <w:jc w:val="both"/>
        <w:ind w:left="1304" w:hanging="656"/>
        <w:spacing w:after="0" w:line="266" w:lineRule="auto"/>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principal amount of, or the rate or amount of interest on, or any premium payable on redemption or acceleration of the Note that would be due and payable upon acceleration of maturity or that would be provable in bankruptcy, or adversely affect any right of repayment at the option of the Noteholder;</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place of payment or the coin or currency for payment of principal or premium, if any, or interest on any Note;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the right to institute suit for the enforcement of any payment on or after the Stated Maturity of any Note;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majority required to pass an Extraordinary Resolution; or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of any of the foregoing provisions or any of the provisions relating to the waiver of specified past defaults or specified covenants, except to increase the required majority to pass an Extraordinary Resolution to effect the action or to provide that specified other provisions of these Conditions or the Agency Agreement may not be modified or waived without the passing of an Extraordinary Resolution,</w:t>
      </w:r>
    </w:p>
    <w:p>
      <w:pPr>
        <w:spacing w:after="0" w:line="180"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the necessary quorum for passing an Extraordinary Resolution will be one or more persons present holding or representing in aggregate not less than three-quarters, or at any adjourned meeting not less than one quarter, of the principal amount of the Notes for the time being outstanding. An Extraordinary Resolution passed at any meeting of the Noteholders will be binding on all Noteholders, whether or not they are present at the meeting.</w:t>
      </w:r>
    </w:p>
    <w:p>
      <w:pPr>
        <w:spacing w:after="0" w:line="176" w:lineRule="exact"/>
        <w:rPr>
          <w:sz w:val="20"/>
          <w:szCs w:val="20"/>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Modification</w:t>
      </w:r>
    </w:p>
    <w:p>
      <w:pPr>
        <w:spacing w:after="0" w:line="229" w:lineRule="exact"/>
        <w:rPr>
          <w:rFonts w:ascii="Times New Roman" w:cs="Times New Roman" w:eastAsia="Times New Roman" w:hAnsi="Times New Roman"/>
          <w:sz w:val="18"/>
          <w:szCs w:val="18"/>
          <w:b w:val="1"/>
          <w:bCs w:val="1"/>
          <w:i w:val="1"/>
          <w:iCs w:val="1"/>
          <w:color w:val="auto"/>
        </w:rPr>
      </w:pPr>
    </w:p>
    <w:p>
      <w:pPr>
        <w:ind w:left="644"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Modifications and amendments of these Conditions and the Agency Agreement may be permitted to be made by the Issuer, the Guarantor and the Fiscal Agent without the consent of the Noteholders for any of the following purposes:</w:t>
      </w:r>
    </w:p>
    <w:p>
      <w:pPr>
        <w:spacing w:after="0" w:line="161" w:lineRule="exact"/>
        <w:rPr>
          <w:rFonts w:ascii="Times New Roman" w:cs="Times New Roman" w:eastAsia="Times New Roman" w:hAnsi="Times New Roman"/>
          <w:sz w:val="18"/>
          <w:szCs w:val="18"/>
          <w:b w:val="1"/>
          <w:bCs w:val="1"/>
          <w:i w:val="1"/>
          <w:iCs w:val="1"/>
          <w:color w:val="auto"/>
        </w:rPr>
      </w:pPr>
    </w:p>
    <w:p>
      <w:pPr>
        <w:ind w:left="1304" w:hanging="656"/>
        <w:spacing w:after="0" w:line="282" w:lineRule="auto"/>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in addition to the Issuer and the Guarantor as obligor under the Notes and the Agency Agreement (including the Guarantee);</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for the benefit of the Noteholders or to surrender any right or power conferred upon the Issuer or the Guarantor in these Conditions or the Agency Agreement;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8" w:name="page69"/>
    <w:bookmarkEnd w:id="68"/>
    <w:p>
      <w:pPr>
        <w:ind w:left="1960" w:hanging="656"/>
        <w:spacing w:after="0"/>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Noteholders;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Guarantee;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under the Agency Agreement by a successor Fiscal Agent;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these Conditions or the Agency Agreement, provided that the action is not inconsistent with the provisions of these Conditions and the Agency Agreement and will not adversely affect the interests of Noteholders in any material respect;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these Conditions or the Agency Agreement to the extent necessary to permit or facilitate defeasance and discharge of the Notes, provided that the action will not adversely affect the interests of the Noteholders in any material respect.</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Any modification shall be binding on the Noteholders and, unless otherwise agreed by the Fiscal Agent (which agreement shall not be unreasonably withheld, conditioned or delayed), any modification shall be notified by the Issuer to the Noteholders as soon as practicable thereafter in accordance with Condition 12 above.</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signing any modification, the Fiscal Agent shall be entitled to receive from the Issuer or the Guarantor, as applicable, and shall be fully protected in relying upon, a certificate of an authorized officer of the Issuer or the Guarantor (or its general partner), as applicable, and a written opinion of counsel to the effect that (and serving as conclusive evidence that) such modification is authorized or permitted by the Agency Agreement and that it will be valid and binding upon the Issuer and the Guarantor in accordance with its terms.</w:t>
      </w:r>
    </w:p>
    <w:p>
      <w:pPr>
        <w:spacing w:after="0" w:line="176"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Issues</w:t>
      </w:r>
    </w:p>
    <w:p>
      <w:pPr>
        <w:spacing w:after="0" w:line="229"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from time to time without the consent of the Noteholders create and issue further notes, having terms and conditions the same as those of the Notes, or the same except for any difference in the issue price, issue date and the amount and timing of the first payment of interest, which may be consolidated and form a single series with the outstanding Notes.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in Euro</w:t>
      </w:r>
    </w:p>
    <w:p>
      <w:pPr>
        <w:spacing w:after="0" w:line="229"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of, and the Make-Whole Amount, if any, and interest on, the Notes shall be payable in euro. If euro is unavailable to the Issuer or the Guarantor due to the imposition of exchange controls or other circumstances beyond the Issuer's or the Guarantor's control or the euro is no longer used by the member states of the European Monetary Union that have adopted the euro as their currency or for the settlement of transactions by public institutions within the international banking community, then all payments in respect of the Notes will be made in U.S. dollars until euro is again available to the Issuer or the Guarantor or so used. The amount payable on any date in euro will be converted to U.S. dollars on the basis of the Market Exchange Rate (as defined below) on the second Business Day before that payment is due, or if such Market Exchange Rate is not then available, on the basis of the most recently available Market Exchange Rate on or before the date that payment is due. Any payment in respect of the Notes so made in U.S. dollars will not constitute an Event of Default under Condition 10 above. None of the Agents shall be responsible for obtaining exchange rates, effecting conversions or otherwise handling redenominations. The Issuer shall promptly provide notice to the Noteholders concerning the conversion of payments in respect of the Notes from euros to U.S. dollars and, if and when applicable, notice concerning the intention to resume payments in euros, in each case in accordance with this Condition 15.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55" w:lineRule="exact"/>
        <w:rPr>
          <w:sz w:val="20"/>
          <w:szCs w:val="20"/>
          <w:color w:val="auto"/>
        </w:rPr>
      </w:pPr>
    </w:p>
    <w:p>
      <w:pPr>
        <w:ind w:left="652" w:hanging="652"/>
        <w:spacing w:after="0"/>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rFonts w:ascii="Times New Roman" w:cs="Times New Roman" w:eastAsia="Times New Roman" w:hAnsi="Times New Roman"/>
          <w:sz w:val="18"/>
          <w:szCs w:val="18"/>
          <w:b w:val="1"/>
          <w:bCs w:val="1"/>
          <w:i w:val="1"/>
          <w:iCs w:val="1"/>
          <w:color w:val="auto"/>
        </w:rPr>
      </w:pPr>
    </w:p>
    <w:p>
      <w:pPr>
        <w:ind w:left="129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Agency Agreement and the Notes are governed by, and will be construed in accordance with, the laws of the State of New York.</w:t>
      </w:r>
    </w:p>
    <w:p>
      <w:pPr>
        <w:spacing w:after="0" w:line="221" w:lineRule="exact"/>
        <w:rPr>
          <w:rFonts w:ascii="Times New Roman" w:cs="Times New Roman" w:eastAsia="Times New Roman" w:hAnsi="Times New Roman"/>
          <w:sz w:val="18"/>
          <w:szCs w:val="18"/>
          <w:b w:val="1"/>
          <w:bCs w:val="1"/>
          <w:i w:val="1"/>
          <w:iCs w:val="1"/>
          <w:color w:val="auto"/>
        </w:rPr>
      </w:pPr>
    </w:p>
    <w:p>
      <w:pPr>
        <w:ind w:left="1292" w:hanging="644"/>
        <w:spacing w:after="0"/>
        <w:tabs>
          <w:tab w:leader="none" w:pos="1292" w:val="left"/>
        </w:tabs>
        <w:numPr>
          <w:ilvl w:val="1"/>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Jurisdiction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state or federal courts sitting in the Borough of Manhattan, the City of New York shall have nonexclusive jurisdiction to adjudicate any disputes which may arise out of or in connection with the Notes or the Agency Agreement and accordingly any legal action or proceedings arising out of or in connection with the Notes or the Agency Agreement ("</w:t>
      </w: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may be brought in such courts. The Issuer, the Guarantor and the Agents have in the Agency Agreement irrevocably submitted to the non-exclusive jurisdiction of such courts and waived any objection which they may now or hereafter have to Proceedings in any such courts whether on the ground of the laying of venue or on the ground that the Proceedings have been brought in an inconvenient form.</w:t>
      </w:r>
    </w:p>
    <w:p>
      <w:pPr>
        <w:spacing w:after="0" w:line="183" w:lineRule="exact"/>
        <w:rPr>
          <w:rFonts w:ascii="Times New Roman" w:cs="Times New Roman" w:eastAsia="Times New Roman" w:hAnsi="Times New Roman"/>
          <w:sz w:val="18"/>
          <w:szCs w:val="18"/>
          <w:b w:val="1"/>
          <w:bCs w:val="1"/>
          <w:i w:val="1"/>
          <w:iCs w:val="1"/>
          <w:color w:val="auto"/>
        </w:rPr>
      </w:pPr>
    </w:p>
    <w:p>
      <w:pPr>
        <w:ind w:left="1292" w:hanging="644"/>
        <w:spacing w:after="0"/>
        <w:tabs>
          <w:tab w:leader="none" w:pos="1292" w:val="left"/>
        </w:tabs>
        <w:numPr>
          <w:ilvl w:val="1"/>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Waiver of Jury Trial</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292"/>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Issuer, the Guarantor, the Agents and each Noteholder by its acceptance of a Note has in the Agency Agreement waived, to the fullest extent permitted by applicable law, any right it may have to a trial by jury in any legal proceeding directly or indirectly arising out of or relating to the Agency Agreement or any Note (whether based on contract, tort or any other theory). Each of the Issuer, the Guarantor, the Agents and the Noteholder (a) certifies that no representative, agent or attorney of any other party has represented, expressly or otherwise, that such other party would not, in the event of Proceedings, seek to enforce the foregoing waiver and</w:t>
      </w:r>
    </w:p>
    <w:p>
      <w:pPr>
        <w:spacing w:after="0" w:line="3" w:lineRule="exact"/>
        <w:rPr>
          <w:rFonts w:ascii="Times New Roman" w:cs="Times New Roman" w:eastAsia="Times New Roman" w:hAnsi="Times New Roman"/>
          <w:sz w:val="18"/>
          <w:szCs w:val="18"/>
          <w:b w:val="1"/>
          <w:bCs w:val="1"/>
          <w:i w:val="1"/>
          <w:iCs w:val="1"/>
          <w:color w:val="auto"/>
        </w:rPr>
      </w:pPr>
    </w:p>
    <w:p>
      <w:pPr>
        <w:ind w:left="1292"/>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 acknowledges that it and the other parties to the Agency Agreement have been induced to enter in the Agency Agreement by, among other things, the mutual waivers and certifications in this section.</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70" w:name="page71"/>
    <w:bookmarkEnd w:id="70"/>
    <w:p>
      <w:pPr>
        <w:ind w:left="644" w:hanging="644"/>
        <w:spacing w:after="0"/>
        <w:tabs>
          <w:tab w:leader="none" w:pos="644"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Waiver of Immunity</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44"/>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the extent that either the Issuer or the Guarantor has or hereafter may acquire any immunity from jurisdiction of any court or from any legal process with respect to itself or its property, each has in the Agency Agreement irrevocably waived such immunity in respect of its obligations under the Agency Agreement or under any Note.</w:t>
      </w:r>
    </w:p>
    <w:p>
      <w:pPr>
        <w:spacing w:after="0" w:line="171" w:lineRule="exact"/>
        <w:rPr>
          <w:rFonts w:ascii="Times New Roman" w:cs="Times New Roman" w:eastAsia="Times New Roman" w:hAnsi="Times New Roman"/>
          <w:sz w:val="18"/>
          <w:szCs w:val="18"/>
          <w:b w:val="1"/>
          <w:bCs w:val="1"/>
          <w:i w:val="1"/>
          <w:iCs w:val="1"/>
          <w:color w:val="auto"/>
        </w:rPr>
      </w:pPr>
    </w:p>
    <w:p>
      <w:pPr>
        <w:ind w:left="644" w:hanging="644"/>
        <w:spacing w:after="0"/>
        <w:tabs>
          <w:tab w:leader="none" w:pos="644"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Service of Process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44"/>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Issuer has agreed in the Agency Agreement that the process by which any Proceedings in New York City are begun may be served on it by being delivered to Simon Property Group, Inc., at 225 West Washington Street, Indianapolis, Indiana 46204, United States of America. If the appointment of the person appointed to receive process on behalf of the Issuer ceases to be effective, the Issuer shall forthwith appoint a further person in the State of New York to accept service of process on its behalf and notify the name and address of such person to the Fiscal Agent and, failing such appointment within 15 days, the Fiscal Agent shall be entitled to appoint such a person by written notice addressed and delivered to the Issuer.</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FOR MEETINGS OF NOTEHOLDERS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Schedule the following expressions shall have the following meanings unless the context otherwise requires: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Voting Instruction</w:t>
      </w:r>
      <w:r>
        <w:rPr>
          <w:rFonts w:ascii="Times New Roman" w:cs="Times New Roman" w:eastAsia="Times New Roman" w:hAnsi="Times New Roman"/>
          <w:sz w:val="18"/>
          <w:szCs w:val="18"/>
          <w:color w:val="auto"/>
        </w:rPr>
        <w:t>" means, in relation to any meeting, an English language document issued by the Fiscal Agent in which:</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certified that on the date thereof Notes represented by the Global Certificate or Certificates which are held in an account with any Clearing System (in each case not being Notes in respect of which a Voting Certificate has been issued and is outstanding in respect of the meeting specified in such Block Voting Instruction) are blocked in an account with a Clearing System and that no such Notes will cease to be so blocked until the first to occur of:</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meeting specified in such Block Voting Instruction;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ceasing with the agreement of the Fiscal Agent to be so blocked and the giving of notice by the Fiscal Agent to the Issuer in accordance with paragraph 3(E) of the necessary amendment to the Block Voting Instruction;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certified that each holder of such Notes has instructed the Fiscal Agent that the vote(s) attributable to the Notes so blocked should be cast in a particular way in relation to the resolution(s) to be put to such meeting and that all such instructions are, during the period commencing 48 Hours prior to the time for which such meeting is convened and ending at the conclusion or adjournment thereof, neither revocable nor capable of amendment;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so deposited or held or blocked is listed distinguishing with regard to each such resolution between those in respect of which instructions have been given that the votes attributable thereto should be cast in favour of the resolution and those in respect of which instructions have been so given that the votes attributable thereto should be cast against the resolution;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persons named in such Block Voting Instruction (each hereinafter called a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is or are authorized and instructed by the Fiscal Agent to cast the votes attributable to the Notes so listed in accordance with the instructions referred to in (c) above as set out in such Block Voting Instruction;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means, for the purpose of this Schedule 3, a Note in definitive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 means, in relation to any meeting, the individual who takes the chair in accordance with paragraph 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System</w:t>
      </w:r>
      <w:r>
        <w:rPr>
          <w:rFonts w:ascii="Times New Roman" w:cs="Times New Roman" w:eastAsia="Times New Roman" w:hAnsi="Times New Roman"/>
          <w:sz w:val="18"/>
          <w:szCs w:val="18"/>
          <w:color w:val="auto"/>
        </w:rPr>
        <w:t>" means Euroclear and/or Clearstream, Luxembourg and includes in respect of any Note, any clearing system on behalf of which such Note is held or which is the holder or (directly or through a nominee) registered owner of a Note, in either case whether alone or jointly with any other Clearing System(s);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anyone of the following persons who shall be entitled to attend and vote at a meeting:</w:t>
      </w:r>
    </w:p>
    <w:p>
      <w:pPr>
        <w:spacing w:after="0" w:line="229" w:lineRule="exact"/>
        <w:rPr>
          <w:sz w:val="20"/>
          <w:szCs w:val="20"/>
          <w:color w:val="auto"/>
        </w:rPr>
      </w:pPr>
    </w:p>
    <w:p>
      <w:pPr>
        <w:ind w:left="644" w:hanging="644"/>
        <w:spacing w:after="0"/>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Certificate which is not held in an account with any Clearing System;</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bearer of any Voting Certificate;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specified in any Block Voting Instruction; and</w:t>
      </w:r>
    </w:p>
    <w:p>
      <w:pPr>
        <w:spacing w:after="0" w:line="225" w:lineRule="exact"/>
        <w:rPr>
          <w:rFonts w:ascii="Times New Roman" w:cs="Times New Roman" w:eastAsia="Times New Roman" w:hAnsi="Times New Roman"/>
          <w:sz w:val="18"/>
          <w:szCs w:val="18"/>
          <w:color w:val="auto"/>
        </w:rPr>
      </w:pPr>
    </w:p>
    <w:p>
      <w:pPr>
        <w:ind w:left="4" w:right="2420" w:hanging="4"/>
        <w:spacing w:after="0" w:line="500" w:lineRule="auto"/>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appointed by a holder of a Certificate which is not held in an account with any Clearing System; "</w:t>
      </w:r>
      <w:r>
        <w:rPr>
          <w:rFonts w:ascii="Times New Roman" w:cs="Times New Roman" w:eastAsia="Times New Roman" w:hAnsi="Times New Roman"/>
          <w:sz w:val="18"/>
          <w:szCs w:val="18"/>
          <w:b w:val="1"/>
          <w:bCs w:val="1"/>
          <w:color w:val="auto"/>
        </w:rPr>
        <w:t>Extraordinary Resolution</w:t>
      </w:r>
      <w:r>
        <w:rPr>
          <w:rFonts w:ascii="Times New Roman" w:cs="Times New Roman" w:eastAsia="Times New Roman" w:hAnsi="Times New Roman"/>
          <w:sz w:val="18"/>
          <w:szCs w:val="18"/>
          <w:color w:val="auto"/>
        </w:rPr>
        <w:t>" means:</w:t>
      </w:r>
    </w:p>
    <w:p>
      <w:pPr>
        <w:spacing w:after="0" w:line="2" w:lineRule="exact"/>
        <w:rPr>
          <w:sz w:val="20"/>
          <w:szCs w:val="20"/>
          <w:color w:val="auto"/>
        </w:rPr>
      </w:pPr>
    </w:p>
    <w:p>
      <w:pPr>
        <w:jc w:val="both"/>
        <w:ind w:left="644" w:hanging="644"/>
        <w:spacing w:after="0" w:line="26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passed at a meeting duly convened and held in accordance with these presents by a majority consisting of not less than three-fourths of the Eligible Persons voting thereat upon a show of hands or, if a poll is duly demanded, by a majority consisting of not less than three-fourths of the votes cast on such poll;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or on behalf of the holders of not less than three-fourths in principal amount of the Notes which resolution may be contained in one document or in several documents in like form each signed by or on behalf of one or more of the holders;</w:t>
      </w:r>
    </w:p>
    <w:p>
      <w:pPr>
        <w:spacing w:after="0" w:line="17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Identified Person</w:t>
      </w:r>
      <w:r>
        <w:rPr>
          <w:rFonts w:ascii="Times New Roman" w:cs="Times New Roman" w:eastAsia="Times New Roman" w:hAnsi="Times New Roman"/>
          <w:sz w:val="18"/>
          <w:szCs w:val="18"/>
          <w:color w:val="auto"/>
        </w:rPr>
        <w:t>" means, in relation to paragraph 3(A) of this Schedule 3, a person named to collect the Voting Certificate and attend and vote at the meeting;</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passed at a meeting duly convened and held in accordance with these presents by a clear majority of the Eligible Persons voting thereat on a show of hands or, if a poll is duly demanded, by a simple majority of the votes cast on such poll;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or on behalf of the holders of not less than a clear majority in principal amount of the Notes, which resolution may be contained in one document or in several documents in like form each signed by or on behalf of one or more of the holders;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Certificate</w:t>
      </w:r>
      <w:r>
        <w:rPr>
          <w:rFonts w:ascii="Times New Roman" w:cs="Times New Roman" w:eastAsia="Times New Roman" w:hAnsi="Times New Roman"/>
          <w:sz w:val="18"/>
          <w:szCs w:val="18"/>
          <w:color w:val="auto"/>
        </w:rPr>
        <w:t>" means, in relation to a meeting, an English language certificate issued by the Fiscal Agent in which it is stated:</w:t>
      </w:r>
    </w:p>
    <w:p>
      <w:pPr>
        <w:spacing w:after="0" w:line="229" w:lineRule="exact"/>
        <w:rPr>
          <w:sz w:val="20"/>
          <w:szCs w:val="20"/>
          <w:color w:val="auto"/>
        </w:rPr>
      </w:pPr>
    </w:p>
    <w:p>
      <w:pPr>
        <w:jc w:val="both"/>
        <w:ind w:left="644" w:hanging="644"/>
        <w:spacing w:after="0" w:line="261" w:lineRule="auto"/>
        <w:tabs>
          <w:tab w:leader="none" w:pos="6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date thereof Notes represented by the Global Certificate or Certificates which are held in an account with any Clearing System (in each case not being Notes in respect of which a Block Voting Instruction has been issued and is outstanding in respect of the meeting specified in such Voting Certificate) are blocked in an account with a Clearing System and that no such Notes will cease to be so blocked until the first to occur of:</w:t>
      </w:r>
    </w:p>
    <w:p>
      <w:pPr>
        <w:spacing w:after="0" w:line="17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meeting specified in such Voting Certificate; and</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73" w:name="page74"/>
    <w:bookmarkEnd w:id="73"/>
    <w:p>
      <w:pPr>
        <w:ind w:left="1960" w:hanging="656"/>
        <w:spacing w:after="0"/>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of the Voting Certificate to the Fiscal Agent who issued the same;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bearer thereof is entitled to attend and vote at such meeting in respect of the Notes represented by such Voting Certificate;</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 Hours</w:t>
      </w:r>
      <w:r>
        <w:rPr>
          <w:rFonts w:ascii="Times New Roman" w:cs="Times New Roman" w:eastAsia="Times New Roman" w:hAnsi="Times New Roman"/>
          <w:sz w:val="18"/>
          <w:szCs w:val="18"/>
          <w:color w:val="auto"/>
        </w:rPr>
        <w:t>" means a period of 24 hours including all or part of a day upon which banks are open for business in both the place where the relevant meeting is to be held and in the place where the Fiscal Agent has its specified office (disregarding for this purpose the day upon which such meeting is to be held) and such period shall be extended by one period or, to the extent necessary, more periods of 24 hours until there is included as aforesaid all or part of a day upon which banks are open for business in all of the places as aforesaid; and</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48 Hours</w:t>
      </w:r>
      <w:r>
        <w:rPr>
          <w:rFonts w:ascii="Times New Roman" w:cs="Times New Roman" w:eastAsia="Times New Roman" w:hAnsi="Times New Roman"/>
          <w:sz w:val="18"/>
          <w:szCs w:val="18"/>
          <w:color w:val="auto"/>
        </w:rPr>
        <w:t>" means a period of 48 hours including all or part of two days upon which banks are open for business both in the place where the relevant meeting is to be held and in the place where the Fiscal Agent has its specified office (disregarding for this purpose the day upon which such meeting is to be held) and such period shall be extended by one period or, to the extent necessary, more periods of 24 hours until there is included as aforesaid all or part of two days upon which banks are open for business in all of the places as aforesaid.</w:t>
      </w:r>
    </w:p>
    <w:p>
      <w:pPr>
        <w:spacing w:after="0" w:line="176"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For the purposes of calculating a period of "</w:t>
      </w: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meeting, no account shall be taken of the day on which the notice of such meeting is given (or, in the case of an adjourned meeting, the day on which the meeting to be adjourned is held) or the day on which such meeting is held.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references in this Schedule to a "meeting" shall, where the context so permits, include any relevant adjourned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ENTITLEMENT TO ATTEND AND VOTE</w:t>
      </w:r>
    </w:p>
    <w:p>
      <w:pPr>
        <w:spacing w:after="0" w:line="229" w:lineRule="exact"/>
        <w:rPr>
          <w:sz w:val="20"/>
          <w:szCs w:val="20"/>
          <w:color w:val="auto"/>
        </w:rPr>
      </w:pPr>
    </w:p>
    <w:p>
      <w:pPr>
        <w:ind w:left="6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Note represented by the Global Certificate or a Certificate which is held in an account with any Clearing System may require the issue by the Fiscal Agent of Voting Certificates and Block Voting Instructions in accordance with the terms of paragraph 3.</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3, the Registrar, Fiscal Agent shall be entitled to rely, without further enquiry, on any information or instructions received from a Clearing System and shall have no liability to any holder or other person for any loss, damage, cost, claim or other liability occasioned by its acting in reliance thereon, nor for any failure by a Clearing System to deliver information or instructions to the Registrar or the Fiscal Agent.</w:t>
      </w:r>
    </w:p>
    <w:p>
      <w:pPr>
        <w:spacing w:after="0" w:line="17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Voting Certificate or the proxies named in any Block Voting Instruction shall for all purposes in connection with the relevant meeting be deemed to be the holder of the Notes to which such Voting Certificate or Block Voting Instruction relates.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PROCEDURE FOR ISSUE OF VOTING CERTIFICATES, BLOCK VOTING INSTRUCTIONS AND PROXIES</w:t>
      </w:r>
    </w:p>
    <w:p>
      <w:pPr>
        <w:spacing w:after="0" w:line="22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Global Certificate and Certificates held in a Clearing System - Voting Certificate</w:t>
      </w:r>
    </w:p>
    <w:p>
      <w:pPr>
        <w:spacing w:after="0" w:line="22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A holder of a Note (not being a Note in respect of which instructions have been given to the Fiscal Agent in accordance with paragraph 3(B)) represented by the Global Certificate or which is in definitive form and is held in an account with any Clearing System may procure the delivery of a Voting Certificate in respect of such Note by giving notice to the Clearing System through which such holder's interest in the Note is held specifying an Identified Person (which need not be the holder himself). The relevant Voting Certificate will be made available at or shortly prior to the commencement of the meeting by the Fiscal Agent against presentation by such Identified Person of the form of identification previously notified by such holder to the Clearing System. The Clearing System may prescribe forms of identification (including, without limitation, a passport or driving licence) which it deems appropriate for these purposes. Subject to receipt by the Fiscal Agent from the Clearing System, no later than 24 Hours prior to the time for which such meeting is convened, of notification of the principal amount of the Notes to be represented by any such Voting Certificate and the form of identification against presentation of which such Voting Certificate should be released, the Fiscal Agent shall, without any obligation to make further enquiry, make available Voting Certificates against presentation of the form of identification corresponding to that notified.</w:t>
      </w:r>
    </w:p>
    <w:p>
      <w:pPr>
        <w:spacing w:after="0" w:line="190"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Certificate and Certificates held in a Clearing System - Block Voting Instruction</w:t>
      </w:r>
    </w:p>
    <w:p>
      <w:pPr>
        <w:spacing w:after="0" w:line="227"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Note (not being a Note in respect of which a Voting Certificate has been issued) represented by the Global Certificate or which is in definitive form and is held in an account with any Clearing System may require the Fiscal Agent to issue a Block Voting Instruction in respect of such Note by first instructing the Clearing System through which such holder's interest in the Note is held to procure that the votes attributable to such Note should be cast at the meeting in a particular way in relation to the resolution or resolutions to be put to the meeting. Any such instruction shall be given in accordance with the rules of the Clearing System then in effect. Subject to receipt by the Fiscal Agent of instructions from the Clearing System, no later than 24 Hours prior to the time for which such meeting is convened, of notification of the principal amount of the Notes in respect of which instructions have been given and the manner in which the votes attributable to such Notes should be cast, the Fiscal Agent shall, without any obligation to make further enquiry, appoint a proxy to attend the meeting and cast votes in accordance with such instructions.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Certificates not held in a Clearing System - appointment of proxy</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Notes in definitive form and not held in an account with any Clearing System may, by an instrument in writing in the English language (a "</w:t>
      </w:r>
      <w:r>
        <w:rPr>
          <w:rFonts w:ascii="Times New Roman" w:cs="Times New Roman" w:eastAsia="Times New Roman" w:hAnsi="Times New Roman"/>
          <w:sz w:val="18"/>
          <w:szCs w:val="18"/>
          <w:b w:val="1"/>
          <w:bCs w:val="1"/>
          <w:color w:val="auto"/>
        </w:rPr>
        <w:t>form of proxy</w:t>
      </w:r>
      <w:r>
        <w:rPr>
          <w:rFonts w:ascii="Times New Roman" w:cs="Times New Roman" w:eastAsia="Times New Roman" w:hAnsi="Times New Roman"/>
          <w:sz w:val="18"/>
          <w:szCs w:val="18"/>
          <w:color w:val="auto"/>
        </w:rPr>
        <w:t>") signed by the holder or, in the case of a corporation, executed under its common seal or signed on its behalf by an attorney or a duly authorized officer of the corporation and delivered to the specified office of the Registrar or the Transfer Agent not less than 48 Hours before the time fixed for the relevant meeting, appoint any person (a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to act on his or its behalf in connection with any meeting.</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appointed pursuant to subparagraph (i) above shall so long as such appointment remains in force be deemed, for all purposes in connection with the relevant meeting, to be the holder of the Notes to which such appointment relates and the holders of the Notes shall be deemed for such purposes not to be the holder.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Block Voting Instruction, and each form of proxy shall be deposited by the Fiscal Agent or (as the case may be) by the Registrar or the Transfer Agent at such place as the Fiscal Agent shall approve not less than 24 Hours before the time appointed for holding the meeting at which the proxy or proxies named in the Block Voting Instruction or form of proxy proposes to vote, and in default the Block Voting Instruction or form of proxy shall not be treated as valid unless the Chairman of the meeting decides otherwise before such meeting proceeds to business. A notarially certified copy of each Block Voting Instruction and form of proxy shall (if so requested by the Issuer) be deposited with the Issuer before the commencement of the meeting but the Issuer shall not thereby be obliged to investigate or be concerned with the validity of or the authority of the proxy or proxies named in any such Block Voting Instruction or form of proxy.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given in accordance with the terms of a Block Voting Instruction or form of proxy shall be valid notwithstanding the previous revocation or amendment of the Block Voting Instruction or form of proxy or of any of the instructions of the relevant holder or the relevant Clearing System (as the case may be) pursuant to which it was executed provided that no intimation in writing of such revocation or amendment has been received from the Fiscal Agent (in the case of a Block Voting Instruction) or from the holder thereof (in the case of a proxy appointed pursuant to paragraph 3(C)) by the Issuer at its registered office (or such other place as may have been required or approved by the Fiscal Agent for the purpose) by the time being 24 Hours (in the case of a Block Voting Instruction) or 48 Hours (in the case of proxy) before the time appointed for holding the meeting at which the Block Voting Instruction or form of proxy is to be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CONVENING OF MEETINGS, QUORUM AND ADJOURNED MEETINGS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at any time, and the Issuer shall upon a requisition in writing in the English language signed by the holders of not less than ten per cent. in principal amount of the Notes for the time being outstanding, convene a meeting and if the Issuer makes default for a period of seven days in convening such a meeting (including by teleconference or video call) the same may be convened by the relevant Noteholders. Whenever the Issuer is about to convene any such meeting the Issuer shall forthwith give notice in writing to the Fiscal Agent of the day, time and place thereof and of the nature of the business to be transacted thereat. Every such meeting shall be held at such time and place as the Fiscal Agent may appoint or approve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p>
      <w:pPr>
        <w:jc w:val="both"/>
        <w:ind w:left="660" w:hanging="652"/>
        <w:spacing w:after="0" w:line="25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21 Clear Days' notice specifying the place, day and hour of meeting shall be given to the holders prior to any meeting in the manner provided by Condition 12. Such notice, which shall be in the English language, shall state generally the nature of the business to be transacted at the meeting thereby convened and in the case of an Extraordinary Resolution, shall either specify in such notice the terms of such resolution or state fully the effect on the holders of such resolution, if passed. Such notice shall include Statements as to the manner in which holders may arrange for Voting Certificates or Block Voting Instructions to be issued and, if applicable, appoint proxies. A copy of the notice shall be sent by post to the Issuer (unless the meeting is convened by the Issuer).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may but need not be a holder) nominated in writing by the Issuer shall be entitled to take the chair at the relevant meeting, but if no such nomination is made or if at any meeting the person nominated shall not be present within 15 minutes after the time appointed for holding the meeting, the holders present shall choose one of their number to be Chairman failing which the Issuer may appoint a Chairman. The Chairman of an adjourned meeting need not be the same person as was Chairman of the meeting from which the adjournment took place.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such meeting one or more Eligible Persons present and holding or representing in the aggregate not less than one-twentieth of the principal amount of the Notes for the time being outstanding shall (except for the purpose of passing an Extraordinary Resolution) form a quorum for the transaction of business (including the passing of an Ordinary Resolution) and no business (other than the choosing of a Chairman) shall be transacted at any meeting unless the requisite quorum be present at the commencement of the relevant business. The quorum at any such meeting for passing an Extraordinary Resolution shall (subject as provided below) be one or more Eligible Persons present and holding or representing in the aggregate more than 50 per cent. in principal amount of the Notes for the time being outstanding provided that at any meeting the business of which includes any of the following matters (each of which shall only be capable of being effected after having been approved by Extraordinary Resolution) namely:</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Stated Maturity of the principal of, or premium or Make-Whole Amount, if any, on, or any installment of interest on, any Note;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principal amount of, or the rate or amount of interest on, or any premium payable on redemption or acceleration of the Note that would be due and payable upon acceleration of maturity or that would be provable in bankruptcy, or adversely affect any right of repayment at the option of the Noteholder;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place of payment or the coin or currency for payment of principal or premium, if any, or interest on any Note;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the right to institute suit for the enforcement of any payment on or after the Stated Maturity of any Note;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majority required to pass an Extraordinary Resolution;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of any of the foregoing provisions or any of the provisions relating to the waiver of specified past defaults or specified covenants, except to increase the required majority to pass an Extraordinary Resolution to effect the action or to provide that specified other provisions of these Conditions or the Agency Agreement may not be modified or waived without the passing of an Extraordinary Resolution,</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necessary quorum shall be one or more Eligible Persons present and holding or representing in the aggregate not less than three-quarters of the principal amount of the Notes for the time being outstanding.</w:t>
      </w:r>
    </w:p>
    <w:p>
      <w:pPr>
        <w:spacing w:after="0" w:line="162" w:lineRule="exact"/>
        <w:rPr>
          <w:sz w:val="20"/>
          <w:szCs w:val="20"/>
          <w:color w:val="auto"/>
        </w:rPr>
      </w:pPr>
    </w:p>
    <w:p>
      <w:pPr>
        <w:jc w:val="both"/>
        <w:ind w:left="660" w:hanging="652"/>
        <w:spacing w:after="0" w:line="253"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15 minutes (or such longer period not exceeding 30 minutes as the Chairman may decide) after the time appointed for any such meeting a quorum is not present for the transaction of any particular business, then, subject and without prejudice to the transaction of the business (if any) for which a quorum is present, the meeting shall if convened upon the requisition of holders be dissolved. In any other case it shall stand adjourned to the same day in the next week (or if such day is a public holiday the next succeeding business day) at the same time and place (except in the case of a meeting at which an Extraordinary Resolution is to be proposed in which case it shall stand adjourned for such period, being not less than 13 Clear Days nor more than 42 Clear Days, and to such place as may be appointed by the Chairman either at or subsequent to such meeting and approved by the Fiscal Agent). If within 15 minutes (or such longer period not exceeding 30 minutes as the Chairman may decide) after the time appointed for any adjourned meeting a quorum is not present for the transaction of any particular business, then, subject and without prejudice to the transaction of the business (if any) for which a quorum is present, the Chairman may either (with the approval of the Fiscal Agent) dissolve such meeting or adjourn the same for such period, being not less than 13 Clear Days (but without any maximum number of Clear Days), and to such place as may be appointed by the Chairman either at or subsequent to such adjourned meeting and approved by the Fiscal Agent, and the provisions of this sentence shall apply to all further adjourned such meetings.</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adjourned meeting one or more Eligible Persons present (whatever the principal amount of the Notes so held or represented by them) shall (subject as provided below) form a quorum and shall have power to pass any resolution and to decide upon all matters which could properly have been dealt with at the meeting from which the adjournment took place had the requisite quorum been present provided that at any adjourned meeting the quorum for the transaction of business comprising any of the matters specified in the proviso to paragraph 7 shall be one or more Eligible Persons present and holding or representing in the aggregate not less than one-quarter of the principal amount of the Notes for the lime being outstanding.</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adjourned meeting at which an Extraordinary Resolution is to be submitted shall be given in the same manner as notice of an original meeting but as if 10 were substituted for 21 in paragraph 5 and such notice shall state the required quorum. Subject as aforesaid it shall not be necessary to give any notice of an adjourned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CONDUCT OF BUSINESS AT MEETINGS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question submitted to a meeting shall be decided in the first instance by a show of hands. A poll may be demanded (before or on the declaration of the result of the show of hands) by the Chairman, the Issuer or any Eligible Person (whatever the amount of the Notes so held or represented by him).</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unless a poll is duly demanded, a declaration by the Chairman that a resolution has been carried or carried by a particular majority or lost or not carried by a particular majority shall be conclusive evidence of the fact without proof of the number or proportion of the votes recorded in favour of or against such resolution.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15, if at any such meeting a poll is so demanded it shall be taken in such manner and, subject as hereinafter provided, either at once or after an adjournment as the Chairman directs and the result of such poll shall be deemed to be the resolution of the meeting at which the poll was demanded as at the date of the taking of the poll. The demand for a poll shall not prevent the continuance of the meeting for the transaction of any business other than the motion on which the poll has been demanded.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(and shall if directed by) any such meeting, adjourn the same from time to time and from place to place, but no business shall be transacted at any adjourned meeting except business which might lawfully have been transacted at the meeting from which the adjournment took place.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demanded at any such meeting on the election of a Chairman or on any question of adjournment shall be taken at the meeting without adjournment.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Issuer, its lawyers and financial advisors, any director or officer of the Fiscal Agent and any other person authorized so to do by the Fiscal Agent may attend and speak at any meeting. Save as aforesaid, no person shall be entitled to attend and speak nor shall any person be entitled to vote at any meeting unless he is an Eligible Person. No person shall be entitled to vote at any meeting in respect of Notes which are deemed to be not outstanding by virtue of the proviso to the definition of "</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in clause 2.1 of the Agency Agreement.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every Eligible Person present shall have one vote;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Eligible Person present shall have one vote in respect of each € 1.00 in principal amount of the Notes held or represented by such Eligible Person.</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Without prejudice to the obligations of the proxies named in any Block Voting Instruction or form of proxy, any Eligible Person entitled to more than one vote need not use all his votes or cast all the votes to which he is entitled in the same way.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proxies named in any Block Voting Instruction or form of proxy need not be holders. Nothing herein shall prevent any of the proxies named in any Block Voting Instruction or form of proxy from being a director, officer or representative of or otherwise connected with the Issuer.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shall in addition to the powers hereinbefore given have the following powers exercisable only by Extraordinary Resolution (subject to the provisions relating to quorum contained in paragraphs 7 and 9) namely: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approve any compromise or management proposed to be made between the Issuer and Noteholders or any of them;</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approve any abrogation, modification, compromise or arrangement in respect of the rights of the Noteholders against the Issuer or against any of its property whether these rights arise under this Agreement, the Notes or otherwise;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agree to any modification of the provisions contained in this Agreement or the Conditions, the Notes which is proposed by the Issuer;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give any authority or approval which under the provisions of this Schedule or the Notes is required to given by Extraordinary Resolution;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appoint any persons (whether Noteholders or not) as a committee or committees to represent the interests of the Noteholders and to confer upon any committee or committees any powers or discretions which the Noteholders could themselves exercise Extraordinary Resolution;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approve any scheme or proposal for the exchange or sale of the Notes for, or the conversion of the Notes into, or the cancellation of the Notes in consideration of, shares, stock, notes, bonds, debenture, debenture, stock and/or other obligations and/or securities of Issuer or any other company formed or to be formed, or for or into or in consideration of cash, or partly for or into or in consideration of shares, stock, notes, bonds, debentures, debenture stock and/or other obligations and/or securities as stated above and partly for or into or in consideration of cash; and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approve the substitution of any entity in place of the Issuer (or any previous substitute) as the principal debtor in respect of the Notes.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passed at a meeting of the holders duly convened and held in accordance with these presents shall be binding upon all the holders whether or not present or whether or not represented at such meeting and whether or not voting and each of them shall be bound to give effect thereto accordingly and the passing of any such resolution shall be conclusive evidence that the circumstances justify the passing thereof. Notice of the result of the voting on any resolution duly considered by the holders shall be published in accordance with Condition 12 by the Issuer within 14 days of such result being known, provided that the non-publication of such notice shall not invalidate such result.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left="660" w:hanging="652"/>
        <w:spacing w:after="0" w:line="258"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all resolutions and proceedings at every meeting shall be made and entered in books to be from time to time provided for that purpose by the Issuer and any such minutes as aforesaid, if purporting to be signed by the Chairman of the meeting at which such resolutions were passed or proceedings transacted, shall be conclusive evidence of the matters therein contained and, until the contrary is proved, every such meeting in respect of the proceedings of which minutes have been made shall be deemed to have been duly held and convened and all resolutions passed or proceedings transacted thereat to have been duly passed or transacted.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all other provisions of these presents the Fiscal Agent may (after consultation with the Issuer where the Fiscal Agent considers such consultation to be practicable but without the consent of the Issuer, or the holders) prescribe such further or alternative regulations regarding the requisitioning and/or the holding of meetings and attendance and voting thereat as the Fiscal Agent may in its sole discretion reasonably think fit (including, without limitation, the substitution for periods of 24 hours and 48 hours referred to in this Schedule of shorter periods). Such regulations may, without prejudice to the generality of the foregoing, reflect the practices and facilities of any relevant Clearing System. Notice of any such further or alternative regulations may, at the sole discretion of the Fiscal Agent, be given to holders in accordance with Condition 12 at the time of service of any notice convening a meeting or at such other time as the Fiscal Agent may decide.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AND TRANSFER OF NOTES</w:t>
      </w:r>
    </w:p>
    <w:p>
      <w:pPr>
        <w:spacing w:after="0" w:line="229"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have an identifying serial number which shall be entered on the Register.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transferable in integral multiples of €100,000 or in integral multiples of €1,000 in excess thereof each by execution of the form of transfer endorsed thereon under the hand of the transferor or, where the transferor is a corporation, under its common seal or under the hand of two of its officers duly authorized in writing. In this Schedule 4,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shall, where the context permits or requires, include joint transferors and be construed accordingly.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be transferred must be delivered for registration to the specified office of the Registrar or Transfer Agent with the form of transfer endorsed on the Notes duly completed and executed and must be accompanied by the documents, evidence and information required pursuant to the Conditions and such other evidence as the Issuer may reasonably require to prove the title of the transferor or his right to transfer the Notes and, if the form of transfer is executed by some other person on his behalf or in the case of the execution of a form of transfer on behalf of a corporation by its officers, the authority of that person or those persons to do so.</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executors or administrators of a deceased registered holder of Notes (not being one of several joint registered holders) and in the case of the death of one or more of several joint registered holders, the survivor of the joint registered holders shall be the only person or persons recognized by the Issuer as having any title to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Notes in consequence of the death or bankruptcy of the registered holder of such Notes may upon producing such evidence that he holds the position in respect of which he proposes to act under this paragraph or of his title as the Issuer, shall reasonably require be registered himself as the holder of such Notes or, subject to the preceding paragraphs as to transfer, may transfer such Notes. The Issuer shall be at liberty to retain any amount payable upon the Notes to which any person is so entitled until the person shall be registered as provided above or shall duly transfer the Notes.</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him and agreed by the Issuer, the registered holder of Notes shall be entitled to receive only one Note in respect of his entire holding.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registered holders of Notes shall be entitled to one Note only in respect of their joint holding which shall, except where they otherwise direct, be delivered to the joint registered holder whose name appears first in the register of the registered holders of Notes in respect of the joint holding.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registered holder of Notes has transferred part only of his holding there shall be delivered to him without charge a Note in respect of the balance of the holding.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make no charge to the registered holders for the registration of any holding of Notes or any transfer thereof or for the issue thereof or for the delivery of Notes at the specified office of the Transfer Agent or by mail to the address specified by the registered holder. If any registered holder entitled to receive a Note wishes to have the same delivered to him otherwise than at the specified office of the Transfer Agent, the delivery shall be made, upon his written request to the Transfer Agent, at his risk and (except where sent by mail to the address specified by the registered holder) at his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both"/>
        <w:ind w:left="652" w:hanging="652"/>
        <w:spacing w:after="0" w:line="258" w:lineRule="auto"/>
        <w:tabs>
          <w:tab w:leader="none" w:pos="6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Note may (to the fullest extent permitted by all applicable laws) be treated at all times, by all persons and for all purposes as the absolute owner of such Note notwithstanding any notice any person may have of the right, title, interest or claim of any other person. The Issuer shall not be bound to see to the execution of any trust to which any Note may be subject and no notice of any trust shall be entered on the register. The registered holder of a Note will be recognized by the Issuer as entitled to his Note free from any equity, set-off or counterclaim on the part of the Issuer against the original or any intermediate registered holder of the Note.</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Indiana limited partnership</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Capitalized terms used herein but not defined shall have the same meanings assigned to them in the Fiscal Agency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June 15, 2026 among Simon Global Development B.V., Simon Property Group, L.P., The Bank of New York Mellon, London Branch, as Fiscal Agent and The Bank of New York Mellon SA/NV, Dublin Branch, as Registrar and Transfer Agent.</w:t>
      </w:r>
    </w:p>
    <w:p>
      <w:pPr>
        <w:spacing w:after="0" w:line="175" w:lineRule="exact"/>
        <w:rPr>
          <w:sz w:val="20"/>
          <w:szCs w:val="20"/>
          <w:color w:val="auto"/>
        </w:rPr>
      </w:pPr>
    </w:p>
    <w:p>
      <w:pPr>
        <w:jc w:val="both"/>
        <w:ind w:left="660" w:hanging="328"/>
        <w:spacing w:after="0" w:line="26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and valuable consideration (the receipt and sufficiency of which is hereby acknowledged), Simon Property Group, L.P., an Indiana limited partnership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fully and unconditionally guarantees payment in full, as and when the same becomes due and payable, of the principal of, and premium, if any, and interest on, and all other amounts (including, without limitation, Additional Amounts) under each Note and the Agreement. This Guarantee shall apply irrespective of the validity or enforceability of any provision of the Agreement or the Notes.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obligations under this Guarantee shall constitute direct and unconditional unsecured and unsubordinated obligations of the Guarantor and will rank equally with all of the Guarantor's other existing and future unsecured and unsubordinated indebtedness from time to time outstanding.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is a guaranty of the due and punctual payment (and not merely of collection) of the principal of, and premium, if any, and interest on, the Notes by the Issuer thereof and shall remain in full force and effect until all such amounts have been validly, finally and irrevocably paid in full, and shall not be affected in any way by any circumstance or condition whatsoever, including, without limitation, (a) the absence of any action to obtain such amounts from the Issuer, (b) any variation, extension, waiver, compromise or release of any or all of the obligations of the Issuer under the Agreement or the Notes or of any collateral security therefor or (c) any change in the existence or structure of, or the bankruptcy or insolvency of, the Issuer or by any other circumstance (other than by complete, irrevocable payment) that might otherwise constitute a legal or equitable discharge or defense of a guarantor. The Guarantor waives all requirements as to diligence, presentment, demand for payment, protest and notice of any kind with respect to the Agreement and the Notes.</w:t>
      </w:r>
    </w:p>
    <w:p>
      <w:pPr>
        <w:spacing w:after="0" w:line="19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default in payment of principal of, or premium, if any, or interest on, any Notes issued by the Issuer, the holders of such Notes may institute legal proceedings directly against the Guarantor to enforce this Guarantee without first proceeding against the Issuer.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both"/>
        <w:ind w:left="328" w:hanging="328"/>
        <w:spacing w:after="0" w:line="255" w:lineRule="auto"/>
        <w:tabs>
          <w:tab w:leader="none" w:pos="32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under this Guarantee will be made without withholding or deduction for, or on account of, any present or future taxes, duties, assessments or governmental charges of whatever nature, imposed or levied by the Netherlands, the United States or any taxing authority thereof or therein, unless such withholding or deduction is required by law. If such withholding or deduction is required by law, the Guarantor will pay to a Noteholder who is not a United States person (as defined below) such Additional Amounts as are necessary in order that the net payment of the principal of, and premium, if any, and interest on, the Notes to such Noteholder, after such withholding or deduction, will not be less than the amount provided in the Notes to be then due and payable; provided, however, that the foregoing obligation to pay Additional Amounts shall not apply:</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66" w:lineRule="auto"/>
        <w:tabs>
          <w:tab w:leader="none" w:pos="162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75" w:lineRule="exact"/>
        <w:rPr>
          <w:rFonts w:ascii="Times New Roman" w:cs="Times New Roman" w:eastAsia="Times New Roman" w:hAnsi="Times New Roman"/>
          <w:sz w:val="18"/>
          <w:szCs w:val="18"/>
          <w:color w:val="auto"/>
        </w:rPr>
      </w:pPr>
    </w:p>
    <w:p>
      <w:pPr>
        <w:jc w:val="both"/>
        <w:ind w:left="2908" w:right="20" w:hanging="640"/>
        <w:spacing w:after="0" w:line="266" w:lineRule="auto"/>
        <w:tabs>
          <w:tab w:leader="none" w:pos="29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Netherlands or the United States or having or having had a permanent establishment in the Netherlands or the United States or having or having had a qualified business unit which has the United States dollar as its functional currency;</w:t>
      </w:r>
    </w:p>
    <w:p>
      <w:pPr>
        <w:spacing w:after="0" w:line="175" w:lineRule="exact"/>
        <w:rPr>
          <w:rFonts w:ascii="Times New Roman" w:cs="Times New Roman" w:eastAsia="Times New Roman" w:hAnsi="Times New Roman"/>
          <w:sz w:val="18"/>
          <w:szCs w:val="18"/>
          <w:color w:val="auto"/>
        </w:rPr>
      </w:pPr>
    </w:p>
    <w:p>
      <w:pPr>
        <w:jc w:val="both"/>
        <w:ind w:left="2908" w:hanging="640"/>
        <w:spacing w:after="0" w:line="261" w:lineRule="auto"/>
        <w:tabs>
          <w:tab w:leader="none" w:pos="29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Netherlands or the United States (other than a connection arising solely as a result of the ownership of the Notes, the receipt of any payment or the enforcement of any rights thereunder) or being considered as having such relationship, including being or having been a citizen or resident of the Netherlands or the United States;</w:t>
      </w:r>
    </w:p>
    <w:p>
      <w:pPr>
        <w:spacing w:after="0" w:line="179" w:lineRule="exact"/>
        <w:rPr>
          <w:rFonts w:ascii="Times New Roman" w:cs="Times New Roman" w:eastAsia="Times New Roman" w:hAnsi="Times New Roman"/>
          <w:sz w:val="18"/>
          <w:szCs w:val="18"/>
          <w:color w:val="auto"/>
        </w:rPr>
      </w:pPr>
    </w:p>
    <w:p>
      <w:pPr>
        <w:jc w:val="both"/>
        <w:ind w:left="2908" w:hanging="640"/>
        <w:spacing w:after="0" w:line="266" w:lineRule="auto"/>
        <w:tabs>
          <w:tab w:leader="none" w:pos="29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foreign or domestic personal holding company, a passive foreign investment company or a controlled foreign corporation with respect to the United States or a corporation that has accumulated earnings to avoid U.S. federal income tax;</w:t>
      </w:r>
    </w:p>
    <w:p>
      <w:pPr>
        <w:spacing w:after="0" w:line="175" w:lineRule="exact"/>
        <w:rPr>
          <w:rFonts w:ascii="Times New Roman" w:cs="Times New Roman" w:eastAsia="Times New Roman" w:hAnsi="Times New Roman"/>
          <w:sz w:val="18"/>
          <w:szCs w:val="18"/>
          <w:color w:val="auto"/>
        </w:rPr>
      </w:pPr>
    </w:p>
    <w:p>
      <w:pPr>
        <w:jc w:val="both"/>
        <w:ind w:left="2908" w:hanging="640"/>
        <w:spacing w:after="0" w:line="266" w:lineRule="auto"/>
        <w:tabs>
          <w:tab w:leader="none" w:pos="29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Guarantor,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or any successor provision; or</w:t>
      </w:r>
    </w:p>
    <w:p>
      <w:pPr>
        <w:spacing w:after="0" w:line="175" w:lineRule="exact"/>
        <w:rPr>
          <w:rFonts w:ascii="Times New Roman" w:cs="Times New Roman" w:eastAsia="Times New Roman" w:hAnsi="Times New Roman"/>
          <w:sz w:val="18"/>
          <w:szCs w:val="18"/>
          <w:color w:val="auto"/>
        </w:rPr>
      </w:pPr>
    </w:p>
    <w:p>
      <w:pPr>
        <w:ind w:left="2908" w:hanging="640"/>
        <w:spacing w:after="0"/>
        <w:tabs>
          <w:tab w:leader="none" w:pos="29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bank described in section 881(c)(3)(A) of the Code;</w:t>
      </w:r>
    </w:p>
    <w:p>
      <w:pPr>
        <w:spacing w:after="0" w:line="225" w:lineRule="exact"/>
        <w:rPr>
          <w:rFonts w:ascii="Times New Roman" w:cs="Times New Roman" w:eastAsia="Times New Roman" w:hAnsi="Times New Roman"/>
          <w:sz w:val="18"/>
          <w:szCs w:val="18"/>
          <w:color w:val="auto"/>
        </w:rPr>
      </w:pPr>
    </w:p>
    <w:p>
      <w:pPr>
        <w:jc w:val="both"/>
        <w:ind w:left="1628" w:hanging="656"/>
        <w:spacing w:after="0" w:line="261" w:lineRule="auto"/>
        <w:tabs>
          <w:tab w:leader="none" w:pos="162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any Additional Amounts had the beneficiary, settlor, beneficial owner or member received directly its beneficial or distributive share of the payment;</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85" w:name="page86"/>
    <w:bookmarkEnd w:id="85"/>
    <w:p>
      <w:pPr>
        <w:jc w:val="both"/>
        <w:ind w:left="1628" w:hanging="656"/>
        <w:spacing w:after="0" w:line="254" w:lineRule="auto"/>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any other person to comply (in the case of any compliance relating to the Netherlands, following a reasonable written request for such compliance from the Issuer) with certification, identification or information reporting requirements concerning the nationality, residence, identity or connection with the Netherlands or the United States of the holder or beneficial owner of the Notes, if compliance is required by statute, by regulation of the Netherlands or United States or any respective taxing authority therein or by an applicable income tax treaty to which the Netherlands or the United States is a party as a precondition to exemption from such tax, assessment or other governmental charge (including, with respect to the United States, submitting a properly completed IRS Form W-8BEN or Form W-8BEN-E (or other applicable documentation) to establish the so-called "portfolio interest exemption," if applicable);</w:t>
      </w:r>
    </w:p>
    <w:p>
      <w:pPr>
        <w:spacing w:after="0" w:line="188" w:lineRule="exact"/>
        <w:rPr>
          <w:rFonts w:ascii="Times New Roman" w:cs="Times New Roman" w:eastAsia="Times New Roman" w:hAnsi="Times New Roman"/>
          <w:sz w:val="18"/>
          <w:szCs w:val="18"/>
          <w:color w:val="auto"/>
        </w:rPr>
      </w:pPr>
    </w:p>
    <w:p>
      <w:pPr>
        <w:ind w:left="1628" w:hanging="656"/>
        <w:spacing w:after="0"/>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from the payment;</w:t>
      </w:r>
    </w:p>
    <w:p>
      <w:pPr>
        <w:spacing w:after="0" w:line="225" w:lineRule="exact"/>
        <w:rPr>
          <w:rFonts w:ascii="Times New Roman" w:cs="Times New Roman" w:eastAsia="Times New Roman" w:hAnsi="Times New Roman"/>
          <w:sz w:val="18"/>
          <w:szCs w:val="18"/>
          <w:color w:val="auto"/>
        </w:rPr>
      </w:pPr>
    </w:p>
    <w:p>
      <w:pPr>
        <w:jc w:val="both"/>
        <w:ind w:left="1628" w:hanging="656"/>
        <w:spacing w:after="0" w:line="266" w:lineRule="auto"/>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75" w:lineRule="exact"/>
        <w:rPr>
          <w:rFonts w:ascii="Times New Roman" w:cs="Times New Roman" w:eastAsia="Times New Roman" w:hAnsi="Times New Roman"/>
          <w:sz w:val="18"/>
          <w:szCs w:val="18"/>
          <w:color w:val="auto"/>
        </w:rPr>
      </w:pPr>
    </w:p>
    <w:p>
      <w:pPr>
        <w:ind w:left="1628" w:hanging="656"/>
        <w:spacing w:after="0" w:line="282" w:lineRule="auto"/>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161" w:lineRule="exact"/>
        <w:rPr>
          <w:rFonts w:ascii="Times New Roman" w:cs="Times New Roman" w:eastAsia="Times New Roman" w:hAnsi="Times New Roman"/>
          <w:sz w:val="18"/>
          <w:szCs w:val="18"/>
          <w:color w:val="auto"/>
        </w:rPr>
      </w:pPr>
    </w:p>
    <w:p>
      <w:pPr>
        <w:jc w:val="both"/>
        <w:ind w:left="1628" w:hanging="656"/>
        <w:spacing w:after="0" w:line="266" w:lineRule="auto"/>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75" w:lineRule="exact"/>
        <w:rPr>
          <w:rFonts w:ascii="Times New Roman" w:cs="Times New Roman" w:eastAsia="Times New Roman" w:hAnsi="Times New Roman"/>
          <w:sz w:val="18"/>
          <w:szCs w:val="18"/>
          <w:color w:val="auto"/>
        </w:rPr>
      </w:pPr>
    </w:p>
    <w:p>
      <w:pPr>
        <w:jc w:val="both"/>
        <w:ind w:left="1628" w:hanging="656"/>
        <w:spacing w:after="0" w:line="289" w:lineRule="auto"/>
        <w:tabs>
          <w:tab w:leader="none" w:pos="1628"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withholding or deduction that is imposed on a payment pursuant to Sections 1471 through 1474 of the Code and related Treasury regulations and pronouncements (the Foreign Account Tax Compliance Act, or "</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or any successor provisions and any regulations or official law, agreement or interpretations thereof implementing an intergovernmental approach thereto;</w:t>
      </w:r>
    </w:p>
    <w:p>
      <w:pPr>
        <w:spacing w:after="0" w:line="155" w:lineRule="exact"/>
        <w:rPr>
          <w:rFonts w:ascii="Times New Roman" w:cs="Times New Roman" w:eastAsia="Times New Roman" w:hAnsi="Times New Roman"/>
          <w:sz w:val="17"/>
          <w:szCs w:val="17"/>
          <w:color w:val="auto"/>
        </w:rPr>
      </w:pPr>
    </w:p>
    <w:p>
      <w:pPr>
        <w:ind w:left="1628" w:hanging="656"/>
        <w:spacing w:after="0"/>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or withheld pursuant to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as amended; or</w:t>
      </w:r>
    </w:p>
    <w:p>
      <w:pPr>
        <w:spacing w:after="0" w:line="227" w:lineRule="exact"/>
        <w:rPr>
          <w:rFonts w:ascii="Times New Roman" w:cs="Times New Roman" w:eastAsia="Times New Roman" w:hAnsi="Times New Roman"/>
          <w:sz w:val="18"/>
          <w:szCs w:val="18"/>
          <w:color w:val="auto"/>
        </w:rPr>
      </w:pPr>
    </w:p>
    <w:p>
      <w:pPr>
        <w:ind w:left="1628" w:hanging="656"/>
        <w:spacing w:after="0"/>
        <w:tabs>
          <w:tab w:leader="none" w:pos="16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(2), (3), (4), (5), (6), (7), (8) and (9).</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 consolidation, merger, sale, lease or conveyance permitted under Condition 4(1)(e), the Guarantor (or any successor person thereof) becomes organized and existing under the laws of any taxing jurisdiction other than the United States, references in Condition 8 and Condition 7(2), as well as in Clause 5 above, to the United States shall be construed as references to such other taxing jurisdiction, provided, that, such construction shall not apply to or affect any other Conditions, other than Condition 8 and Condition 7(2).</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86" w:name="page87"/>
    <w:bookmarkEnd w:id="86"/>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In addition, if the Guarantor becomes subject to an additional taxing jurisdiction, references in Condition 8 and Condition 7(2), as well as Clause 5 above, to the United States shall also be construed as references to such other taxing jurisdiction; provided, that, such construction shall not apply to or affect any other Conditions, other than Condition 8 and Condition 7(2).</w:t>
      </w:r>
    </w:p>
    <w:p>
      <w:pPr>
        <w:spacing w:after="0" w:line="176" w:lineRule="exact"/>
        <w:rPr>
          <w:sz w:val="20"/>
          <w:szCs w:val="20"/>
          <w:color w:val="auto"/>
        </w:rPr>
      </w:pPr>
    </w:p>
    <w:p>
      <w:pPr>
        <w:jc w:val="both"/>
        <w:ind w:left="328" w:hanging="328"/>
        <w:spacing w:after="0" w:line="266"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shall remain in full force and effect or shall be reinstated (as the case may be) if at any time any payment by the Issuer of the principal of, or premium, if any, or interest on, the Notes, in whole or in part, is rescinded or must otherwise be returned by the registered holder upon the insolvency, bankruptcy or reorganization of the Issuer or otherwise, all as though such payment had not been made.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irrevocably consents to the non-exclusive jurisdiction of the State or Federal courts sitting in the Borough of Manhattan, The City of New York ("</w:t>
      </w:r>
      <w:r>
        <w:rPr>
          <w:rFonts w:ascii="Times New Roman" w:cs="Times New Roman" w:eastAsia="Times New Roman" w:hAnsi="Times New Roman"/>
          <w:sz w:val="18"/>
          <w:szCs w:val="18"/>
          <w:b w:val="1"/>
          <w:bCs w:val="1"/>
          <w:color w:val="auto"/>
        </w:rPr>
        <w:t>New York Courts</w:t>
      </w:r>
      <w:r>
        <w:rPr>
          <w:rFonts w:ascii="Times New Roman" w:cs="Times New Roman" w:eastAsia="Times New Roman" w:hAnsi="Times New Roman"/>
          <w:sz w:val="18"/>
          <w:szCs w:val="18"/>
          <w:color w:val="auto"/>
        </w:rPr>
        <w:t>") to adjudicate any disputes which may arise out of or in connection with this Guarantee and that accordingly any action or proceedings (together referred to as "</w:t>
      </w: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arising out of or in connection with this Guarantee may be brought in such New York Courts. The Guarantor waives any objection to Proceedings in such courts whether on the ground of venue or on the ground that the Proceedings have been brought in an inconvenient forum.</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Guarantee to the contrary, no recourse shall be had, whether by levy or execution or otherwise, for the payment of any sums due under, or for the payment or performance of any obligation under, or for any claim based on, this Guarantee or otherwise in respect hereof, against Simon Property Group, Inc. ("</w:t>
      </w:r>
      <w:r>
        <w:rPr>
          <w:rFonts w:ascii="Times New Roman" w:cs="Times New Roman" w:eastAsia="Times New Roman" w:hAnsi="Times New Roman"/>
          <w:sz w:val="18"/>
          <w:szCs w:val="18"/>
          <w:b w:val="1"/>
          <w:bCs w:val="1"/>
          <w:color w:val="auto"/>
        </w:rPr>
        <w:t>Simon</w:t>
      </w:r>
      <w:r>
        <w:rPr>
          <w:rFonts w:ascii="Times New Roman" w:cs="Times New Roman" w:eastAsia="Times New Roman" w:hAnsi="Times New Roman"/>
          <w:sz w:val="18"/>
          <w:szCs w:val="18"/>
          <w:color w:val="auto"/>
        </w:rPr>
        <w:t>") or its assets or against any principal, shareholder, officer, director, trustee or employee of Simon, under any rule of law, statute or constitution, or by the enforcement of any assessment or penalty, or otherwise, nor shall any of such parties be personally liable for any such amounts, obligations or claims, or liable for any deficiency judgment based thereon or with respect thereto, it being expressly understood that the sole remedies hereunder with respect to such amounts, obligations or claims shall be against the Guarantor and that any or all such liability of the aforementioned parties is and is to be, by the acceptance of Notes of the Issuer, expressly waived and released as a condition of, and as consideration for, the execution of this Guarantee.</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obligations of the Guarantor under the Guarantee at any time shall be limited to the maximum amount as will result in the obligations of the Guarantor under the Guarantee not constituting a fraudulent transfer or conveyance for purposes of any Debtor Relief Law to the extent applicable to the Agreement, the Notes and the obligations of the Guarantor thereunder. In this paragraph, "</w:t>
      </w:r>
      <w:r>
        <w:rPr>
          <w:rFonts w:ascii="Times New Roman" w:cs="Times New Roman" w:eastAsia="Times New Roman" w:hAnsi="Times New Roman"/>
          <w:sz w:val="18"/>
          <w:szCs w:val="18"/>
          <w:b w:val="1"/>
          <w:bCs w:val="1"/>
          <w:color w:val="auto"/>
        </w:rPr>
        <w:t>Debtor Relief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Title 11 of the United States Code, as amended, and all other liquidation, bankruptcy, assignment for the benefit of creditors,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conservatorship, moratorium, receivership, insolvency, rearrangement, reorganization or similar debtor relief laws of the United States or other applicable jurisdictions in effect from time to time.</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11. This Guarantee shall be governed by, and construed in accordance with, the laws of the State of New York.</w:t>
      </w:r>
    </w:p>
    <w:p>
      <w:pPr>
        <w:sectPr>
          <w:pgSz w:w="11900" w:h="16838" w:orient="portrait"/>
          <w:cols w:equalWidth="0" w:num="1">
            <w:col w:w="9799"/>
          </w:cols>
          <w:pgMar w:left="660" w:top="87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877" w:right="1440"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Fiscal Agent will fulfil the following responsibilities with respect to the Global Certificate kept by the Common Safekeeper for the Clearing Systems in accordance with applicable safekeeping procedures:</w:t>
      </w:r>
    </w:p>
    <w:p>
      <w:pPr>
        <w:spacing w:after="0" w:line="158" w:lineRule="exact"/>
        <w:rPr>
          <w:sz w:val="20"/>
          <w:szCs w:val="20"/>
          <w:color w:val="auto"/>
        </w:rPr>
      </w:pPr>
    </w:p>
    <w:p>
      <w:pPr>
        <w:ind w:left="660" w:hanging="652"/>
        <w:spacing w:after="0" w:line="28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inform the Clearing Systems, through the common service provider (the "</w:t>
      </w:r>
      <w:r>
        <w:rPr>
          <w:rFonts w:ascii="Times New Roman" w:cs="Times New Roman" w:eastAsia="Times New Roman" w:hAnsi="Times New Roman"/>
          <w:sz w:val="18"/>
          <w:szCs w:val="18"/>
          <w:b w:val="1"/>
          <w:bCs w:val="1"/>
          <w:color w:val="auto"/>
        </w:rPr>
        <w:t>Common Service Provider</w:t>
      </w:r>
      <w:r>
        <w:rPr>
          <w:rFonts w:ascii="Times New Roman" w:cs="Times New Roman" w:eastAsia="Times New Roman" w:hAnsi="Times New Roman"/>
          <w:sz w:val="18"/>
          <w:szCs w:val="18"/>
          <w:color w:val="auto"/>
        </w:rPr>
        <w:t>") appointed by the Clearing Systems in respect of the Global Certificate, of the initial issue outstanding amount of the Notes on or prior to the date of issue.</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occurs that requires a mark-up or mark-down of the records which either Euroclear or Clearstream, Luxembourg holds for its customers to reflect such customers' interest in the Global Certificate, the Fiscal Agent will promptly provide details of the amount of such increase or decrease, together with a description of the event that requires it, to the Clearing Systems (through the Common Service Provider) to ensure that the records of the Clearing Systems reflecting the initial issue outstanding amount of the Notes remain accurate at all times.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at least once every month perform a reconciliation process with the Clearing Systems (through the Common Service Provider) with respect to the initial issue outstanding amount of the Notes and will promptly inform the Clearing Systems (through the Common Service Provider) of any discrepancies.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assist the Clearing Systems (through the Common Service Provider) in resolving any discrepancy identified in the records reflecting the initial issue outstanding amount of the Notes.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provide to the Clearing Systems (though the Common Service Provider) details of all amounts paid under the Notes.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provide to the Clearing Systems (through the Common Service Provider) notice of any changes to the Notes that will affect the amount of, or date for any payment due under the Notes.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provide to the Clearing Systems (through the Common Service Provider) copies of all notices in its possession that are given by or on behalf of the Issuer to the holders of the Notes.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pass on to the Issuer or the Guarantor, as applicable, all communications it receives from the Clearing Systems directly or through the Common Service Provider relating to the Notes.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Agent will promptly notify the Clearing Systems (through the Common Service Provider) of any failure by the Issuer or the Guarantor, as applicable, to make any payment or delivery due under the Notes when due.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Agreement has been entered into on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 GLOBAL DEVELOPMENT B.V.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C.A.A.C. den Dekker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C.A.A.C. den Dekker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i w:val="1"/>
          <w:iCs w:val="1"/>
          <w:color w:val="auto"/>
        </w:rPr>
        <w:t>[Signature Page to Fiscal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SIMON PROPERTY GROUP,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sole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Brian J. McDade</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Executive Vice President - Chief Financial Officer</w:t>
      </w: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i w:val="1"/>
          <w:iCs w:val="1"/>
          <w:color w:val="auto"/>
        </w:rPr>
        <w:t>[Signature Page to Fiscal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THE BANK OF NEW YORK MELLON, LONDON BRANCH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Fiscal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Nathan Hodd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Nathan Hodd</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BANK OF NEW YORK MELLON SA/NV, DUBLIN BRANCH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Registrar and Transfer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Nathan Hodd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Nathan Hodd</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i w:val="1"/>
          <w:iCs w:val="1"/>
          <w:color w:val="auto"/>
        </w:rPr>
        <w:t>[Signature Page to Fiscal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8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1."/>
      <w:numFmt w:val="decimal"/>
      <w:start w:val="12"/>
    </w:lvl>
  </w:abstractNum>
  <w:abstractNum w:abstractNumId="2">
    <w:nsid w:val="10233C99"/>
    <w:multiLevelType w:val="hybridMultilevel"/>
    <w:lvl w:ilvl="0">
      <w:lvlJc w:val="left"/>
      <w:lvlText w:val="(%1)"/>
      <w:numFmt w:val="decimal"/>
      <w:start w:val="1"/>
    </w:lvl>
  </w:abstractNum>
  <w:abstractNum w:abstractNumId="3">
    <w:nsid w:val="3F6AB60F"/>
    <w:multiLevelType w:val="hybridMultilevel"/>
    <w:lvl w:ilvl="0">
      <w:lvlJc w:val="left"/>
      <w:lvlText w:val="(%1)"/>
      <w:numFmt w:val="upperLetter"/>
      <w:start w:val="1"/>
    </w:lvl>
  </w:abstractNum>
  <w:abstractNum w:abstractNumId="4">
    <w:nsid w:val="61574095"/>
    <w:multiLevelType w:val="hybridMultilevel"/>
    <w:lvl w:ilvl="0">
      <w:lvlJc w:val="left"/>
      <w:lvlText w:val="%1."/>
      <w:numFmt w:val="decimal"/>
      <w:start w:val="1"/>
    </w:lvl>
  </w:abstractNum>
  <w:abstractNum w:abstractNumId="5">
    <w:nsid w:val="7E0C57B1"/>
    <w:multiLevelType w:val="hybridMultilevel"/>
    <w:lvl w:ilvl="0">
      <w:lvlJc w:val="left"/>
      <w:lvlText w:val="%1."/>
      <w:numFmt w:val="decimal"/>
      <w:start w:val="2"/>
    </w:lvl>
  </w:abstractNum>
  <w:abstractNum w:abstractNumId="6">
    <w:nsid w:val="77AE35EB"/>
    <w:multiLevelType w:val="hybridMultilevel"/>
    <w:lvl w:ilvl="0">
      <w:lvlJc w:val="left"/>
      <w:lvlText w:val="(%1)"/>
      <w:numFmt w:val="lowerLetter"/>
      <w:start w:val="1"/>
    </w:lvl>
  </w:abstractNum>
  <w:abstractNum w:abstractNumId="7">
    <w:nsid w:val="579BE4F1"/>
    <w:multiLevelType w:val="hybridMultilevel"/>
    <w:lvl w:ilvl="0">
      <w:lvlJc w:val="left"/>
      <w:lvlText w:val="(%1)"/>
      <w:numFmt w:val="lowerRoman"/>
      <w:start w:val="1"/>
    </w:lvl>
  </w:abstractNum>
  <w:abstractNum w:abstractNumId="8">
    <w:nsid w:val="310C50B3"/>
    <w:multiLevelType w:val="hybridMultilevel"/>
    <w:lvl w:ilvl="0">
      <w:lvlJc w:val="left"/>
      <w:lvlText w:val="%1"/>
      <w:numFmt w:val="lowerLetter"/>
      <w:start w:val="1"/>
    </w:lvl>
    <w:lvl w:ilvl="1">
      <w:lvlJc w:val="left"/>
      <w:lvlText w:val="(%2)"/>
      <w:numFmt w:val="lowerRoman"/>
      <w:start w:val="1"/>
    </w:lvl>
  </w:abstractNum>
  <w:abstractNum w:abstractNumId="9">
    <w:nsid w:val="5FF87E05"/>
    <w:multiLevelType w:val="hybridMultilevel"/>
    <w:lvl w:ilvl="0">
      <w:lvlJc w:val="left"/>
      <w:lvlText w:val="(%1)"/>
      <w:numFmt w:val="lowerLetter"/>
      <w:start w:val="2"/>
    </w:lvl>
    <w:lvl w:ilvl="1">
      <w:lvlJc w:val="left"/>
      <w:lvlText w:val="%2"/>
      <w:numFmt w:val="lowerRoman"/>
      <w:start w:val="1"/>
    </w:lvl>
  </w:abstractNum>
  <w:abstractNum w:abstractNumId="10">
    <w:nsid w:val="2F305DEF"/>
    <w:multiLevelType w:val="hybridMultilevel"/>
    <w:lvl w:ilvl="0">
      <w:lvlJc w:val="left"/>
      <w:lvlText w:val="%1."/>
      <w:numFmt w:val="decimal"/>
      <w:start w:val="3"/>
    </w:lvl>
  </w:abstractNum>
  <w:abstractNum w:abstractNumId="11">
    <w:nsid w:val="25A70BF7"/>
    <w:multiLevelType w:val="hybridMultilevel"/>
    <w:lvl w:ilvl="0">
      <w:lvlJc w:val="left"/>
      <w:lvlText w:val="(%1)"/>
      <w:numFmt w:val="lowerLetter"/>
      <w:start w:val="1"/>
    </w:lvl>
  </w:abstractNum>
  <w:abstractNum w:abstractNumId="12">
    <w:nsid w:val="1DBABF00"/>
    <w:multiLevelType w:val="hybridMultilevel"/>
    <w:lvl w:ilvl="0">
      <w:lvlJc w:val="left"/>
      <w:lvlText w:val="%1."/>
      <w:numFmt w:val="decimal"/>
      <w:start w:val="4"/>
    </w:lvl>
  </w:abstractNum>
  <w:abstractNum w:abstractNumId="13">
    <w:nsid w:val="4AD084E9"/>
    <w:multiLevelType w:val="hybridMultilevel"/>
    <w:lvl w:ilvl="0">
      <w:lvlJc w:val="left"/>
      <w:lvlText w:val="(%1)"/>
      <w:numFmt w:val="lowerLetter"/>
      <w:start w:val="1"/>
    </w:lvl>
  </w:abstractNum>
  <w:abstractNum w:abstractNumId="14">
    <w:nsid w:val="1F48EAA1"/>
    <w:multiLevelType w:val="hybridMultilevel"/>
    <w:lvl w:ilvl="0">
      <w:lvlJc w:val="left"/>
      <w:lvlText w:val="(%1)"/>
      <w:numFmt w:val="lowerLetter"/>
      <w:start w:val="2"/>
    </w:lvl>
  </w:abstractNum>
  <w:abstractNum w:abstractNumId="15">
    <w:nsid w:val="1381823A"/>
    <w:multiLevelType w:val="hybridMultilevel"/>
    <w:lvl w:ilvl="0">
      <w:lvlJc w:val="left"/>
      <w:lvlText w:val="%1."/>
      <w:numFmt w:val="decimal"/>
      <w:start w:val="5"/>
    </w:lvl>
  </w:abstractNum>
  <w:abstractNum w:abstractNumId="16">
    <w:nsid w:val="5DB70AE5"/>
    <w:multiLevelType w:val="hybridMultilevel"/>
    <w:lvl w:ilvl="0">
      <w:lvlJc w:val="left"/>
      <w:lvlText w:val="%1."/>
      <w:numFmt w:val="decimal"/>
      <w:start w:val="6"/>
    </w:lvl>
  </w:abstractNum>
  <w:abstractNum w:abstractNumId="17">
    <w:nsid w:val="100F8FCA"/>
    <w:multiLevelType w:val="hybridMultilevel"/>
    <w:lvl w:ilvl="0">
      <w:lvlJc w:val="left"/>
      <w:lvlText w:val="%1."/>
      <w:numFmt w:val="decimal"/>
      <w:start w:val="7"/>
    </w:lvl>
  </w:abstractNum>
  <w:abstractNum w:abstractNumId="18">
    <w:nsid w:val="6590700B"/>
    <w:multiLevelType w:val="hybridMultilevel"/>
    <w:lvl w:ilvl="0">
      <w:lvlJc w:val="left"/>
      <w:lvlText w:val="%1."/>
      <w:numFmt w:val="decimal"/>
      <w:start w:val="8"/>
    </w:lvl>
  </w:abstractNum>
  <w:abstractNum w:abstractNumId="19">
    <w:nsid w:val="15014ACB"/>
    <w:multiLevelType w:val="hybridMultilevel"/>
    <w:lvl w:ilvl="0">
      <w:lvlJc w:val="left"/>
      <w:lvlText w:val="%1."/>
      <w:numFmt w:val="decimal"/>
      <w:start w:val="9"/>
    </w:lvl>
  </w:abstractNum>
  <w:abstractNum w:abstractNumId="20">
    <w:nsid w:val="5F5E7FD0"/>
    <w:multiLevelType w:val="hybridMultilevel"/>
    <w:lvl w:ilvl="0">
      <w:lvlJc w:val="left"/>
      <w:lvlText w:val="(%1)"/>
      <w:numFmt w:val="lowerLetter"/>
      <w:start w:val="1"/>
    </w:lvl>
  </w:abstractNum>
  <w:abstractNum w:abstractNumId="21">
    <w:nsid w:val="98A3148"/>
    <w:multiLevelType w:val="hybridMultilevel"/>
    <w:lvl w:ilvl="0">
      <w:lvlJc w:val="left"/>
      <w:lvlText w:val="(%1)"/>
      <w:numFmt w:val="lowerLetter"/>
      <w:start w:val="5"/>
    </w:lvl>
  </w:abstractNum>
  <w:abstractNum w:abstractNumId="22">
    <w:nsid w:val="799D0247"/>
    <w:multiLevelType w:val="hybridMultilevel"/>
    <w:lvl w:ilvl="0">
      <w:lvlJc w:val="left"/>
      <w:lvlText w:val="%1."/>
      <w:numFmt w:val="decimal"/>
      <w:start w:val="10"/>
    </w:lvl>
  </w:abstractNum>
  <w:abstractNum w:abstractNumId="23">
    <w:nsid w:val="6B94764"/>
    <w:multiLevelType w:val="hybridMultilevel"/>
    <w:lvl w:ilvl="0">
      <w:lvlJc w:val="left"/>
      <w:lvlText w:val="(%1)"/>
      <w:numFmt w:val="lowerLetter"/>
      <w:start w:val="1"/>
    </w:lvl>
  </w:abstractNum>
  <w:abstractNum w:abstractNumId="24">
    <w:nsid w:val="42C296BD"/>
    <w:multiLevelType w:val="hybridMultilevel"/>
    <w:lvl w:ilvl="0">
      <w:lvlJc w:val="left"/>
      <w:lvlText w:val="%1."/>
      <w:numFmt w:val="decimal"/>
      <w:start w:val="11"/>
    </w:lvl>
  </w:abstractNum>
  <w:abstractNum w:abstractNumId="25">
    <w:nsid w:val="168E121F"/>
    <w:multiLevelType w:val="hybridMultilevel"/>
    <w:lvl w:ilvl="0">
      <w:lvlJc w:val="left"/>
      <w:lvlText w:val="(%1)"/>
      <w:numFmt w:val="lowerLetter"/>
      <w:start w:val="1"/>
    </w:lvl>
  </w:abstractNum>
  <w:abstractNum w:abstractNumId="26">
    <w:nsid w:val="1EBA5D23"/>
    <w:multiLevelType w:val="hybridMultilevel"/>
    <w:lvl w:ilvl="0">
      <w:lvlJc w:val="left"/>
      <w:lvlText w:val="(%1)"/>
      <w:numFmt w:val="lowerLetter"/>
      <w:start w:val="1"/>
    </w:lvl>
  </w:abstractNum>
  <w:abstractNum w:abstractNumId="27">
    <w:nsid w:val="661E3F1E"/>
    <w:multiLevelType w:val="hybridMultilevel"/>
    <w:lvl w:ilvl="0">
      <w:lvlJc w:val="left"/>
      <w:lvlText w:val="(%1)"/>
      <w:numFmt w:val="lowerLetter"/>
      <w:start w:val="1"/>
    </w:lvl>
  </w:abstractNum>
  <w:abstractNum w:abstractNumId="28">
    <w:nsid w:val="5DC79EA8"/>
    <w:multiLevelType w:val="hybridMultilevel"/>
    <w:lvl w:ilvl="0">
      <w:lvlJc w:val="left"/>
      <w:lvlText w:val="(%1)"/>
      <w:numFmt w:val="lowerLetter"/>
      <w:start w:val="2"/>
    </w:lvl>
  </w:abstractNum>
  <w:abstractNum w:abstractNumId="29">
    <w:nsid w:val="540A471C"/>
    <w:multiLevelType w:val="hybridMultilevel"/>
    <w:lvl w:ilvl="0">
      <w:lvlJc w:val="left"/>
      <w:lvlText w:val="(%1)"/>
      <w:numFmt w:val="lowerLetter"/>
      <w:start w:val="1"/>
    </w:lvl>
  </w:abstractNum>
  <w:abstractNum w:abstractNumId="30">
    <w:nsid w:val="7BD3EE7B"/>
    <w:multiLevelType w:val="hybridMultilevel"/>
    <w:lvl w:ilvl="0">
      <w:lvlJc w:val="left"/>
      <w:lvlText w:val="%1."/>
      <w:numFmt w:val="decimal"/>
      <w:start w:val="13"/>
    </w:lvl>
  </w:abstractNum>
  <w:abstractNum w:abstractNumId="31">
    <w:nsid w:val="51D9C564"/>
    <w:multiLevelType w:val="hybridMultilevel"/>
    <w:lvl w:ilvl="0">
      <w:lvlJc w:val="left"/>
      <w:lvlText w:val="%1."/>
      <w:numFmt w:val="decimal"/>
      <w:start w:val="14"/>
    </w:lvl>
  </w:abstractNum>
  <w:abstractNum w:abstractNumId="32">
    <w:nsid w:val="613EFDC5"/>
    <w:multiLevelType w:val="hybridMultilevel"/>
    <w:lvl w:ilvl="0">
      <w:lvlJc w:val="left"/>
      <w:lvlText w:val="%1."/>
      <w:numFmt w:val="decimal"/>
      <w:start w:val="15"/>
    </w:lvl>
  </w:abstractNum>
  <w:abstractNum w:abstractNumId="33">
    <w:nsid w:val="BF72B14"/>
    <w:multiLevelType w:val="hybridMultilevel"/>
    <w:lvl w:ilvl="0">
      <w:lvlJc w:val="left"/>
      <w:lvlText w:val="(%1)"/>
      <w:numFmt w:val="lowerLetter"/>
      <w:start w:val="1"/>
    </w:lvl>
  </w:abstractNum>
  <w:abstractNum w:abstractNumId="34">
    <w:nsid w:val="11447B73"/>
    <w:multiLevelType w:val="hybridMultilevel"/>
    <w:lvl w:ilvl="0">
      <w:lvlJc w:val="left"/>
      <w:lvlText w:val="%1."/>
      <w:numFmt w:val="decimal"/>
      <w:start w:val="16"/>
    </w:lvl>
  </w:abstractNum>
  <w:abstractNum w:abstractNumId="35">
    <w:nsid w:val="42963E5A"/>
    <w:multiLevelType w:val="hybridMultilevel"/>
    <w:lvl w:ilvl="0">
      <w:lvlJc w:val="left"/>
      <w:lvlText w:val="%1."/>
      <w:numFmt w:val="decimal"/>
      <w:start w:val="17"/>
    </w:lvl>
  </w:abstractNum>
  <w:abstractNum w:abstractNumId="36">
    <w:nsid w:val="A0382C5"/>
    <w:multiLevelType w:val="hybridMultilevel"/>
    <w:lvl w:ilvl="0">
      <w:lvlJc w:val="left"/>
      <w:lvlText w:val="%1."/>
      <w:numFmt w:val="decimal"/>
      <w:start w:val="19"/>
    </w:lvl>
  </w:abstractNum>
  <w:abstractNum w:abstractNumId="37">
    <w:nsid w:val="8F2B15E"/>
    <w:multiLevelType w:val="hybridMultilevel"/>
    <w:lvl w:ilvl="0">
      <w:lvlJc w:val="left"/>
      <w:lvlText w:val="%1."/>
      <w:numFmt w:val="decimal"/>
      <w:start w:val="20"/>
    </w:lvl>
  </w:abstractNum>
  <w:abstractNum w:abstractNumId="38">
    <w:nsid w:val="1A32234B"/>
    <w:multiLevelType w:val="hybridMultilevel"/>
    <w:lvl w:ilvl="0">
      <w:lvlJc w:val="left"/>
      <w:lvlText w:val="%1."/>
      <w:numFmt w:val="decimal"/>
      <w:start w:val="21"/>
    </w:lvl>
  </w:abstractNum>
  <w:abstractNum w:abstractNumId="39">
    <w:nsid w:val="3B0FD379"/>
    <w:multiLevelType w:val="hybridMultilevel"/>
    <w:lvl w:ilvl="0">
      <w:lvlJc w:val="left"/>
      <w:lvlText w:val="%1"/>
      <w:numFmt w:val="decimal"/>
      <w:start w:val="1"/>
    </w:lvl>
    <w:lvl w:ilvl="1">
      <w:lvlJc w:val="left"/>
      <w:lvlText w:val="(%2)"/>
      <w:numFmt w:val="lowerLetter"/>
      <w:start w:val="1"/>
    </w:lvl>
  </w:abstractNum>
  <w:abstractNum w:abstractNumId="40">
    <w:nsid w:val="68EB2F63"/>
    <w:multiLevelType w:val="hybridMultilevel"/>
    <w:lvl w:ilvl="0">
      <w:lvlJc w:val="left"/>
      <w:lvlText w:val="%1."/>
      <w:numFmt w:val="decimal"/>
      <w:start w:val="22"/>
    </w:lvl>
    <w:lvl w:ilvl="1">
      <w:lvlJc w:val="left"/>
      <w:lvlText w:val="%2"/>
      <w:numFmt w:val="lowerLetter"/>
      <w:start w:val="1"/>
    </w:lvl>
  </w:abstractNum>
  <w:abstractNum w:abstractNumId="41">
    <w:nsid w:val="4962813B"/>
    <w:multiLevelType w:val="hybridMultilevel"/>
    <w:lvl w:ilvl="0">
      <w:lvlJc w:val="left"/>
      <w:lvlText w:val="%1."/>
      <w:numFmt w:val="decimal"/>
      <w:start w:val="24"/>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decimal"/>
      <w:start w:val="26"/>
    </w:lvl>
  </w:abstractNum>
  <w:abstractNum w:abstractNumId="44">
    <w:nsid w:val="14330624"/>
    <w:multiLevelType w:val="hybridMultilevel"/>
    <w:lvl w:ilvl="0">
      <w:lvlJc w:val="left"/>
      <w:lvlText w:val="%1."/>
      <w:numFmt w:val="decimal"/>
      <w:start w:val="28"/>
    </w:lvl>
  </w:abstractNum>
  <w:abstractNum w:abstractNumId="45">
    <w:nsid w:val="7FFFCA11"/>
    <w:multiLevelType w:val="hybridMultilevel"/>
    <w:lvl w:ilvl="0">
      <w:lvlJc w:val="left"/>
      <w:lvlText w:val="%1."/>
      <w:numFmt w:val="decimal"/>
      <w:start w:val="30"/>
    </w:lvl>
  </w:abstractNum>
  <w:abstractNum w:abstractNumId="46">
    <w:nsid w:val="1A27709E"/>
    <w:multiLevelType w:val="hybridMultilevel"/>
    <w:lvl w:ilvl="0">
      <w:lvlJc w:val="left"/>
      <w:lvlText w:val="%1."/>
      <w:numFmt w:val="decimal"/>
      <w:start w:val="32"/>
    </w:lvl>
    <w:lvl w:ilvl="1">
      <w:lvlJc w:val="left"/>
      <w:lvlText w:val="(%2)"/>
      <w:numFmt w:val="lowerLetter"/>
      <w:start w:val="1"/>
    </w:lvl>
  </w:abstractNum>
  <w:abstractNum w:abstractNumId="47">
    <w:nsid w:val="71EA1109"/>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48">
    <w:nsid w:val="100F59DC"/>
    <w:multiLevelType w:val="hybridMultilevel"/>
    <w:lvl w:ilvl="0">
      <w:lvlJc w:val="left"/>
      <w:lvlText w:val="(%1)"/>
      <w:numFmt w:val="lowerLetter"/>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lvl w:ilvl="1">
      <w:lvlJc w:val="left"/>
      <w:lvlText w:val="(%2)"/>
      <w:numFmt w:val="decimal"/>
      <w:start w:val="1"/>
    </w:lvl>
  </w:abstractNum>
  <w:abstractNum w:abstractNumId="52">
    <w:nsid w:val="94211F2"/>
    <w:multiLevelType w:val="hybridMultilevel"/>
    <w:lvl w:ilvl="0">
      <w:lvlJc w:val="left"/>
      <w:lvlText w:val="(%1)"/>
      <w:numFmt w:val="decimal"/>
      <w:start w:val="2"/>
    </w:lvl>
  </w:abstractNum>
  <w:abstractNum w:abstractNumId="53">
    <w:nsid w:val="885E1B"/>
    <w:multiLevelType w:val="hybridMultilevel"/>
    <w:lvl w:ilvl="0">
      <w:lvlJc w:val="left"/>
      <w:lvlText w:val="%1."/>
      <w:numFmt w:val="decimal"/>
      <w:start w:val="2"/>
    </w:lvl>
    <w:lvl w:ilvl="1">
      <w:lvlJc w:val="left"/>
      <w:lvlText w:val="(%2)"/>
      <w:numFmt w:val="decimal"/>
      <w:start w:val="1"/>
    </w:lvl>
  </w:abstractNum>
  <w:abstractNum w:abstractNumId="54">
    <w:nsid w:val="7627211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5">
    <w:nsid w:val="4C04A8AF"/>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56">
    <w:nsid w:val="1716703B"/>
    <w:multiLevelType w:val="hybridMultilevel"/>
    <w:lvl w:ilvl="0">
      <w:lvlJc w:val="left"/>
      <w:lvlText w:val="(%1)"/>
      <w:numFmt w:val="lowerLetter"/>
      <w:start w:val="5"/>
    </w:lvl>
    <w:lvl w:ilvl="1">
      <w:lvlJc w:val="left"/>
      <w:lvlText w:val="(%2)"/>
      <w:numFmt w:val="upperLetter"/>
      <w:start w:val="1"/>
    </w:lvl>
    <w:lvl w:ilvl="2">
      <w:lvlJc w:val="left"/>
      <w:lvlText w:val="(%3)"/>
      <w:numFmt w:val="decimal"/>
      <w:start w:val="1"/>
    </w:lvl>
  </w:abstractNum>
  <w:abstractNum w:abstractNumId="57">
    <w:nsid w:val="14E17E33"/>
    <w:multiLevelType w:val="hybridMultilevel"/>
    <w:lvl w:ilvl="0">
      <w:lvlJc w:val="left"/>
      <w:lvlText w:val="(%1)"/>
      <w:numFmt w:val="upperLetter"/>
      <w:start w:val="3"/>
    </w:lvl>
  </w:abstractNum>
  <w:abstractNum w:abstractNumId="58">
    <w:nsid w:val="3222E7CD"/>
    <w:multiLevelType w:val="hybridMultilevel"/>
    <w:lvl w:ilvl="0">
      <w:lvlJc w:val="left"/>
      <w:lvlText w:val="(%1)"/>
      <w:numFmt w:val="lowerLetter"/>
      <w:start w:val="6"/>
    </w:lvl>
  </w:abstractNum>
  <w:abstractNum w:abstractNumId="59">
    <w:nsid w:val="74DE0EE3"/>
    <w:multiLevelType w:val="hybridMultilevel"/>
    <w:lvl w:ilvl="0">
      <w:lvlJc w:val="left"/>
      <w:lvlText w:val="(%1)"/>
      <w:numFmt w:val="lowerLetter"/>
      <w:start w:val="7"/>
    </w:lvl>
  </w:abstractNum>
  <w:abstractNum w:abstractNumId="60">
    <w:nsid w:val="68EBC550"/>
    <w:multiLevelType w:val="hybridMultilevel"/>
    <w:lvl w:ilvl="0">
      <w:lvlJc w:val="left"/>
      <w:lvlText w:val="(%1)"/>
      <w:numFmt w:val="lowerLetter"/>
      <w:start w:val="8"/>
    </w:lvl>
    <w:lvl w:ilvl="1">
      <w:lvlJc w:val="left"/>
      <w:lvlText w:val="(%2)"/>
      <w:numFmt w:val="lowerRoman"/>
      <w:start w:val="1"/>
    </w:lvl>
  </w:abstractNum>
  <w:abstractNum w:abstractNumId="61">
    <w:nsid w:val="2DF6D648"/>
    <w:multiLevelType w:val="hybridMultilevel"/>
    <w:lvl w:ilvl="0">
      <w:lvlJc w:val="left"/>
      <w:lvlText w:val="(%1)"/>
      <w:numFmt w:val="lowerLetter"/>
      <w:start w:val="11"/>
    </w:lvl>
    <w:lvl w:ilvl="1">
      <w:lvlJc w:val="left"/>
      <w:lvlText w:val="(%2)"/>
      <w:numFmt w:val="lowerRoman"/>
      <w:start w:val="1"/>
    </w:lvl>
  </w:abstractNum>
  <w:abstractNum w:abstractNumId="62">
    <w:nsid w:val="46B7D447"/>
    <w:multiLevelType w:val="hybridMultilevel"/>
    <w:lvl w:ilvl="0">
      <w:lvlJc w:val="left"/>
      <w:lvlText w:val="(%1)"/>
      <w:numFmt w:val="lowerLetter"/>
      <w:start w:val="12"/>
    </w:lvl>
  </w:abstractNum>
  <w:abstractNum w:abstractNumId="63">
    <w:nsid w:val="4A2AC315"/>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4">
    <w:nsid w:val="39EE015C"/>
    <w:multiLevelType w:val="hybridMultilevel"/>
    <w:lvl w:ilvl="0">
      <w:lvlJc w:val="left"/>
      <w:lvlText w:val="%1."/>
      <w:numFmt w:val="decimal"/>
      <w:start w:val="6"/>
    </w:lvl>
    <w:lvl w:ilvl="1">
      <w:lvlJc w:val="left"/>
      <w:lvlText w:val="(%2)"/>
      <w:numFmt w:val="decimal"/>
      <w:start w:val="1"/>
    </w:lvl>
  </w:abstractNum>
  <w:abstractNum w:abstractNumId="65">
    <w:nsid w:val="57FC4FBB"/>
    <w:multiLevelType w:val="hybridMultilevel"/>
    <w:lvl w:ilvl="0">
      <w:lvlJc w:val="left"/>
      <w:lvlText w:val="(%1)"/>
      <w:numFmt w:val="decimal"/>
      <w:start w:val="5"/>
    </w:lvl>
    <w:lvl w:ilvl="1">
      <w:lvlJc w:val="left"/>
      <w:lvlText w:val="(%2)"/>
      <w:numFmt w:val="lowerLetter"/>
      <w:start w:val="1"/>
    </w:lvl>
  </w:abstractNum>
  <w:abstractNum w:abstractNumId="66">
    <w:nsid w:val="CC1016F"/>
    <w:multiLevelType w:val="hybridMultilevel"/>
    <w:lvl w:ilvl="0">
      <w:lvlJc w:val="left"/>
      <w:lvlText w:val="%1."/>
      <w:numFmt w:val="decimal"/>
      <w:start w:val="7"/>
    </w:lvl>
    <w:lvl w:ilvl="1">
      <w:lvlJc w:val="left"/>
      <w:lvlText w:val="(%2)"/>
      <w:numFmt w:val="decimal"/>
      <w:start w:val="1"/>
    </w:lvl>
  </w:abstractNum>
  <w:abstractNum w:abstractNumId="67">
    <w:nsid w:val="43F18422"/>
    <w:multiLevelType w:val="hybridMultilevel"/>
    <w:lvl w:ilvl="0">
      <w:lvlJc w:val="left"/>
      <w:lvlText w:val="(%1)"/>
      <w:numFmt w:val="lowerLetter"/>
      <w:start w:val="1"/>
    </w:lvl>
  </w:abstractNum>
  <w:abstractNum w:abstractNumId="68">
    <w:nsid w:val="60EF0119"/>
    <w:multiLevelType w:val="hybridMultilevel"/>
    <w:lvl w:ilvl="0">
      <w:lvlJc w:val="left"/>
      <w:lvlText w:val="(%1)"/>
      <w:numFmt w:val="lowerLetter"/>
      <w:start w:val="1"/>
    </w:lvl>
  </w:abstractNum>
  <w:abstractNum w:abstractNumId="69">
    <w:nsid w:val="26F324BA"/>
    <w:multiLevelType w:val="hybridMultilevel"/>
    <w:lvl w:ilvl="0">
      <w:lvlJc w:val="left"/>
      <w:lvlText w:val="(%1)"/>
      <w:numFmt w:val="decimal"/>
      <w:start w:val="3"/>
    </w:lvl>
  </w:abstractNum>
  <w:abstractNum w:abstractNumId="70">
    <w:nsid w:val="7F01579B"/>
    <w:multiLevelType w:val="hybridMultilevel"/>
    <w:lvl w:ilvl="0">
      <w:lvlJc w:val="left"/>
      <w:lvlText w:val="%1"/>
      <w:numFmt w:val="decimal"/>
      <w:start w:val="1"/>
    </w:lvl>
    <w:lvl w:ilvl="1">
      <w:lvlJc w:val="left"/>
      <w:lvlText w:val="(%2)"/>
      <w:numFmt w:val="decimal"/>
      <w:start w:val="4"/>
    </w:lvl>
  </w:abstractNum>
  <w:abstractNum w:abstractNumId="71">
    <w:nsid w:val="49DA307D"/>
    <w:multiLevelType w:val="hybridMultilevel"/>
    <w:lvl w:ilvl="0">
      <w:lvlJc w:val="left"/>
      <w:lvlText w:val="%1."/>
      <w:numFmt w:val="decimal"/>
      <w:start w:val="8"/>
    </w:lvl>
    <w:lvl w:ilvl="1">
      <w:lvlJc w:val="left"/>
      <w:lvlText w:val="%2"/>
      <w:numFmt w:val="decimal"/>
      <w:start w:val="1"/>
    </w:lvl>
  </w:abstractNum>
  <w:abstractNum w:abstractNumId="72">
    <w:nsid w:val="7055A5F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3">
    <w:nsid w:val="5FB8370B"/>
    <w:multiLevelType w:val="hybridMultilevel"/>
    <w:lvl w:ilvl="0">
      <w:lvlJc w:val="left"/>
      <w:lvlText w:val="%1"/>
      <w:numFmt w:val="decimal"/>
      <w:start w:val="1"/>
    </w:lvl>
    <w:lvl w:ilvl="1">
      <w:lvlJc w:val="left"/>
      <w:lvlText w:val="(%2)"/>
      <w:numFmt w:val="lowerLetter"/>
      <w:start w:val="2"/>
    </w:lvl>
  </w:abstractNum>
  <w:abstractNum w:abstractNumId="74">
    <w:nsid w:val="50801EE1"/>
    <w:multiLevelType w:val="hybridMultilevel"/>
    <w:lvl w:ilvl="0">
      <w:lvlJc w:val="left"/>
      <w:lvlText w:val="(%1)"/>
      <w:numFmt w:val="decimal"/>
      <w:start w:val="2"/>
    </w:lvl>
    <w:lvl w:ilvl="1">
      <w:lvlJc w:val="left"/>
      <w:lvlText w:val="%2"/>
      <w:numFmt w:val="lowerLetter"/>
      <w:start w:val="1"/>
    </w:lvl>
  </w:abstractNum>
  <w:abstractNum w:abstractNumId="75">
    <w:nsid w:val="488AC1A"/>
    <w:multiLevelType w:val="hybridMultilevel"/>
    <w:lvl w:ilvl="0">
      <w:lvlJc w:val="left"/>
      <w:lvlText w:val="(%1)"/>
      <w:numFmt w:val="decimal"/>
      <w:start w:val="4"/>
    </w:lvl>
  </w:abstractNum>
  <w:abstractNum w:abstractNumId="76">
    <w:nsid w:val="5FB8011C"/>
    <w:multiLevelType w:val="hybridMultilevel"/>
    <w:lvl w:ilvl="0">
      <w:lvlJc w:val="left"/>
      <w:lvlText w:val="(%1)"/>
      <w:numFmt w:val="upperLetter"/>
      <w:start w:val="2"/>
    </w:lvl>
    <w:lvl w:ilvl="1">
      <w:lvlJc w:val="left"/>
      <w:lvlText w:val="(%2)"/>
      <w:numFmt w:val="decimal"/>
      <w:start w:val="1"/>
    </w:lvl>
  </w:abstractNum>
  <w:abstractNum w:abstractNumId="77">
    <w:nsid w:val="6AA78F7F"/>
    <w:multiLevelType w:val="hybridMultilevel"/>
    <w:lvl w:ilvl="0">
      <w:lvlJc w:val="left"/>
      <w:lvlText w:val="%1."/>
      <w:numFmt w:val="decimal"/>
      <w:start w:val="9"/>
    </w:lvl>
    <w:lvl w:ilvl="1">
      <w:lvlJc w:val="left"/>
      <w:lvlText w:val="(%2)"/>
      <w:numFmt w:val="lowerLetter"/>
      <w:start w:val="1"/>
    </w:lvl>
  </w:abstractNum>
  <w:abstractNum w:abstractNumId="78">
    <w:nsid w:val="7672BD23"/>
    <w:multiLevelType w:val="hybridMultilevel"/>
    <w:lvl w:ilvl="0">
      <w:lvlJc w:val="left"/>
      <w:lvlText w:val="(%1)"/>
      <w:numFmt w:val="lowerLetter"/>
      <w:start w:val="4"/>
    </w:lvl>
    <w:lvl w:ilvl="1">
      <w:lvlJc w:val="left"/>
      <w:lvlText w:val="(%2)"/>
      <w:numFmt w:val="lowerRoman"/>
      <w:start w:val="1"/>
    </w:lvl>
  </w:abstractNum>
  <w:abstractNum w:abstractNumId="79">
    <w:nsid w:val="6FC75AF8"/>
    <w:multiLevelType w:val="hybridMultilevel"/>
    <w:lvl w:ilvl="0">
      <w:lvlJc w:val="left"/>
      <w:lvlText w:val="%1"/>
      <w:numFmt w:val="lowerLetter"/>
      <w:start w:val="1"/>
    </w:lvl>
    <w:lvl w:ilvl="1">
      <w:lvlJc w:val="left"/>
      <w:lvlText w:val="(%2)"/>
      <w:numFmt w:val="lowerLetter"/>
      <w:start w:val="61"/>
    </w:lvl>
  </w:abstractNum>
  <w:abstractNum w:abstractNumId="80">
    <w:nsid w:val="6A5F7029"/>
    <w:multiLevelType w:val="hybridMultilevel"/>
    <w:lvl w:ilvl="0">
      <w:lvlJc w:val="left"/>
      <w:lvlText w:val="(%1)"/>
      <w:numFmt w:val="lowerLetter"/>
      <w:start w:val="7"/>
    </w:lvl>
    <w:lvl w:ilvl="1">
      <w:lvlJc w:val="left"/>
      <w:lvlText w:val="%2"/>
      <w:numFmt w:val="lowerLetter"/>
      <w:start w:val="1"/>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2"/>
    </w:lvl>
  </w:abstractNum>
  <w:abstractNum w:abstractNumId="84">
    <w:nsid w:val="7DE67713"/>
    <w:multiLevelType w:val="hybridMultilevel"/>
    <w:lvl w:ilvl="0">
      <w:lvlJc w:val="left"/>
      <w:lvlText w:val="%1"/>
      <w:numFmt w:val="decimal"/>
      <w:start w:val="1"/>
    </w:lvl>
    <w:lvl w:ilvl="1">
      <w:lvlJc w:val="left"/>
      <w:lvlText w:val="(%2)"/>
      <w:numFmt w:val="lowerLetter"/>
      <w:start w:val="24"/>
    </w:lvl>
  </w:abstractNum>
  <w:abstractNum w:abstractNumId="85">
    <w:nsid w:val="555C55B5"/>
    <w:multiLevelType w:val="hybridMultilevel"/>
    <w:lvl w:ilvl="0">
      <w:lvlJc w:val="left"/>
      <w:lvlText w:val="%1."/>
      <w:numFmt w:val="decimal"/>
      <w:start w:val="11"/>
    </w:lvl>
    <w:lvl w:ilvl="1">
      <w:lvlJc w:val="left"/>
      <w:lvlText w:val="%2"/>
      <w:numFmt w:val="lowerLetter"/>
      <w:start w:val="1"/>
    </w:lvl>
  </w:abstractNum>
  <w:abstractNum w:abstractNumId="86">
    <w:nsid w:val="3FA62ACA"/>
    <w:multiLevelType w:val="hybridMultilevel"/>
    <w:lvl w:ilvl="0">
      <w:lvlJc w:val="left"/>
      <w:lvlText w:val="(%1)"/>
      <w:numFmt w:val="decimal"/>
      <w:start w:val="1"/>
    </w:lvl>
    <w:lvl w:ilvl="1">
      <w:lvlJc w:val="left"/>
      <w:lvlText w:val="(%2)"/>
      <w:numFmt w:val="lowerLetter"/>
      <w:start w:val="1"/>
    </w:lvl>
  </w:abstractNum>
  <w:abstractNum w:abstractNumId="87">
    <w:nsid w:val="14FCE74E"/>
    <w:multiLevelType w:val="hybridMultilevel"/>
    <w:lvl w:ilvl="0">
      <w:lvlJc w:val="left"/>
      <w:lvlText w:val="(%1)"/>
      <w:numFmt w:val="lowerLetter"/>
      <w:start w:val="2"/>
    </w:lvl>
  </w:abstractNum>
  <w:abstractNum w:abstractNumId="88">
    <w:nsid w:val="6A3DD3E8"/>
    <w:multiLevelType w:val="hybridMultilevel"/>
    <w:lvl w:ilvl="0">
      <w:lvlJc w:val="left"/>
      <w:lvlText w:val="(%1)"/>
      <w:numFmt w:val="decimal"/>
      <w:start w:val="2"/>
    </w:lvl>
    <w:lvl w:ilvl="1">
      <w:lvlJc w:val="left"/>
      <w:lvlText w:val="(%2)"/>
      <w:numFmt w:val="lowerLetter"/>
      <w:start w:val="1"/>
    </w:lvl>
  </w:abstractNum>
  <w:abstractNum w:abstractNumId="89">
    <w:nsid w:val="71C91298"/>
    <w:multiLevelType w:val="hybridMultilevel"/>
    <w:lvl w:ilvl="0">
      <w:lvlJc w:val="left"/>
      <w:lvlText w:val="(%1)"/>
      <w:numFmt w:val="lowerLetter"/>
      <w:start w:val="3"/>
    </w:lvl>
  </w:abstractNum>
  <w:abstractNum w:abstractNumId="90">
    <w:nsid w:val="9DAF632"/>
    <w:multiLevelType w:val="hybridMultilevel"/>
    <w:lvl w:ilvl="0">
      <w:lvlJc w:val="left"/>
      <w:lvlText w:val="%1."/>
      <w:numFmt w:val="decimal"/>
      <w:start w:val="14"/>
    </w:lvl>
  </w:abstractNum>
  <w:abstractNum w:abstractNumId="91">
    <w:nsid w:val="53299938"/>
    <w:multiLevelType w:val="hybridMultilevel"/>
    <w:lvl w:ilvl="0">
      <w:lvlJc w:val="left"/>
      <w:lvlText w:val="%1."/>
      <w:numFmt w:val="decimal"/>
      <w:start w:val="16"/>
    </w:lvl>
    <w:lvl w:ilvl="1">
      <w:lvlJc w:val="left"/>
      <w:lvlText w:val="(%2)"/>
      <w:numFmt w:val="decimal"/>
      <w:start w:val="1"/>
    </w:lvl>
  </w:abstractNum>
  <w:abstractNum w:abstractNumId="92">
    <w:nsid w:val="1FBFE8E0"/>
    <w:multiLevelType w:val="hybridMultilevel"/>
    <w:lvl w:ilvl="0">
      <w:lvlJc w:val="left"/>
      <w:lvlText w:val="(%1)"/>
      <w:numFmt w:val="decimal"/>
      <w:start w:val="4"/>
    </w:lvl>
  </w:abstractNum>
  <w:abstractNum w:abstractNumId="93">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lowerLetter"/>
      <w:start w:val="1"/>
    </w:lvl>
  </w:abstractNum>
  <w:abstractNum w:abstractNumId="96">
    <w:nsid w:val="288F1A34"/>
    <w:multiLevelType w:val="hybridMultilevel"/>
    <w:lvl w:ilvl="0">
      <w:lvlJc w:val="left"/>
      <w:lvlText w:val="(%1)"/>
      <w:numFmt w:val="lowerLetter"/>
      <w:start w:val="1"/>
    </w:lvl>
  </w:abstractNum>
  <w:abstractNum w:abstractNumId="97">
    <w:nsid w:val="2A155DBC"/>
    <w:multiLevelType w:val="hybridMultilevel"/>
    <w:lvl w:ilvl="0">
      <w:lvlJc w:val="left"/>
      <w:lvlText w:val="(%1)"/>
      <w:numFmt w:val="lowerLetter"/>
      <w:start w:val="1"/>
    </w:lvl>
    <w:lvl w:ilvl="1">
      <w:lvlJc w:val="left"/>
      <w:lvlText w:val="(%2)"/>
      <w:numFmt w:val="lowerLetter"/>
      <w:start w:val="9"/>
    </w:lvl>
  </w:abstractNum>
  <w:abstractNum w:abstractNumId="98">
    <w:nsid w:val="1D9F6E5F"/>
    <w:multiLevelType w:val="hybridMultilevel"/>
    <w:lvl w:ilvl="0">
      <w:lvlJc w:val="left"/>
      <w:lvlText w:val="%1"/>
      <w:numFmt w:val="lowerLetter"/>
      <w:start w:val="1"/>
    </w:lvl>
    <w:lvl w:ilvl="1">
      <w:lvlJc w:val="left"/>
      <w:lvlText w:val="(%2)"/>
      <w:numFmt w:val="lowerLetter"/>
      <w:start w:val="35"/>
    </w:lvl>
  </w:abstractNum>
  <w:abstractNum w:abstractNumId="99">
    <w:nsid w:val="97E1B4E"/>
    <w:multiLevelType w:val="hybridMultilevel"/>
    <w:lvl w:ilvl="0">
      <w:lvlJc w:val="left"/>
      <w:lvlText w:val="(%1)"/>
      <w:numFmt w:val="lowerLetter"/>
      <w:start w:val="2"/>
    </w:lvl>
    <w:lvl w:ilvl="1">
      <w:lvlJc w:val="left"/>
      <w:lvlText w:val="%2"/>
      <w:numFmt w:val="lowerLetter"/>
      <w:start w:val="1"/>
    </w:lvl>
  </w:abstractNum>
  <w:abstractNum w:abstractNumId="100">
    <w:nsid w:val="51088277"/>
    <w:multiLevelType w:val="hybridMultilevel"/>
    <w:lvl w:ilvl="0">
      <w:lvlJc w:val="left"/>
      <w:lvlText w:val="%1."/>
      <w:numFmt w:val="decimal"/>
      <w:start w:val="2"/>
    </w:lvl>
  </w:abstractNum>
  <w:abstractNum w:abstractNumId="101">
    <w:nsid w:val="1CA0C5FA"/>
    <w:multiLevelType w:val="hybridMultilevel"/>
    <w:lvl w:ilvl="0">
      <w:lvlJc w:val="left"/>
      <w:lvlText w:val="%1."/>
      <w:numFmt w:val="decimal"/>
      <w:start w:val="3"/>
    </w:lvl>
  </w:abstractNum>
  <w:abstractNum w:abstractNumId="102">
    <w:nsid w:val="53584BCB"/>
    <w:multiLevelType w:val="hybridMultilevel"/>
    <w:lvl w:ilvl="0">
      <w:lvlJc w:val="left"/>
      <w:lvlText w:val="(%1)"/>
      <w:numFmt w:val="upperLetter"/>
      <w:start w:val="2"/>
    </w:lvl>
  </w:abstractNum>
  <w:abstractNum w:abstractNumId="103">
    <w:nsid w:val="415E286C"/>
    <w:multiLevelType w:val="hybridMultilevel"/>
    <w:lvl w:ilvl="0">
      <w:lvlJc w:val="left"/>
      <w:lvlText w:val="(%1)"/>
      <w:numFmt w:val="upperLetter"/>
      <w:start w:val="3"/>
    </w:lvl>
    <w:lvl w:ilvl="1">
      <w:lvlJc w:val="left"/>
      <w:lvlText w:val="(%2)"/>
      <w:numFmt w:val="lowerRoman"/>
      <w:start w:val="1"/>
    </w:lvl>
  </w:abstractNum>
  <w:abstractNum w:abstractNumId="104">
    <w:nsid w:val="7C58FD05"/>
    <w:multiLevelType w:val="hybridMultilevel"/>
    <w:lvl w:ilvl="0">
      <w:lvlJc w:val="left"/>
      <w:lvlText w:val="%1."/>
      <w:numFmt w:val="decimal"/>
      <w:start w:val="4"/>
    </w:lvl>
  </w:abstractNum>
  <w:abstractNum w:abstractNumId="105">
    <w:nsid w:val="23D86AAC"/>
    <w:multiLevelType w:val="hybridMultilevel"/>
    <w:lvl w:ilvl="0">
      <w:lvlJc w:val="left"/>
      <w:lvlText w:val="%1."/>
      <w:numFmt w:val="decimal"/>
      <w:start w:val="5"/>
    </w:lvl>
    <w:lvl w:ilvl="1">
      <w:lvlJc w:val="left"/>
      <w:lvlText w:val="(%2)"/>
      <w:numFmt w:val="lowerLetter"/>
      <w:start w:val="1"/>
    </w:lvl>
  </w:abstractNum>
  <w:abstractNum w:abstractNumId="106">
    <w:nsid w:val="45E6D486"/>
    <w:multiLevelType w:val="hybridMultilevel"/>
    <w:lvl w:ilvl="0">
      <w:lvlJc w:val="left"/>
      <w:lvlText w:val="(%1)"/>
      <w:numFmt w:val="lowerLetter"/>
      <w:start w:val="4"/>
    </w:lvl>
  </w:abstractNum>
  <w:abstractNum w:abstractNumId="107">
    <w:nsid w:val="5C10FE21"/>
    <w:multiLevelType w:val="hybridMultilevel"/>
    <w:lvl w:ilvl="0">
      <w:lvlJc w:val="left"/>
      <w:lvlText w:val="%1."/>
      <w:numFmt w:val="decimal"/>
      <w:start w:val="8"/>
    </w:lvl>
  </w:abstractNum>
  <w:abstractNum w:abstractNumId="108">
    <w:nsid w:val="E7FFA2B"/>
    <w:multiLevelType w:val="hybridMultilevel"/>
    <w:lvl w:ilvl="0">
      <w:lvlJc w:val="left"/>
      <w:lvlText w:val="%1."/>
      <w:numFmt w:val="decimal"/>
      <w:start w:val="11"/>
    </w:lvl>
    <w:lvl w:ilvl="1">
      <w:lvlJc w:val="left"/>
      <w:lvlText w:val="(%2)"/>
      <w:numFmt w:val="lowerLetter"/>
      <w:start w:val="1"/>
    </w:lvl>
  </w:abstractNum>
  <w:abstractNum w:abstractNumId="109">
    <w:nsid w:val="3C5991AA"/>
    <w:multiLevelType w:val="hybridMultilevel"/>
    <w:lvl w:ilvl="0">
      <w:lvlJc w:val="left"/>
      <w:lvlText w:val="%1."/>
      <w:numFmt w:val="decimal"/>
      <w:start w:val="18"/>
    </w:lvl>
    <w:lvl w:ilvl="1">
      <w:lvlJc w:val="left"/>
      <w:lvlText w:val="(%2)"/>
      <w:numFmt w:val="lowerLetter"/>
      <w:start w:val="1"/>
    </w:lvl>
  </w:abstractNum>
  <w:abstractNum w:abstractNumId="110">
    <w:nsid w:val="4BD8591A"/>
    <w:multiLevelType w:val="hybridMultilevel"/>
    <w:lvl w:ilvl="0">
      <w:lvlJc w:val="left"/>
      <w:lvlText w:val="%1."/>
      <w:numFmt w:val="decimal"/>
      <w:start w:val="21"/>
    </w:lvl>
  </w:abstractNum>
  <w:abstractNum w:abstractNumId="111">
    <w:nsid w:val="78DF6A55"/>
    <w:multiLevelType w:val="hybridMultilevel"/>
    <w:lvl w:ilvl="0">
      <w:lvlJc w:val="left"/>
      <w:lvlText w:val="%1."/>
      <w:numFmt w:val="decimal"/>
      <w:start w:val="1"/>
    </w:lvl>
  </w:abstractNum>
  <w:abstractNum w:abstractNumId="112">
    <w:nsid w:val="39B7AAA2"/>
    <w:multiLevelType w:val="hybridMultilevel"/>
    <w:lvl w:ilvl="0">
      <w:lvlJc w:val="left"/>
      <w:lvlText w:val="%1."/>
      <w:numFmt w:val="decimal"/>
      <w:start w:val="10"/>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15">
    <w:nsid w:val="379E21B5"/>
    <w:multiLevelType w:val="hybridMultilevel"/>
    <w:lvl w:ilvl="0">
      <w:lvlJc w:val="left"/>
      <w:lvlText w:val="%1"/>
      <w:numFmt w:val="decimal"/>
      <w:start w:val="1"/>
    </w:lvl>
    <w:lvl w:ilvl="1">
      <w:lvlJc w:val="left"/>
      <w:lvlText w:val="(%2)"/>
      <w:numFmt w:val="decimal"/>
      <w:start w:val="3"/>
    </w:lvl>
  </w:abstractNum>
  <w:abstractNum w:abstractNumId="116">
    <w:nsid w:val="69E373"/>
    <w:multiLevelType w:val="hybridMultilevel"/>
    <w:lvl w:ilvl="0">
      <w:lvlJc w:val="left"/>
      <w:lvlText w:val="%1."/>
      <w:numFmt w:val="decimal"/>
      <w:start w:val="6"/>
    </w:lvl>
    <w:lvl w:ilvl="1">
      <w:lvlJc w:val="left"/>
      <w:lvlText w:val="%2"/>
      <w:numFmt w:val="decimal"/>
      <w:start w:val="1"/>
    </w:lvl>
  </w:abstractNum>
  <w:abstractNum w:abstractNumId="117">
    <w:nsid w:val="2C27173B"/>
    <w:multiLevelType w:val="hybridMultilevel"/>
    <w:lvl w:ilvl="0">
      <w:lvlJc w:val="left"/>
      <w:lvlText w:val="%1."/>
      <w:numFmt w:val="decimal"/>
      <w:start w:val="7"/>
    </w:lvl>
  </w:abstractNum>
  <w:abstractNum w:abstractNumId="118">
    <w:nsid w:val="4C9B090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2026-06-15T16:18:22Z</dcterms:created>
  <dcterms:modified xsi:type="dcterms:W3CDTF">2026-06-15T16:18:22Z</dcterms:modified>
</cp:coreProperties>
</file>