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jc w:val="left"/>
        <w:rPr>
          <w:bdr w:val="single" w:sz="16" w:space="1" w:color="000000"/>
        </w:rPr>
      </w:pPr>
      <w:bookmarkStart w:id="0" w:name="tm2625467d1_8k.htm"/>
      <w:bookmarkStart w:id="1" w:name="kstm2625467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SIMON PROPERTY GROUP, 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2795"/>
        <w:gridCol w:w="60"/>
        <w:gridCol w:w="2615"/>
        <w:gridCol w:w="60"/>
        <w:gridCol w:w="2840"/>
      </w:tblGrid>
      <w:tr>
        <w:trPr/>
        <w:tc>
          <w:tcPr>
            <w:tcW w:w="2795" w:type="dxa"/>
            <w:tcBorders/>
            <w:vAlign w:val="center"/>
          </w:tcPr>
          <w:p>
            <w:pPr>
              <w:pStyle w:val="TableContents"/>
              <w:bidi w:val="0"/>
              <w:spacing w:before="0" w:after="283"/>
              <w:jc w:val="center"/>
              <w:rPr>
                <w:b/>
              </w:rPr>
            </w:pPr>
            <w:bookmarkStart w:id="5" w:name="xdx_905_edei--EntityIncorporationStateCo"/>
            <w:bookmarkEnd w:id="5"/>
            <w:r>
              <w:rPr>
                <w:b/>
              </w:rPr>
              <w:t>Indiana</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rPr>
            </w:pPr>
            <w:bookmarkStart w:id="6" w:name="xdx_90D_edei--EntityFileNumber_c20260909"/>
            <w:bookmarkEnd w:id="6"/>
            <w:r>
              <w:rPr>
                <w:b/>
              </w:rPr>
              <w:t>001-36110</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b/>
              </w:rPr>
            </w:pPr>
            <w:bookmarkStart w:id="7" w:name="xdx_909_edei--EntityTaxIdentificationNum"/>
            <w:bookmarkEnd w:id="7"/>
            <w:r>
              <w:rPr>
                <w:b/>
              </w:rPr>
              <w:t>34-1755769</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No.)</w:t>
            </w:r>
          </w:p>
        </w:tc>
      </w:tr>
    </w:tbl>
    <w:p>
      <w:pPr>
        <w:pStyle w:val="TextBody"/>
        <w:bidi w:val="0"/>
        <w:spacing w:before="0" w:after="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3965"/>
        <w:gridCol w:w="60"/>
        <w:gridCol w:w="1085"/>
      </w:tblGrid>
      <w:tr>
        <w:trPr/>
        <w:tc>
          <w:tcPr>
            <w:tcW w:w="3965" w:type="dxa"/>
            <w:tcBorders/>
            <w:vAlign w:val="center"/>
          </w:tcPr>
          <w:p>
            <w:pPr>
              <w:pStyle w:val="TableContents"/>
              <w:bidi w:val="0"/>
              <w:spacing w:before="0" w:after="283"/>
              <w:jc w:val="center"/>
              <w:rPr>
                <w:b/>
                <w:caps/>
              </w:rPr>
            </w:pPr>
            <w:bookmarkStart w:id="8" w:name="xdx_90B_edei--EntityAddressAddressLine1_"/>
            <w:bookmarkEnd w:id="8"/>
            <w:r>
              <w:rPr>
                <w:b/>
                <w:caps/>
              </w:rPr>
              <w:t>225 WEST WASHINGTON STREET</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b/>
                <w:caps/>
              </w:rPr>
            </w:pPr>
            <w:bookmarkStart w:id="9" w:name="xdx_903_edei--EntityAddressCityOrTown_c2"/>
            <w:bookmarkEnd w:id="9"/>
            <w:r>
              <w:rPr>
                <w:b/>
                <w:caps/>
              </w:rPr>
              <w:t xml:space="preserve">INDIANAPOLIS, </w:t>
            </w:r>
            <w:bookmarkStart w:id="10" w:name="xdx_900_edei--EntityAddressStateOrProvin"/>
            <w:bookmarkEnd w:id="10"/>
            <w:r>
              <w:rPr>
                <w:b/>
                <w:caps/>
              </w:rPr>
              <w:t>Indiana</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b/>
              </w:rPr>
            </w:pPr>
            <w:bookmarkStart w:id="11" w:name="xdx_900_edei--EntityAddressPostalZipCode"/>
            <w:bookmarkEnd w:id="11"/>
            <w:r>
              <w:rPr>
                <w:b/>
              </w:rPr>
              <w:t>46204</w:t>
            </w:r>
          </w:p>
        </w:tc>
      </w:tr>
      <w:tr>
        <w:trPr/>
        <w:tc>
          <w:tcPr>
            <w:tcW w:w="3965" w:type="dxa"/>
            <w:tcBorders/>
            <w:vAlign w:val="center"/>
          </w:tcPr>
          <w:p>
            <w:pPr>
              <w:pStyle w:val="TableContents"/>
              <w:bidi w:val="0"/>
              <w:spacing w:before="0" w:after="283"/>
              <w:jc w:val="center"/>
              <w:rPr>
                <w:caps w:val="false"/>
                <w:smallCaps w:val="false"/>
              </w:rPr>
            </w:pPr>
            <w:r>
              <w:rPr>
                <w:caps w:val="false"/>
                <w:smallCaps w:val="false"/>
              </w:rPr>
              <w:t>(Address Of Principal Executive Offices)</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2_edei--CityAreaCode_c20260909__20"/>
      <w:bookmarkEnd w:id="12"/>
      <w:r>
        <w:rPr>
          <w:rFonts w:ascii="Times New Roman;Times;Serif" w:hAnsi="Times New Roman;Times;Serif"/>
          <w:b/>
          <w:i w:val="false"/>
          <w:caps w:val="false"/>
          <w:smallCaps w:val="false"/>
          <w:sz w:val="20"/>
        </w:rPr>
        <w:t>317.</w:t>
      </w:r>
      <w:bookmarkStart w:id="13" w:name="xdx_901_edei--LocalPhoneNumber_c20260909"/>
      <w:bookmarkEnd w:id="13"/>
      <w:r>
        <w:rPr>
          <w:rFonts w:ascii="Times New Roman;Times;Serif" w:hAnsi="Times New Roman;Times;Serif"/>
          <w:b/>
          <w:i w:val="false"/>
          <w:caps w:val="false"/>
          <w:smallCaps w:val="false"/>
          <w:sz w:val="20"/>
        </w:rPr>
        <w:t>636.1600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305"/>
        <w:gridCol w:w="7295"/>
      </w:tblGrid>
      <w:tr>
        <w:trPr/>
        <w:tc>
          <w:tcPr>
            <w:tcW w:w="305" w:type="dxa"/>
            <w:tcBorders/>
            <w:vAlign w:val="center"/>
          </w:tcPr>
          <w:p>
            <w:pPr>
              <w:pStyle w:val="TableContents"/>
              <w:bidi w:val="0"/>
              <w:spacing w:before="0" w:after="283"/>
              <w:jc w:val="left"/>
              <w:rPr/>
            </w:pPr>
            <w:bookmarkStart w:id="14" w:name="xdx_905_edei--WrittenCommunications_c202"/>
            <w:bookmarkEnd w:id="14"/>
            <w:r>
              <w:rPr/>
              <w:t>☐ </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305"/>
        <w:gridCol w:w="7325"/>
      </w:tblGrid>
      <w:tr>
        <w:trPr/>
        <w:tc>
          <w:tcPr>
            <w:tcW w:w="305" w:type="dxa"/>
            <w:tcBorders/>
            <w:vAlign w:val="center"/>
          </w:tcPr>
          <w:p>
            <w:pPr>
              <w:pStyle w:val="TableContents"/>
              <w:bidi w:val="0"/>
              <w:spacing w:before="0" w:after="283"/>
              <w:jc w:val="left"/>
              <w:rPr/>
            </w:pPr>
            <w:bookmarkStart w:id="15" w:name="xdx_90C_edei--SolicitingMaterial_c202609"/>
            <w:bookmarkEnd w:id="15"/>
            <w:r>
              <w:rPr/>
              <w:t>☐ </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bookmarkStart w:id="16" w:name="xdx_90A_edei--PreCommencementTenderOffer"/>
            <w:bookmarkEnd w:id="16"/>
            <w:r>
              <w:rPr/>
              <w:t>☐ </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305"/>
        <w:gridCol w:w="9005"/>
      </w:tblGrid>
      <w:tr>
        <w:trPr/>
        <w:tc>
          <w:tcPr>
            <w:tcW w:w="305" w:type="dxa"/>
            <w:tcBorders/>
            <w:vAlign w:val="center"/>
          </w:tcPr>
          <w:p>
            <w:pPr>
              <w:pStyle w:val="TableContents"/>
              <w:bidi w:val="0"/>
              <w:spacing w:before="0" w:after="283"/>
              <w:jc w:val="left"/>
              <w:rPr/>
            </w:pPr>
            <w:bookmarkStart w:id="17" w:name="xdx_90C_edei--PreCommencementIssuerTende"/>
            <w:bookmarkEnd w:id="17"/>
            <w:r>
              <w:rPr/>
              <w:t>☐ </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730"/>
        <w:gridCol w:w="60"/>
        <w:gridCol w:w="1805"/>
        <w:gridCol w:w="60"/>
        <w:gridCol w:w="3320"/>
      </w:tblGrid>
      <w:tr>
        <w:trPr/>
        <w:tc>
          <w:tcPr>
            <w:tcW w:w="1730" w:type="dxa"/>
            <w:tcBorders>
              <w:bottom w:val="single" w:sz="8"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8"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left"/>
              <w:rPr/>
            </w:pPr>
            <w:r>
              <w:rPr/>
              <w:t> </w:t>
            </w:r>
          </w:p>
        </w:tc>
        <w:tc>
          <w:tcPr>
            <w:tcW w:w="3320" w:type="dxa"/>
            <w:tcBorders>
              <w:bottom w:val="single" w:sz="8" w:space="0" w:color="000000"/>
            </w:tcBorders>
            <w:vAlign w:val="center"/>
          </w:tcPr>
          <w:p>
            <w:pPr>
              <w:pStyle w:val="TableContents"/>
              <w:bidi w:val="0"/>
              <w:spacing w:before="0" w:after="283"/>
              <w:jc w:val="center"/>
              <w:rPr/>
            </w:pPr>
            <w:r>
              <w:rPr/>
              <w:t xml:space="preserve">Name of each exchange on which </w:t>
              <w:br/>
              <w:t>registered</w:t>
            </w:r>
          </w:p>
        </w:tc>
      </w:tr>
      <w:tr>
        <w:trPr/>
        <w:tc>
          <w:tcPr>
            <w:tcW w:w="1730" w:type="dxa"/>
            <w:tcBorders/>
            <w:tcMar>
              <w:bottom w:w="0" w:type="dxa"/>
            </w:tcMar>
            <w:vAlign w:val="center"/>
          </w:tcPr>
          <w:p>
            <w:pPr>
              <w:pStyle w:val="TableContents"/>
              <w:bidi w:val="0"/>
              <w:spacing w:before="0" w:after="283"/>
              <w:jc w:val="center"/>
              <w:rPr>
                <w:b/>
              </w:rPr>
            </w:pPr>
            <w:r>
              <w:rPr>
                <w:b/>
              </w:rPr>
              <w:t>None</w:t>
            </w:r>
          </w:p>
        </w:tc>
        <w:tc>
          <w:tcPr>
            <w:tcW w:w="6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center"/>
              <w:rPr>
                <w:b/>
              </w:rPr>
            </w:pPr>
            <w:r>
              <w:rPr>
                <w:b/>
              </w:rPr>
              <w:t>None</w:t>
            </w:r>
          </w:p>
        </w:tc>
        <w:tc>
          <w:tcPr>
            <w:tcW w:w="60" w:type="dxa"/>
            <w:tcBorders/>
            <w:tcMar>
              <w:bottom w:w="0" w:type="dxa"/>
            </w:tcMar>
            <w:vAlign w:val="center"/>
          </w:tcPr>
          <w:p>
            <w:pPr>
              <w:pStyle w:val="TableContents"/>
              <w:bidi w:val="0"/>
              <w:spacing w:before="0" w:after="283"/>
              <w:jc w:val="left"/>
              <w:rPr/>
            </w:pPr>
            <w:r>
              <w:rPr/>
              <w:t> </w:t>
            </w:r>
          </w:p>
        </w:tc>
        <w:tc>
          <w:tcPr>
            <w:tcW w:w="3320" w:type="dxa"/>
            <w:tcBorders/>
            <w:tcMar>
              <w:bottom w:w="0" w:type="dxa"/>
            </w:tcMar>
            <w:vAlign w:val="center"/>
          </w:tcPr>
          <w:p>
            <w:pPr>
              <w:pStyle w:val="TableContents"/>
              <w:bidi w:val="0"/>
              <w:spacing w:before="0" w:after="283"/>
              <w:jc w:val="center"/>
              <w:rPr>
                <w:b/>
              </w:rPr>
            </w:pPr>
            <w:r>
              <w:rPr>
                <w:b/>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E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274" w:right="274"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Simon Property Group, L.P. (the “Operating Partnership”) entered into an underwriting agreement (the “Underwriting Agreement”) with J.P. Morgan Securities LLC, Mizuho Securities USA LLC, PNC Capital Markets LLC and Wells Fargo Securities, LLC, as representatives of the underwriters named therein (collectively, the “Underwriters”), in connection with the public offering of $400,000,000 aggregate principal amount of the Operating Partnership’s 5.250% notes due 2032 (the “2032 Notes”) and $400,000,000 aggregate principal amount of the Operating Partnership’s 5.650% notes due 2036 (the “2036 Notes” and, together with the 2032 Notes, the “Notes”). The Underwriting Agreement contains representations, warranties and covenants that are customary for transactions of this type. In addition, the Operating Partnership has agreed to indemnify the Underwriters against certain liabilities on customary terms. The Underwriters have performed, and expect in the future to perform, investment banking and advisory services for which they have received, and may continue to receive, customary fees and expenses, and affiliates of the Underwriters have performed, and expect in the future to perform, commercial lending services, for the Operating Partnership and its affiliates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on September 16, 2026 pursuant to the Operating Partnership’s Indenture (the “Base Indenture”), dated as of November 26, 1996, between the Operating Partnership and The Bank of New York Mellon Trust Company, N.A. (as successor to The Chase Manhattan Bank), as trustee (the “Trustee”), as amended and supplemented by the Forty-Ninth Supplemental Indenture, dated as of September 16, 2026 (the “Forty-Ninth Supplemental Indenture” and, together with the Base Indenture, the “Indenture”), between the Operating Partnership and the Trustee, setting forth the terms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2032 Notes bear interest at a rate of 5.250% per annum and mature on February 15, 2032. The 2036 Notes bear interest at a rate of 5.650% per annum and mature on October 1, 2036. Interest on the 2032 Notes is payable semi-annually in arrears on February 15 and August 15, beginning February 15, 2027, and interest on the 2036 Notes is payable semi-annually in arrears on April 1 and October 1, beginning April 1, 2027 (each, an “Interest Payment Date” with respect to the applicable series of Notes). Interest will be paid to holders of record of the Notes at the close of business on the fifteenth calendar day preceding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may redeem the Notes of any series at its option at any time, in whole or from time to time in part, on not less than 10 and not more than 60 days’ prior written notice mailed to the holders of the Notes to be redeemed. The Notes of each series will be redeemable at a price equal to the principal amount of such Notes being redeemed, plus unpaid interest accrued to, but not including, the date of redemption and a “make-whole” premium calculated under the Forty-Ninth Supplemental Indenture with respect to such series of Notes (unless the 2032 Notes are redeemed on or after January 15, 2032, or the 2036 Notes are redeemed on or after July 1, 2036, in which case no “make-whole” premium will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subject to customary events of default, including, among other things, nonpayment, failure to comply with the other agreements in the Indenture for a period of 90 days after notice, and certain events of bankruptcy, insolvency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are qualified in their entirety by the Underwriting Agreement and the Forty-Ninth Supplemental Indenture (including the forms of notes attached thereto) which are filed as Exhibits 1.1 and 4.1, respectively, to this Current Report on Form 8-K and are incorporated by reference herein. The Form of 2032 Notes is filed as Exhibit 4.2 and the Form of 2036 Notes is filed as Exhibit 4.3 to this Current Report on Form 8-K, and each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0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hyperlink w:anchor="tm2625467d1_ex1-1.htm">
              <w:r>
                <w:rPr>
                  <w:rStyle w:val="InternetLink"/>
                  <w:rFonts w:ascii="Times New Roman;Times;Serif" w:hAnsi="Times New Roman;Times;Serif"/>
                  <w:sz w:val="20"/>
                </w:rPr>
                <w:t>Exhibit 1.1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5467d1_ex1-1.htm">
              <w:r>
                <w:rPr>
                  <w:rStyle w:val="InternetLink"/>
                  <w:rFonts w:ascii="Times New Roman;Times;Serif" w:hAnsi="Times New Roman;Times;Serif"/>
                  <w:sz w:val="20"/>
                </w:rPr>
                <w:t>Underwriting Agreement, dated September 9, 2026, among Simon Property Group, L.P. and J.P. Morgan Securities LLC, Mizuho Securities USA LLC, PNC Capital Markets LLC and Wells Fargo Securities, LLC, as representatives of the underwriters named therein.</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5467d1_ex4-1.htm">
              <w:r>
                <w:rPr>
                  <w:rStyle w:val="InternetLink"/>
                  <w:rFonts w:ascii="Times New Roman;Times;Serif" w:hAnsi="Times New Roman;Times;Serif"/>
                  <w:sz w:val="20"/>
                </w:rPr>
                <w:t>Exhibit 4.1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5467d1_ex4-1.htm">
              <w:r>
                <w:rPr>
                  <w:rStyle w:val="InternetLink"/>
                  <w:rFonts w:ascii="Times New Roman;Times;Serif" w:hAnsi="Times New Roman;Times;Serif"/>
                  <w:sz w:val="20"/>
                </w:rPr>
                <w:t>Forty-Ninth Supplemental Indenture, dated as of September 16, 2026, to the Indenture dated as of November 26, 1996, between Simon Property Group, L.P. and The Bank of New York Mellon Trust Company, N.A. (as successor to The Chase Manhattan Bank), as Trustee.</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5467d1_ex4-1.htm">
              <w:r>
                <w:rPr>
                  <w:rStyle w:val="InternetLink"/>
                  <w:rFonts w:ascii="Times New Roman;Times;Serif" w:hAnsi="Times New Roman;Times;Serif"/>
                  <w:sz w:val="20"/>
                </w:rPr>
                <w:t>Exhibit 4.2</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5467d1_ex4-1.htm">
              <w:r>
                <w:rPr>
                  <w:rStyle w:val="InternetLink"/>
                  <w:rFonts w:ascii="Times New Roman;Times;Serif" w:hAnsi="Times New Roman;Times;Serif"/>
                  <w:sz w:val="20"/>
                </w:rPr>
                <w:t>Form of $400,000,000 aggregate principal amount of 5.250% Notes due 2032 (included in Exhibit 4.1 hereto).</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5467d1_ex4-1.htm">
              <w:r>
                <w:rPr>
                  <w:rStyle w:val="InternetLink"/>
                  <w:rFonts w:ascii="Times New Roman;Times;Serif" w:hAnsi="Times New Roman;Times;Serif"/>
                  <w:sz w:val="20"/>
                </w:rPr>
                <w:t>Exhibit 4.3</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5467d1_ex4-1.htm">
              <w:r>
                <w:rPr>
                  <w:rStyle w:val="InternetLink"/>
                  <w:rFonts w:ascii="Times New Roman;Times;Serif" w:hAnsi="Times New Roman;Times;Serif"/>
                  <w:sz w:val="20"/>
                </w:rPr>
                <w:t>Form of $400,000,000 aggregate principal amount of 5.650% Notes due 2036 (included in Exhibit 4.1 hereto).</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5467d1_ex5-1.htm">
              <w:r>
                <w:rPr>
                  <w:rStyle w:val="InternetLink"/>
                  <w:rFonts w:ascii="Times New Roman;Times;Serif" w:hAnsi="Times New Roman;Times;Serif"/>
                  <w:sz w:val="20"/>
                </w:rPr>
                <w:t>Exhibit 5.1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5467d1_ex5-1.htm">
              <w:r>
                <w:rPr>
                  <w:rStyle w:val="InternetLink"/>
                  <w:rFonts w:ascii="Times New Roman;Times;Serif" w:hAnsi="Times New Roman;Times;Serif"/>
                  <w:sz w:val="20"/>
                </w:rPr>
                <w:t>Opinion of Latham &amp; Watkins LLP.</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5467d1_ex5-1.htm">
              <w:r>
                <w:rPr>
                  <w:rStyle w:val="InternetLink"/>
                  <w:rFonts w:ascii="Times New Roman;Times;Serif" w:hAnsi="Times New Roman;Times;Serif"/>
                  <w:sz w:val="20"/>
                </w:rPr>
                <w:t>Exhibit 23.1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5467d1_ex5-1.htm">
              <w:r>
                <w:rPr>
                  <w:rStyle w:val="InternetLink"/>
                  <w:rFonts w:ascii="Times New Roman;Times;Serif" w:hAnsi="Times New Roman;Times;Serif"/>
                  <w:sz w:val="20"/>
                </w:rPr>
                <w:t>Consent of Latham &amp; Watkins LLP (contained in Exhibit 5.1 hereto).</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16, 2026</w:t>
      </w:r>
    </w:p>
    <w:p>
      <w:pPr>
        <w:pStyle w:val="TextBody"/>
        <w:bidi w:val="0"/>
        <w:spacing w:before="0" w:after="0"/>
        <w:ind w:left="0" w:right="0" w:hanging="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75"/>
        <w:gridCol w:w="320"/>
        <w:gridCol w:w="320"/>
        <w:gridCol w:w="4370"/>
      </w:tblGrid>
      <w:tr>
        <w:trPr/>
        <w:tc>
          <w:tcPr>
            <w:tcW w:w="75" w:type="dxa"/>
            <w:tcBorders/>
            <w:vAlign w:val="center"/>
          </w:tcPr>
          <w:p>
            <w:pPr>
              <w:pStyle w:val="TableContents"/>
              <w:bidi w:val="0"/>
              <w:spacing w:before="0" w:after="283"/>
              <w:jc w:val="left"/>
              <w:rPr/>
            </w:pPr>
            <w:r>
              <w:rPr/>
              <w:t> </w:t>
            </w:r>
          </w:p>
        </w:tc>
        <w:tc>
          <w:tcPr>
            <w:tcW w:w="50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PROPERTY GROUP, L.P.</w:t>
            </w:r>
          </w:p>
        </w:tc>
      </w:tr>
      <w:tr>
        <w:trPr/>
        <w:tc>
          <w:tcPr>
            <w:tcW w:w="75" w:type="dxa"/>
            <w:tcBorders/>
            <w:vAlign w:val="center"/>
          </w:tcPr>
          <w:p>
            <w:pPr>
              <w:pStyle w:val="TableContents"/>
              <w:bidi w:val="0"/>
              <w:spacing w:before="0" w:after="283"/>
              <w:jc w:val="left"/>
              <w:rPr/>
            </w:pPr>
            <w:r>
              <w:rPr/>
              <w:t> </w:t>
            </w:r>
          </w:p>
        </w:tc>
        <w:tc>
          <w:tcPr>
            <w:tcW w:w="50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Property Group, Inc., its sole General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J. McDade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J. McDade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9" w:name="tm2625467d1_ex1-1.htm"/>
      <w:bookmarkStart w:id="20" w:name="kstm2625467d1_ex11"/>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J.P. Morgan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Mizuho Securities USA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PNC Capital Markets llc</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995"/>
        <w:gridCol w:w="7445"/>
        <w:gridCol w:w="245"/>
      </w:tblGrid>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by the Operating Partnership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and Delivery to the Underwriters;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and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 Registration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Covenants of the Operating Partnership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Securities Regulations and Commission Requests; Payment of Filing Fees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Registration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Prospectus(es)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and Effect of Material Events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Filing of Amendments and 1934 Act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Renewal of Registration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(g)</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Blue-Sky Qualifications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(h)</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Stop Order by State Securities Commission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Reporting Requirements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(k)</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Free Writing Prospectuses; Preparation of the Final Term Sheets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REIT 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1934 Act Filings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(q)</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of Underwriters’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 Filing of Prospectus; Payment of Filing Fee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Opinions of Counsel for Operating Partnership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Counsel for Underwriters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Officer’s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w:t>
            </w:r>
          </w:p>
        </w:tc>
        <w:tc>
          <w:tcPr>
            <w:tcW w:w="7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Accountant’s Comfort Letter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700" w:type="dxa"/>
        <w:jc w:val="left"/>
        <w:tblInd w:w="0" w:type="dxa"/>
        <w:tblLayout w:type="fixed"/>
        <w:tblCellMar>
          <w:top w:w="0" w:type="dxa"/>
          <w:left w:w="0" w:type="dxa"/>
          <w:bottom w:w="0" w:type="dxa"/>
          <w:right w:w="0" w:type="dxa"/>
        </w:tblCellMar>
      </w:tblPr>
      <w:tblGrid>
        <w:gridCol w:w="1100"/>
        <w:gridCol w:w="7355"/>
        <w:gridCol w:w="245"/>
      </w:tblGrid>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(g)</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Bring-down Comfort Letter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(h)</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Rating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this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Underwriters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Operating Partnership, Company and Company’s Directors and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Against Parties; Notification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Without Consent If Failure to Reimburse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Warranties and Agreements to Survive Delivery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 by One or More of the Underwriters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7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 AND TIME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Advisory or Fiduciary Relationship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the U.S. Special Resolution Regimes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Integration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18</w:t>
            </w:r>
          </w:p>
        </w:tc>
        <w:tc>
          <w:tcPr>
            <w:tcW w:w="7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1440" w:right="720" w:hanging="144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995"/>
        <w:gridCol w:w="500"/>
      </w:tblGrid>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A-1</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A-1-1</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A-2</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A-2-1</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A-3</w:t>
            </w:r>
          </w:p>
        </w:tc>
        <w:tc>
          <w:tcPr>
            <w:tcW w:w="5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SIMON PROPERTY GROUP, L.P.</w:t>
      </w:r>
      <w:r>
        <w:rPr>
          <w:rFonts w:ascii="Times New Roman;Times;Serif" w:hAnsi="Times New Roman;Times;Serif"/>
          <w:b w:val="false"/>
          <w:i w:val="false"/>
          <w:caps w:val="false"/>
          <w:smallCaps w:val="false"/>
          <w:sz w:val="20"/>
        </w:rPr>
        <w:br/>
        <w:t>(an Indiana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 5.250%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 5.650%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Fifth Avenue, 10th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Pennsylvania 15222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Tryon Street, 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28202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Simon Property Group, L.P., an Indiana limited partnership (the “Operating Partnership”), confirms its agreement with J.P. Morgan Securities LLC (“J.P. Morgan”), Mizuho Securities USA LLC (“Mizuho”), PNC Capital Markets LLC (“PNC Capital Markets”), and Wells Fargo Securities, LLC (“Wells Fargo”) and each of the other Underwriters named in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 xml:space="preserve">hereto (collectively, the “Underwriters,” which term shall also include any Underwriter substituted as hereinafter provided in Section 10 hereof), for whom J.P. Morgan, Mizuho, PNC Capital Markets and Wells Fargo are acting as representatives (in such capacity, the “Representatives”), with respect to the issue and sale by the Operating Partnership and the purchase by the Underwriters, acting severally and not jointly, of the respective principal amounts set forth in said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of $400,000,000 aggregate principal amount of its 5.250% senior unsecured notes due 2032 (the “2032 Notes”) and $400,000,000 aggregate principal amount of its 5.650% senior unsecured notes due 2036 (the “2036 Notes”, and together with the 2032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2032 Notes and the 2036 Notes shall be issued as a separate series of debt securities under an indenture, dated as of November 26, 1996 (the “Original Indenture”), between the Operating Partnership and The Bank of New York Mellon Trust Company, N.A. (successor to The Chase Manhattan Bank), as trustee (the “Trustee”). The title, aggregate principal amount, rank, interest rate or formula and timing of payments thereof, stated maturity date, redemption and/or repayment provisions, sinking fund requirements and any other variable terms of the Notes of each series shall be established by or pursuant to a forty-ninth supplemental indenture to the Original Indenture (as so supplemented, and as the same may be amended or further supplemented from time to time, the “Indenture”) to be entered into between the Operating Partnership and the Trustee on or prior to the Closing Time (as defined in Section 2(b)). Notes issued in book-entry form shall be issued to Cede &amp; Co. as nominee of The Depository Trust Company (“DTC”) pursuant to a blanket issuer letter of representations, dated August 11, 2004 (the “DTC Agreement”), between the Operating Partnership and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understands that the Underwriters propose to make a public offering of the Notes on the terms and in the manner set forth herein and as soon as the Representatives deem advisable after this Agreement has been executed and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and Simon Property Group, Inc., an Indiana corporation and the sole general partner of the Operating Partnership (the “Company”), have jointly prepared and filed with the Securities and Exchange Commission (the “Commission”) an automatic shelf registration statement on Form S-3, as amended (Nos. 333-277297 and 333-277297-01), including the related preliminary prospectus or prospectuses, which registration statement became effective upon filing under Rule 462(e) of the rules and regulations of the Commission (the “1933 Act Regulations”) under the Securities Act of 1933, as amended (the “1933 Act”). Such registration statement covers the registration of the sale of the Notes under the 1933 Act. Promptly after the execution and delivery of this Agreement, the Operating Partnership will prepare and file with the Commission a prospectus supplement to the prospectus of the Operating Partnership that is a part of the aforementioned registration statement in accordance with the provisions of Rule 430B (“Rule 430B”) of the 1933 Act Regulations and paragraph (b) of Rule 424 (“Rule 424(b)”) of the 1933 Act Regulations, and deliver such prospectus supplement and prospectus to the Underwriters, for use by the Underwriters in connection with their solicitation of purchases of, or offering of, the Notes. Any information included in such prospectus supplement that was omitted from such registration statement at the time it became effective but that is deemed to be part of and included in such registration statement pursuant to Rule 430B is referred to as “Rule 430B Information.” The prospectus of the Operating Partnership that is part of such registration statement and each prospectus supplement used in connection with the offering of the Notes that omitted Rule 430B Information is herein referred to as a “preliminary prospectus.” Such registration statement, at any given time, including the amendments thereto to such time, the exhibits and any schedules thereto at such time, the documents incorporated by reference therein pursuant to Item 12 of Form S-3 under the 1933 Act at such time and the documents otherwise deemed to be a part thereof or included therein by the 1933 Act Regulations, is herein referred to as the “Registration Statement.” The Registration Statement, at the time it originally became effective, is herein referred to as the “Original Registration Statement.” The final prospectus and the final prospectus supplement, in the form first furnished to the Underwriters for use in connection with the offering of the Notes, including the documents incorporated by reference therein pursuant to Item 12 of Form S-3 under the 1933 Act at the time of the execution of this Agreement, is herein referred to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(“EDGAR”) system. Capitalized terms used but not otherwise defined shall have the meanings given to those terms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in the Registration Statement, any preliminary prospectus, the General Disclosure Package (as defined below) or the Prospectus (or other references of like import) shall be deemed to include all such financial statements and schedules and other information which is incorporated by reference in or otherwise deemed by the 1933 Act Regulations to be a part of or included in the Registration Statement, any preliminary prospectus, the General Disclosure Package or the Prospectus, as the case may be, prior to the date of this Agreement; and all references in this Agreement to amendments or supplements to the Registration Statement, any preliminary prospectus or the Prospectus shall be deemed to include the filing of any document under the Securities Exchange Act of 1934, as amended (the “1934 Act”), which is incorporated by reference in or otherwise deemed by the 1933 Act Regulations to be a part of or included in the Registration Statement, such preliminary prospectus or the Prospectus, as the case may be, on or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“subsidiary” means a corporation, partnership or other entity, a majority of the outstanding voting stock, partnership interests or other equity interests, as the case may be, of which is owned or controlled, directly or indirectly, by the Operating Partnership and/or the Company, or by one or more other subsidiaries of the Operating Partnership and/or the Company. The term “significant subsidiary” means any subsidiary that meets the definition of “significant subsidiary” in Rule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 by the Operating Partnership</w:t>
      </w:r>
      <w:r>
        <w:rPr>
          <w:rFonts w:ascii="Times New Roman;Times;Serif" w:hAnsi="Times New Roman;Times;Serif"/>
          <w:b w:val="false"/>
          <w:i w:val="false"/>
          <w:caps w:val="false"/>
          <w:smallCaps w:val="false"/>
          <w:sz w:val="20"/>
        </w:rPr>
        <w:t>. The Operating Partnership represents and warrants to each Underwriter, as of the date hereof, as of the Applicable Time (as defined below) and as of the Closing Time (in each case, a “Representation Date”), and agrees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Status as a Well-Known Seasoned Issuer</w:t>
      </w:r>
      <w:r>
        <w:rPr>
          <w:rFonts w:ascii="Times New Roman;Times;Serif" w:hAnsi="Times New Roman;Times;Serif"/>
          <w:b w:val="false"/>
          <w:i w:val="false"/>
          <w:caps w:val="false"/>
          <w:smallCaps w:val="false"/>
          <w:sz w:val="20"/>
        </w:rPr>
        <w:t>. (A) At the time of filing the Original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the Operating Partnership or any person acting on their behalf (within the meaning, for this clause only, of Rule 163(c) of the 1933 Act Regulations) made or will make any offer relating to the Notes in reliance on the exemption of Rule 163 of the 1933 Act Regulations and (D) at the date hereof, each of the Company and the Operating Partnership was and is a “well-known seasoned issuer” as defined in Rule 405 of the 1933 Act Regulations (“Rule 405”), including not having been and not being an “ineligible issuer” as defined in Rule 405. The Registration Statement is an “automatic shelf registration statement,” as defined in Rule 405, and the Notes, since their registration on the Registration Statement, have been and remain eligible for registration by the Operating Partnership on a Rule 405 “automatic shelf registration statement.” Neither the Company nor the Operating Partnership has received from the Commission any notice pursuant to Rule 401(g)(2) of the 1933 Act Regulations objecting to the use of the automatic shelf registration statement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time of filing the Original Registration Statement, at the earliest time thereafter that the Company or the Operating Partnership or another offering participant made or will make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 (within the meaning of Rule 164(h)(2) of the 1933 Act Regulations) of the Notes and at the date hereof, each of the Company and the Operating Partnership was not and is not an “ineligible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The Registration Statement</w:t>
      </w:r>
      <w:r>
        <w:rPr>
          <w:rFonts w:ascii="Times New Roman;Times;Serif" w:hAnsi="Times New Roman;Times;Serif"/>
          <w:b w:val="false"/>
          <w:i w:val="false"/>
          <w:caps w:val="false"/>
          <w:smallCaps w:val="false"/>
          <w:sz w:val="20"/>
        </w:rPr>
        <w:t>. The Original Registration Statement became effective upon filing under Rule 462(e) of the 1933 Act Regulations (“Rule 462(e)”) on February 23, 2024, and each post-effective amendment thereto (including, without limitation, the post-effective amendment thereto resulting from the filing of any preliminary prospectus or the Prospectus) also became effective upon filing under Rule 462(e). No stop order suspending the effectiveness of the Registration Statement has been issued under the 1933 Act and no proceedings for that purpose have been instituted or are pending or, to the knowledge of the Company or the Operating Partnership, are contemplated by the Commission, and any request on the part of the Commission for additional information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that is a written communication relating to the Notes made prior to the filing of the Original Registration Statement by the Company or the Operating Partnership or any person acting on their behalf (within the meaning, for this paragraph only, of Rule 163(c) of the 1933 Act Regulations) has been filed with the Commission in accordance with the exemption provided by Rule 163 of the 1933 Act Regulations (“Rule 163”) and otherwise complied with the requirements of Rule 163, including without limitation the legending requirement, to qualify such offer for the exemption from Section 5(c) of the 1933 Act provided by Rule 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respective times the Original Registration Statement and each post-effective amendment thereto became effective, at each deemed effective date with respect to the Underwriters pursuant to Rule 430B(f)(2) of the 1933 Act Regulations and at the Closing Time, the Registration Statement complied and will comply in all material respects with the requirements of the 1933 Act and the 1933 Act Regulations and the Trust Indenture Act of 1939, as amended (the “1939 Act”), and the rules and regulations of the Commission under the 1939 Act (the “1939 Act Regulations”), and did not and will not contain an untrue statement of a material fact or omit to state a material fact required to be stated therein or necessary to make the statements therein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representation, warranty and agreement shall not apply to statements in or omissions from the Registration Statement made in reliance upon and in conformity with information furnished to the Operating Partnership in writing by any Underwriter through the Representatives expressly for use in the Registration Statement, it being understood and agreed that the only such information furnished by any Underwriter consists of the information described in Section 6(b)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Prospectus</w:t>
      </w:r>
      <w:r>
        <w:rPr>
          <w:rFonts w:ascii="Times New Roman;Times;Serif" w:hAnsi="Times New Roman;Times;Serif"/>
          <w:b w:val="false"/>
          <w:i w:val="false"/>
          <w:caps w:val="false"/>
          <w:smallCaps w:val="false"/>
          <w:sz w:val="20"/>
        </w:rPr>
        <w:t xml:space="preserve">. The Prospectus and any amendments or supplements thereto, at the time the Prospectus or any such amendment or supplement was or is issued, and at the Closing Time shall not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representation, warranty and agreement shall not apply to statements in or omissions from the Prospectus or any amendments or supplements thereto made in reliance upon and in conformity with information furnished to the Operating Partnership in writing by any Underwriter through the Representatives expressly for use in such Prospectus or any amendments or supplements thereto, it being understood and agreed that the only such information furnished by any Underwriter consists of the information described in Section 6(b)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preliminary prospectus (including the prospectus or prospectuses filed as part of the Original Registration Statement or any amendment thereto), the Prospectus or any amendment or supplement thereto complied or will comply when so filed in all material respects with the 1933 Act Regulations and each preliminary prospectus and the Prospectus delivered to the Underwriters for use in connection with this offering was or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Disclosure at Time of Sale</w:t>
      </w:r>
      <w:r>
        <w:rPr>
          <w:rFonts w:ascii="Times New Roman;Times;Serif" w:hAnsi="Times New Roman;Times;Serif"/>
          <w:b w:val="false"/>
          <w:i w:val="false"/>
          <w:caps w:val="false"/>
          <w:smallCaps w:val="false"/>
          <w:sz w:val="20"/>
        </w:rPr>
        <w:t>. As of the Applicable Time, neither (x) the Issuer General Use Free Writing Prospectus(es) (as defined below) issued at or prior to the Applicable Time or the Statutory Prospectus (as defined below), considered together (collectively, the “General Disclosure Package”), nor (y) any individual Issuer Limited Use Free Writing Prospectus, when considered together with the General Disclosure Package, will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or any Issuer Limited Use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Section 6(b)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Issuer Free Writing Prospectus, as of its issue date and at all subsequent times through the completion of the public offer and sale of the Notes or until any earlier date that the Operating Partnership notified or notifies the Representatives as described in Section 3(d), did not, does not and will not include any information that conflicted, conflicts or will conflict with the information contained in the Registration Statement or the Prospectus, including any document incorporated by reference therein and any preliminary or other prospectus supplement deemed to be a part thereof that has not been superseded or modified. The preceding sentence does not apply to statements in or omissions from any Issuer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Section 6(b)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subsection and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2:45 p.m. (New York City time) on September 9, 2026 or such other time as agreed by the Operating Partnership and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Free Writing Prospectus” means any “issuer free writing prospectus,” as defined in Rule 433 of the 1933 Act Regulations (“Rule 433”), relating to the Notes that (i) is required to be filed with the Commission by the Operating Partnership, (ii) is a “road show that is a written communication” within the meaning of Rule 433(d)(8)(i), whether or not required to be filed with the Commission or (iii) is exempt from filing pursuant to Rule 433(d)(5)(i) because it contains a description of the Notes or of the offering that does not reflect the final terms, in each case in the form filed or required to be filed with the Commission or, if not required to be filed, in the form retained in the Operating Partnership’s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Issuer General Use Free Writing Prospectus” means any Issuer Free Writing Prospectus that is intended for general distribution to prospective investors, as evidenced by its being specified in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Limited Use Free Writing Prospectus” means any Issuer Free Writing Prospectus that is not an Issuer General Use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Statutory Prospectus”, as of any time, means the prospectus and/or prospectus supplement relating to the Notes that is included in the Registration Statement immediately prior to that time, including any document incorporated by reference therein and any preliminary or other prospectus and/or prospectus supplement deemed to be a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Prospectus shall incorporate by reference the most recent Annual Report of the Company and the Operating Partnership on Form 10-K filed with the Commission and each Quarterly Report of the Company and the Operating Partnership on Form 10-Q and each Current Report of the Operating Partnership on Form 8-K filed (and not merely furnished) with the Commission since the end of the fiscal year to which the Annual Report refers. The documents incorporated or deemed to be incorporated by reference in the preliminary prospectus or the Prospectus, at the time they were or hereafter are filed with the Commission, complied and shall comply in all material respects with the requirements of the 1934 Act and the rules and regulations of the Commission thereunder (the “1934 Act Regulations”) and, when read together with the other information in the Prospectus, at (a) the time the Original Registration Statement became effective, (b) the date hereof, (c) the earlier of the time the preliminary prospectus or the Prospectus was first used and the date and time of the first contract of sale of Notes in the offering of the Notes to the public, and (d) the Closing Time, did not and shall not include an untrue statement of a material fact or omit to state a material fact required to be stated therein or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Pending Proceedings and Examinations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1933 Act, and the Operating Partnership is not the subject of a pending proceeding under Section 8A of the 1933 Act in connection with the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The accountants who certified the financial statements and supporting schedules included, or incorporated by reference, in the Prospectus were independent registered public accountants with respect to the Company and its subsidiaries and the Operating Partnership and its subsidiaries, and the current accountants of the Company and the Operating Partnership are independent registered public accountants with respect to the Company and its subsidiaries and the Operating Partnership and its subsidiaries, in each case, as required by the 1933 Act and the rules and regulations promulgated by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or incorporated by reference, in the Registration Statement, the General Disclosure Package and the Prospectus, together with the related schedules and notes, as well as those financial statements, schedules and notes of any other entity included therein, present fairly the financial position of the respective entity or entities or group presented therein at the respective dates indicated and the statement of operations, stockholders’ equity and cash flows of such entity, as the case may be, for the periods specified. Such financial statements have been prepared in conformity with United States generally accepted accounting principles (“GAAP”) applied on a consistent basis throughout the periods involved. The supporting schedules, if any, included, or incorporated by reference, in the Registration Statement, the General Disclosure Package and the Prospectus present fairly, in accordance with GAAP, the information stated therein. The selected financial data, the summary financial information and other financial information and data included, or incorporated by reference, in the Registration Statement, the General Disclosure Package and the Prospectus present fairly the information shown therein and have been compiled on a basis consistent with that of the audited financial statements included, or incorporated by reference, in the Registration Statement, the General Disclosure Package and the Prospectus. In addition, any pro forma financial information and the related notes thereto, if any, included, or incorporated by reference in the Registration Statement, the General Disclosure Package or the Prospectus, as applicable, present fairly the information shown therein, have been prepared in accordance with the Commission’s rules and guidelines and the guidelines of the American Institute of Certified Public Accountants (“AICPA”) and the Public Company Accounting Oversight Board with respect to pro forma information and have been properly compiled on the bases described therein, and the assumptions used in the preparation thereof are reasonable and the adjustments used therein are appropriate to give effect to the transactions and circumstances referred to therein. There are no financial statements (historical or pro forma) that are required to be included or incorporated by reference in the Registration Statement, the preliminary prospectus or the Prospectus that are not included or incorporated by reference as required. All disclosures contained in the Registration Statement, the General Disclosure Package or the Prospectus regarding “non-GAAP financial measures” (as such term is defined by the rules and regulations of the Commission) comply with Regulation G under the 1934 Act and Item 10 of Regulation S-K of the 1933 Act Regulations, to the extent applicable.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The Company and the Operating Partnership each maintain a system of internal accounting controls sufficient to provide reasonable assurance that: (a) transactions are properly authorized; (b) assets are safeguarded against unauthorized or improper use; (c) transactions are properly recorded and reported as necessary to permit preparation of its financial statements in conformity with GAAP and to maintain accountability for assets; and (d) the recorded accountability for assets is compared with the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Controls and Procedures</w:t>
      </w:r>
      <w:r>
        <w:rPr>
          <w:rFonts w:ascii="Times New Roman;Times;Serif" w:hAnsi="Times New Roman;Times;Serif"/>
          <w:b w:val="false"/>
          <w:i w:val="false"/>
          <w:caps w:val="false"/>
          <w:smallCaps w:val="false"/>
          <w:sz w:val="20"/>
        </w:rPr>
        <w:t>. The Company and the Operating Partnership have established and maintain disclosure controls and procedures (as such term is defined in Rules 13a-15 and 15d-15 under the 1934 Act); such disclosure controls and procedures are designed to ensure that material information relating to the Company and the Operating Partnership, including their consolidated subsidiaries, is recorded, processed, summarized and reported, within the time periods specified in the Commission’s rules and forms and is made known to the Company’s Chief Executive Officer and its Chief Financial Officer by others within those entities, as appropriate, to allow timely decisions regarding disclosure, and such disclosure controls and procedures are effective to perform the functions for which they were established; the Company’s and the Operating Partnership’s auditors and the Audit Committee of the Board of Directors of the Company have been advised of: (i) any significant deficiencies in the design or operation of internal controls which could have a material effect on the Company’s and the Operating Partnership’s ability to record, process, summarize, and report financial data; and (ii) any fraud, whether or not material, that involves management or other employees who have a role in the Company’s and the Operating Partnership’s internal controls; any material weaknesses in internal control over financial reporting (whether or not remedied) have been disclosed to the Company’s and the Operating Partnership’s auditors; and since the date of the most recent evaluation of such disclosure controls and procedures, there have been no changes in internal control over financial reporting or in other factors that have materially affected, or are reasonably likely to materially affect, internal control over financial reporting, including any corrective actions with regard to significant deficiencies and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the respective dates as of which information is given in the Registration Statement, the General Disclosure Package or Prospectus, except as otherwise stated in the Registration Statement, the General Disclosure Package or the Prospectus, (a) there has been no material adverse change in the condition, financial or otherwise, or in the earnings, assets, business affairs or business prospects of the Company, the Operating Partnership and the subsidiaries of the Company (the Company, the Operating Partnership and such subsidiaries being sometimes hereinafter collectively referred to as the “Simon Entities” and individually as a “Simon Entity”), whether or not arising in the ordinary course of business, which, taken as a whole, would be material to the Simon Entities taken as a whole (anything which, taken as a whole, would be material to the Simon Entities taken as a whole being hereinafter referred to as “Material;” and such a material adverse change, a “Material Adverse Effect”), (b) no casualty loss or condemnation or other adverse event with respect to the Properties (as defined below) has occurred which would be Material, (c) there have been no transactions or acquisitions entered into by the Simon Entities, other than those in the ordinary course of business, which would be Material, and (d) except for distributions in amounts per unit that are consistent with past practices, there has been no distribution of any kind declared, paid or made by the Operating Partnership on any of its respective general, limited and/or preferred partnership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under the laws of the State of Indiana and has corporate power and authority to own, lease and operate its properties and to conduct its business as described in the Registration Statement, the General Disclosure Package and the Prospectus.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Good Standing of the Operating Partnership</w:t>
      </w:r>
      <w:r>
        <w:rPr>
          <w:rFonts w:ascii="Times New Roman;Times;Serif" w:hAnsi="Times New Roman;Times;Serif"/>
          <w:b w:val="false"/>
          <w:i w:val="false"/>
          <w:caps w:val="false"/>
          <w:smallCaps w:val="false"/>
          <w:sz w:val="20"/>
        </w:rPr>
        <w:t>. The Operating Partnership is duly organized and validly existing as a limited partnership under the laws of the State of Indiana, with the requisite power and authority to own, lease and operate its properties, to conduct the business in which it is engaged and proposes to engage as described in the Registration Statement, the General Disclosure Package and the Prospectus and to enter into and perform its obligations under this Agreement. The Operating Partnership is duly qualified or registered as a foreign partnership and is in good standing in each jurisdiction in which such qualification or registration is required, whether by reason of the ownership or leasing of property or the conduct of business, except where the failure to so qualify or register would not have a Material Adverse Effect. The Company is the sole general partner of the Operating Partnership. The amended and restated agreement of limited partnership of the Operating Partnership (the “OP Partnership Agreement”) is in full force and effect in the form in which it was filed as an exhibit to the Company’s Current Report on Form 8-K filed on May 15, 2025, except for subsequent amendments relating to the admission of new partners to the Operating Partnership or the designation of the rights of new partnership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Good Standing of Significant Subsidiaries</w:t>
      </w:r>
      <w:r>
        <w:rPr>
          <w:rFonts w:ascii="Times New Roman;Times;Serif" w:hAnsi="Times New Roman;Times;Serif"/>
          <w:b w:val="false"/>
          <w:i w:val="false"/>
          <w:caps w:val="false"/>
          <w:smallCaps w:val="false"/>
          <w:sz w:val="20"/>
        </w:rPr>
        <w:t>. Each significant subsidiary has been duly organized and is validly existing as a corporation, limited partnership, limited liability company or other entity, as the case may be, in good standing (or its equivalent), to the extent any such concept is applicable under local law, under the laws of the state of its jurisdiction of incorporation or organization, as the case may be, with the requisite power and authority to own, lease and operate its properties, and to conduct the business in which it is engaged or proposes to engage as described in the Registration Statement, the General Disclosure Package and the Prospectus. Each significant subsidiary is duly qualified or registered as a foreign corporation, limited partnership or limited liability company or other entity, as the case may be, to transact business and is in good standing (or its equivalent), to the extent any such concept is applicable under local law, in each jurisdiction in which such qualification or registration is required, whether by reason of the ownership or leasing of property or the conduct of business, except where the failure to so qualify or register would not have a Material Adverse Effect. Except as otherwise stated in the Registration Statement, the General Disclosure Package and the Prospectus, all of the issued and outstanding capital stock or other equity interests of each significant subsidiary have been duly authorized and validly issued and are fully paid and non-assessable, have been offered and sold in compliance with all applicable laws (including without limitation, federal or state securities laws) and are owned by the Company or the Operating Partnership, directly or through subsidiaries, in each case free and clear of any security interest, mortgage, pledge, lien, encumbrance, claim or equity (collectively, “Liens”). No shares of capital stock or other equity interests of any significant subsidiary are reserved for any purpose, and there are no outstanding securities convertible into or exchangeable for any capital stock or other equity interests of such significant subsidiaries and no outstanding options, rights (preemptive or otherwise) or warrants to purchase or to subscribe for shares of such capital stock or any other securities of such entities, except as disclosed in the Registration Statement, the General Disclosure Package and the Prospectus. No such shares of capital stock or other equity interests of any significant subsidiary were issued in violation of preemptive or other similar rights arising by operation of law, under the charter or by-laws of such significant subsidiaries or under any agreement to which such significant subsidiaries are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units of general, limited and/or preferred partner interests of the Operating Partnership are as set forth in the Company’s and the Operating Partnership’s most recent Quarterly Report on Form 10-Q (except for subsequent issuances thereof, if any, contemplated under this Agreement or referred to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Authorization of Underwriting Agreement</w:t>
      </w:r>
      <w:r>
        <w:rPr>
          <w:rFonts w:ascii="Times New Roman;Times;Serif" w:hAnsi="Times New Roman;Times;Serif"/>
          <w:b w:val="false"/>
          <w:i w:val="false"/>
          <w:caps w:val="false"/>
          <w:smallCaps w:val="false"/>
          <w:sz w:val="20"/>
        </w:rPr>
        <w:t>. This Agreement has been duly authorized, executed and delivered by the Operating Partnership and, assuming due authorization, execution and delivery by or on behalf of the Underwriters, shall constitute a valid and legally binding agreement of the Operating Partnership, enforceable against the Operating Partnership in accordance with its terms except: (a) to the extent that enforceability thereof may be limited by (i) bankruptcy, insolvency, reorganization, moratorium, fraudulent conveyance or other similar laws now or hereafter in effect relating to or affecting creditors’ rights generally and (ii) general principles of equity (regardless of whether considered in equity or at law); and (b) to the extent that rights to indemnification and contribution contained in this Agreement may be limited by state or federal securities laws or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Authorization of the Indenture</w:t>
      </w:r>
      <w:r>
        <w:rPr>
          <w:rFonts w:ascii="Times New Roman;Times;Serif" w:hAnsi="Times New Roman;Times;Serif"/>
          <w:b w:val="false"/>
          <w:i w:val="false"/>
          <w:caps w:val="false"/>
          <w:smallCaps w:val="false"/>
          <w:sz w:val="20"/>
        </w:rPr>
        <w:t>. For the Notes being sold pursuant to this Agreement, the Indenture has been, or prior to the issuance of the Notes thereunder shall have been, duly authorized, executed and delivered by the Operating Partnership and, upon such authorization, execution and delivery, shall constitute a valid and legally binding agreement of the Operating Partnership, enforceable against the Operating Partnership, in accordance with its terms, except as the enforcement thereof may be limited by (a) bankruptcy, insolvency, reorganization, moratorium, fraudulent conveyance or other similar laws now or hereafter in effect relating to or affecting creditors’ rights generally, (b) general equitable principles (regardless of whether enforcement is considered in a proceeding in equity or at law), (c) requirements that a claim with respect to any debt securities issued under the Indenture that are payable in a foreign currency (or a foreign currency judgment in respect of such claim) be converted into U.S. dollars at a rate of exchange prevailing on a date determined pursuant to applicable law, or (d) governmental authority to limit, delay or prohibit the making of payments outside the United States. The Indenture has been duly qualified under the 1939 Act and conforms, in all material respects, to the descriptions thereof contained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Authorization of the Notes</w:t>
      </w:r>
      <w:r>
        <w:rPr>
          <w:rFonts w:ascii="Times New Roman;Times;Serif" w:hAnsi="Times New Roman;Times;Serif"/>
          <w:b w:val="false"/>
          <w:i w:val="false"/>
          <w:caps w:val="false"/>
          <w:smallCaps w:val="false"/>
          <w:sz w:val="20"/>
        </w:rPr>
        <w:t>. The Notes being sold pursuant to this Agreement have been duly authorized by the Operating Partnership for issuance and sale pursuant to this Agreement, and, at the Closing Time, will have been duly executed by the Operating Partnership. Such Notes, when issued and authenticated in the manner provided for in the Indenture and delivered by the Operating Partnership pursuant to this Agreement against payment of the consideration therefor specified in this Agreement, shall constitute valid and legally binding, unsecured obligations of the Operating Partnership, enforceable against the Operating Partnership, in accordance with their terms, except as the enforcement thereof may be limited by bankruptcy, insolvency, reorganization, moratorium, fraudulent conveyance or other similar laws now or hereafter in effect relating to or affecting creditors’ rights generally or by general equitable principles (regardless of whether enforcement is considered in a proceeding in equity or at law). Such Notes shall be in the form contemplated by, and each registered holder thereof shall be entitled to the benefits of, the Indenture. Such Notes rank and shall rank equally with all unsecured indebtedness (other than subordinated indebtedness) of the Operating Partnership that is outstanding on a Reporting Date (as such term is defined in the Prospectus) or that may be incurred thereafter and senior to all subordinated indebtedness that is outstanding on a Reporting Date or that may be incurred thereafter, except that such Notes shall be effectively subordinate to the prior claims of each secured mortgage lender to any specific Property which secures such lender’s mortgage and any claims of creditors of entities wholly or partly owned, directly or indirectly, by the Operating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Descriptions of the Notes and the Indenture</w:t>
      </w:r>
      <w:r>
        <w:rPr>
          <w:rFonts w:ascii="Times New Roman;Times;Serif" w:hAnsi="Times New Roman;Times;Serif"/>
          <w:b w:val="false"/>
          <w:i w:val="false"/>
          <w:caps w:val="false"/>
          <w:smallCaps w:val="false"/>
          <w:sz w:val="20"/>
        </w:rPr>
        <w:t>. The Notes being sold pursuant to this Agreement and the Indenture shall conform in all material respects to the statements relating thereto contained in the Registration Statement, the General Disclosure Package and the Prospectus and shall be in substantially the respective forms to be filed as an exhibit by the Operating Partnership in a Current Report on Form 8-K filed within four business days following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Absence of Defaults and Conflicts</w:t>
      </w:r>
      <w:r>
        <w:rPr>
          <w:rFonts w:ascii="Times New Roman;Times;Serif" w:hAnsi="Times New Roman;Times;Serif"/>
          <w:b w:val="false"/>
          <w:i w:val="false"/>
          <w:caps w:val="false"/>
          <w:smallCaps w:val="false"/>
          <w:sz w:val="20"/>
        </w:rPr>
        <w:t>. None of the Simon Entities or, to the knowledge of the Operating Partnership, any joint ventures or partnerships in which Simon Entities have an equity interest (“Property Partnerships”) is in violation of its charter, by-laws, certificate of limited partnership or partnership agreement or other organizational document, as the case may be, or in default in the performance or observance of any obligation, agreement, covenant or condition contained in any contract, indenture, mortgage, deed of trust, loan or credit agreement, note, lease or other agreement or instrument to which each entity is a party or by which any of them may be bound, or to which any of its property or assets or any Property may be bound or subject (collectively, “Agreements and Instruments”), except for such violations (other than with respect to the charter, by-laws, partnership agreement, or other organizational document of the Company, the Operating Partnership or any significant subsidiary) or defaults that would not result in a Material Adverse Effect. The execution, delivery and performance of this Agreement, the Notes, the Indenture and any other agreement or instrument entered into or issued or to be entered into or issued by the Company or the Operating Partnership in connection with the transactions contemplated hereby or thereby or in the Prospectus and the consummation of the transactions contemplated herein and in the Prospectus (including the issuance and sale of the Notes and the use of the proceeds from the sale of the Notes as described under the caption “Use of Proceeds”) and compliance by the Operating Partnership with its obligations hereunder and thereunder have been duly authorized by all necessary action, and do not and shall not, whether with or without the giving of notice or passage of time or both, conflict with or constitute a breach of, or default or Repayment Event (as defined below) under, or result in the creation or imposition of any Lien upon any assets, properties or operations of the Operating Partnership or any other Simon Entity or any Property Partnership pursuant to, any Agreements and Instruments, except for such conflicts, breaches, defaults, Repayment Events or Liens, charges or encumbrances that, singly or in the aggregate, would not reasonably be expected to result in a Material Adverse Effect, nor shall such action result in any violation of the provisions of the OP Partnership Agreement or certificate of limited partnership of the Operating Partnership or the organizational documents of any other Simon Entity or any applicable law, statute, rule, regulation, judgment, order, writ or decree of any government, government instrumentality or court, domestic or foreign, having jurisdiction over the Operating Partnership, any other Simon Entity or any Property Partnership or any of their assets, properties or operations, except for such violations (other than with respect to the charter, by-laws, partnership agreement, or other organizational document of the Company, the Operating Partnership or any significant subsidiary) that would not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material portion of such indebtedness by any Simon Entity or, to the knowledge of the Operating Partnership, any Property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Except as described in the Registration Statement, the General Disclosure Package and the Prospectus, there is no action, suit, proceeding, inquiry or investigation before or by any court or governmental agency or body, domestic or foreign, now pending or, to the knowledge of the Operating Partnership, threatened against or affecting any Simon Entity or, to the knowledge of the Operating Partnership, any Property Partnership, except such as would not reasonably be expected to result in a Material Adverse Effect, or which would reasonably be expected to materially and adversely affect the consummation of this Agreement, the Indenture or the transactions contemplated herein or therein or the performance by the Operating Partnership of its obligations. The aggregate of all pending legal or governmental proceedings to which the Simon Entities or, to the knowledge of the Operating Partnership, any Property Partnership is a party or of which any of their respective assets, properties or operations is the subject which are not described in the Registration Statement, the General Disclosure Package and the Prospectus, including ordinary routine litigation incidental to the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REIT Qualification</w:t>
      </w:r>
      <w:r>
        <w:rPr>
          <w:rFonts w:ascii="Times New Roman;Times;Serif" w:hAnsi="Times New Roman;Times;Serif"/>
          <w:b w:val="false"/>
          <w:i w:val="false"/>
          <w:caps w:val="false"/>
          <w:smallCaps w:val="false"/>
          <w:sz w:val="20"/>
        </w:rPr>
        <w:t>. At all times since January 1, 1973, the Company (including as Corporate Property Investors, a Massachusetts business trust) has been, and upon the sale of the Notes, the Company shall continue to be, organized and operated in conformity with the requirements for qualification and taxation as a real estate investment trust under the Internal Revenue Code of 1986, as amended (the “Code”), and its current and proposed methods of operation shall enable it to continue to meet the requirements for qualification and taxation as a real estate investment trust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the Operating Partnership is, or upon the issuance and sale of the Notes as herein contemplated and the application of the net proceeds therefrom as described in the Prospectus will be, an “investment company” within the meaning of the Investment Company Act of 1940, as amended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court or governmental authority or agency or any other entity or person is necessary or required for the performance by the Operating Partnership of its obligations under this Agreement, the Indenture or in connection with the transactions contemplated under this Agreement or the Indenture, except such as have been already obtained under the 1933 Act or the 1933 Act Regulations or as may be required under state securities laws or under the by-laws and rules of the Financial Industry Regulatory Authority, Inc. (“FINRA”).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Possession of Licenses and Permits</w:t>
      </w:r>
      <w:r>
        <w:rPr>
          <w:rFonts w:ascii="Times New Roman;Times;Serif" w:hAnsi="Times New Roman;Times;Serif"/>
          <w:b w:val="false"/>
          <w:i w:val="false"/>
          <w:caps w:val="false"/>
          <w:smallCaps w:val="false"/>
          <w:sz w:val="20"/>
        </w:rPr>
        <w:t>. The Simon Entities and, to the knowledge of the Operating Partnership, each Property Partnership possess such permits, licenses, approvals, consents and other authorizations (collectively, “Governmental Licenses”) issued by the appropriate federal, state, local or foreign regulatory agencies or bodies necessary to conduct the business now operated by them except for such Governmental Licenses the failure to obtain would not, singly or in the aggregate, reasonably be expected to result in a Material Adverse Effect. The Simon Entities and, to the knowledge of the Operating Partnership, each Property Partnership are in compliance with the terms and conditions of all such Governmental Licenses, except where the failure to so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reasonably be expected to result in a Material Adverse Effect. None of the Simon Entities or, to the knowledge of the Operating Partnership, any Property Partnership have received any notice of proceedings relating to the revocation or modification of any such Governmental Licenses which, singly or in the aggregate, if the subject of an unfavorable decision, ruling or finding,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Simon Entities and, to the knowledge of the Operating Partnership, the Property Partnerships, as the case may be, have good and marketable title to the real properties owned by the Simon Entities or the Property Partnerships (the “Properties”) free and clear of Liens, except (a) as otherwise stated in the Registration Statement, the General Disclosure Package and the Prospectus, or referred to in any title policy for a particular Property, or (b) as would not reasonably be expected to have a Material Adverse Effect. All leases and subleases under which any Simon Entity or any Property Partnership holds real properties are in full force and effect, except for such which would not reasonably be expected to result in a Material Adverse Effect. None of the Simon Entities or the Property Partnerships have received any notice of any Material claim of any sort that has been asserted by anyone adverse to the rights of the Simon Entities or the Property Partnerships under any material leases or subleases, or affecting or questioning the rights of such Simon Entities or the Property Partnerships of the continued possession of the leased or subleased premises under any such lease or sublease, other than claims that would not reasonably be expected to result in a Material Adverse Effect. All Liens on or affecting any of the Properties and the assets of any Simon Entity or any Property Partnership which are required by the 1933 Act and the 1933 Act Regulations to be disclosed in the Registration Statement, the General Disclosure Package and the Prospectus are disclosed therein. None of the Simon Entities, the Property Partnerships or any tenant of any of the Properties is in default under any of the ground leases (as lessee) or space leases (as lessor or lessee, as the case may be) relating to, or any of the mortgages or other security documents or other agreements encumbering or otherwise recorded against, the Properties, and the Operating Partnership knows of no event which, but for the passage of time or the giving of notice, or both, would constitute a default under any of such documents or agreements, in each case, other than such defaults that would not reasonably be expected to result in a Material Adverse Effect. No tenant under any of the leases, pursuant to which the Operating Partnership or any Property Partnership, as lessor, leases its Property, has an option or right of first refusal to purchase the premises demised under such lease, the exercise of which would reasonably be expected to result in a Material Adverse Effect. Each of the Properties complies with all applicable codes, laws and regulations (including, without limitation, building and zoning codes, laws and regulations and laws relating to access to the Properties), except for such failures to comply that would not in the aggregate reasonably be expected to result in a Material Adverse Effect. The Operating Partnership has no knowledge of any pending or threatened condemnation proceeding, zoning change, or other proceeding or action that will in any manner affect the size of, use of, improvements on, construction on or access to, the Properties, except such proceedings or actions that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otherwise stated in the Registration Statement, the General Disclosure Package and the Prospectus or except such violations as would not, singly or in the aggregate, reasonably be expected to result in a Material Adverse Effect, (a) none of the Simon Entities or Property Partnerships are in violation of any federal, state, local or foreign statute, law, rule, regulation, ordinance, code, policy or rule of common law and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Simon Entities and the Property Partnerships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Simon Entities or the Property Partnerships and (d) there are no events or circumstances that would reasonably be expected to form the basis of an order for clean-up or remediation, or an action, suit or proceeding by any private party or governmental body or agency, against or affecting the Simon Entities or Property Partnerships relating to any Hazardous Materials or the violation of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Simon Entities maintain insurance covering their properties, assets, operations, personnel and businesses, and such insurance is of such type and in such amounts in accordance with customary industry practice to protect them and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Reporting Company</w:t>
      </w:r>
      <w:r>
        <w:rPr>
          <w:rFonts w:ascii="Times New Roman;Times;Serif" w:hAnsi="Times New Roman;Times;Serif"/>
          <w:b w:val="false"/>
          <w:i w:val="false"/>
          <w:caps w:val="false"/>
          <w:smallCaps w:val="false"/>
          <w:sz w:val="20"/>
        </w:rPr>
        <w:t>. Each of the Operating Partnership and the Company is subject to the reporting requirements of Section 13 or Section 15(d)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t>
      </w:r>
      <w:r>
        <w:rPr>
          <w:rFonts w:ascii="Times New Roman;Times;Serif" w:hAnsi="Times New Roman;Times;Serif"/>
          <w:b w:val="false"/>
          <w:i w:val="false"/>
          <w:caps w:val="false"/>
          <w:smallCaps w:val="false"/>
          <w:sz w:val="20"/>
          <w:u w:val="single"/>
        </w:rPr>
        <w:t>Investment-Grade Rating</w:t>
      </w:r>
      <w:r>
        <w:rPr>
          <w:rFonts w:ascii="Times New Roman;Times;Serif" w:hAnsi="Times New Roman;Times;Serif"/>
          <w:b w:val="false"/>
          <w:i w:val="false"/>
          <w:caps w:val="false"/>
          <w:smallCaps w:val="false"/>
          <w:sz w:val="20"/>
        </w:rPr>
        <w:t>. The Notes shall have an investment-grade rating from one or more nationally recognized statistical rating organizations through the Closing Time, as set forth in the Final Term Sheets referred to in Section 3(k).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Statistical Data and Forward-Looking Statements</w:t>
      </w:r>
      <w:r>
        <w:rPr>
          <w:rFonts w:ascii="Times New Roman;Times;Serif" w:hAnsi="Times New Roman;Times;Serif"/>
          <w:b w:val="false"/>
          <w:i w:val="false"/>
          <w:caps w:val="false"/>
          <w:smallCaps w:val="false"/>
          <w:sz w:val="20"/>
        </w:rPr>
        <w:t>. The statistical and market-related data and forward-looking statements (within the meaning of Section 27A of the 1933 Act and Section 21E of the 1934 Act) included in the Registration Statement, the General Disclosure Package and the Prospectus are based on or derived from sources that the Operating Partnership believes to be reliable and accurate in all material respects and represent its good faith estimates that are made on the basis of data derived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Price Manipulation and Market Stabilization</w:t>
      </w:r>
      <w:r>
        <w:rPr>
          <w:rFonts w:ascii="Times New Roman;Times;Serif" w:hAnsi="Times New Roman;Times;Serif"/>
          <w:b w:val="false"/>
          <w:i w:val="false"/>
          <w:caps w:val="false"/>
          <w:smallCaps w:val="false"/>
          <w:sz w:val="20"/>
        </w:rPr>
        <w:t>. Neither the Simon Entities nor any of their respective directors, officers, affiliates (as such term is defined in Rule 501(b) under the 1933 Act (each, an “Affiliate”)) or controlling persons has taken, directly or indirectly, any action designed to cause or result in, or which has constituted or might reasonably be expected to cause or result in, under the 1934 Act or otherwise, the stabilization or manipulation of the price of any security of the Operating Partnership to facilitate the sale or resale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Operating Partnership nor, to its knowledge, any other Simon Entity, any Property Partnership, any director, officer, agent, employee or other person associated with or acting on behalf of the Operating Partnership or any other Simon Entity or any Property Partnership, has violated or is in violation of any provision of the Foreign Corrupt Practices Act of 1977, as amended, or the Bribery Act 2010 of the United Kingdom, and the Operating Partnership and the other Simon Entities and, to the knowledge of the Operating Partnership, the Property Partnerships,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Operating Partnership and each other Simon Entity and Property Partnership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Operating Partnership or any other Simon Entity or Property Partnership with respect to the Money Laundering Laws is pending or, to the knowledge of the Operating Partnership,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Neither the Operating Partnership nor any other Simon Entity or Property Partnership nor, to the knowledge of the Operating Partnership, any director, officer, agent, employee or Affiliate of the Operating Partnership or any other Simon Entity or Property Partnership is (i) currently subject to any sanctions administered by the United States Government (including, without limitation, the Office of Foreign Assets Control of the U.S. Treasury Department (“OFAC”)), the United Nations Security Council, the European Union, His Majesty’s Treasury, or other relevant sanctions authority (collectively, “Sanctions”) or (ii) currently located, organized or resident in a country or territory that is, or whose government is, the subject of Sanctions that broadly prohibit dealings with that country or territory; and the Operating Partnership will not, directly or indirectly, use the net proceeds of the offering of the Notes, or lend, contribute or otherwise make available such net proceeds to any subsidiary, joint venture partner or other person or entity, for the purpose of financing the activities of any person that, at the time of such financing, is subject to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(A) To the knowledge of the Operating Partnership, there has been no security breach, incident or compromise that resulted in unauthorized access to the Operating Partnership’s or any other Simon Entity’s computer systems, networks, hardware, software, information technology, equipment, technology, or data and databases (including (i) the data and information of their employees and any third party that is maintained, processed or stored by the Operating Partnership and the other Simon Entities, and (ii) any such data processed or stored by third parties on behalf of the Operating Partnership and the other Simon Entities) (collectively, “IT Systems and Data”), (B) neither the Operating Partnership nor the other Simon Entities have been notified of, nor do they have knowledge of any event or condition that would result in, any security breach, incident or compromise to their IT Systems and Data of the type described in clause (A) above, and (C) the Operating Partnership and the other Simon Entities have implemented controls, policies, procedures, and technological safeguards that they believe maintain and protect, in all material respects, the integrity, continuous operation, redundancy and security of their IT Systems and Data, except with respect to clauses (A) and (B), for any such security breach, incident or compromise that would not reasonably be expected to have a Material Adverse Effect. The Operating Partnership and the other Simon Entities are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Officers’ Certificates</w:t>
      </w:r>
      <w:r>
        <w:rPr>
          <w:rFonts w:ascii="Times New Roman;Times;Serif" w:hAnsi="Times New Roman;Times;Serif"/>
          <w:b w:val="false"/>
          <w:i w:val="false"/>
          <w:caps w:val="false"/>
          <w:smallCaps w:val="false"/>
          <w:sz w:val="20"/>
        </w:rPr>
        <w:t>. Any certificate signed by any officer of the Operating Partnership or any authorized representative of the Company delivered to the Representatives or to counsel for the Underwriters in connection with the offering of the Notes shall be deemed a representation and warranty by the Operating Partnership or the Company, as the case may be, to each Underwriter as to the matters covered thereby on the date of such certificate and, unless subsequently amended or supplemented, at each Representation Date subsequent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Sale and Delivery to the Underwriters;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Purchase and Sale</w:t>
      </w:r>
      <w:r>
        <w:rPr>
          <w:rFonts w:ascii="Times New Roman;Times;Serif" w:hAnsi="Times New Roman;Times;Serif"/>
          <w:b w:val="false"/>
          <w:i w:val="false"/>
          <w:caps w:val="false"/>
          <w:smallCaps w:val="false"/>
          <w:sz w:val="20"/>
        </w:rPr>
        <w:t xml:space="preserve">. On the basis of the representations and warranties contained herein and subject to the terms and conditions herein set forth, the Operating Partnership agrees to sell to each Underwriter, severally and not jointly, and each Underwriter, severally and not jointly, agrees to purchase from the Operating Partnership, at the respective price set forth for the Notes of each series in </w:t>
      </w:r>
      <w:r>
        <w:rPr>
          <w:rFonts w:ascii="Times New Roman;Times;Serif" w:hAnsi="Times New Roman;Times;Serif"/>
          <w:b/>
          <w:i w:val="false"/>
          <w:caps w:val="false"/>
          <w:smallCaps w:val="false"/>
          <w:sz w:val="20"/>
        </w:rPr>
        <w:t>Schedule 3</w:t>
      </w:r>
      <w:r>
        <w:rPr>
          <w:rFonts w:ascii="Times New Roman;Times;Serif" w:hAnsi="Times New Roman;Times;Serif"/>
          <w:b w:val="false"/>
          <w:i w:val="false"/>
          <w:caps w:val="false"/>
          <w:smallCaps w:val="false"/>
          <w:sz w:val="20"/>
        </w:rPr>
        <w:t xml:space="preserve">, the aggregate principal amount of Notes set forth in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opposite the name of such Underwriter, plus any additional principal amount of Notes which such Underwriter may become obligated to purchase pursuant to the provisions of Section 10 hereof. The Notes of each series and the offering thereof will have the terms specified in the Final Term Sheet for such series referred to in Section 3(k).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and Payment</w:t>
      </w:r>
      <w:r>
        <w:rPr>
          <w:rFonts w:ascii="Times New Roman;Times;Serif" w:hAnsi="Times New Roman;Times;Serif"/>
          <w:b w:val="false"/>
          <w:i w:val="false"/>
          <w:caps w:val="false"/>
          <w:smallCaps w:val="false"/>
          <w:sz w:val="20"/>
        </w:rPr>
        <w:t>. Payment of the purchase price for, and delivery of, the Notes shall be made at the office of Sidley Austin LLP, 787 Seventh Avenue, New York, New York 10019, or at such other place as shall be agreed upon by the Representatives and the Operating Partnership, at 10:00 A.M. (New York City time) on the fifth business day after the date hereof (unless postponed in accordance with the provisions of Section 10), or such other time not later than ten business days after such date as shall be agreed upon by the Representatives and the Operating Partnership (such time and date of payment and delivery being herein called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the Notes shall be made to the Operating Partnership by wire transfer of same day funds payable to the order of the Operating Partnership, against delivery to the Representatives or their designees for the respective accounts of the Underwriters for the Notes to be purchased by them. It is understood that each Underwriter has authorized the Representatives, for its account, to accept delivery of, receipt for, and make payment of the purchase price for, the Notes that it has agreed to purchase. J.P. Morgan and PNC Capital Markets individually, and not as a representative of the Underwriters, may (but shall not be obligated to) make payment of the purchase price for the Notes to be purchased by any Underwriter whose funds have not been received by the Closing Time, but such payment shall not relieve such Underwriter from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 each series shall be delivered in the form of one or more global certificates in aggregate denomination equal to the aggregate principal amount of the Notes of such series upon original issuance and registered in the name of Cede &amp; Co., as nominee for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Denominations; Registration</w:t>
      </w:r>
      <w:r>
        <w:rPr>
          <w:rFonts w:ascii="Times New Roman;Times;Serif" w:hAnsi="Times New Roman;Times;Serif"/>
          <w:b w:val="false"/>
          <w:i w:val="false"/>
          <w:caps w:val="false"/>
          <w:smallCaps w:val="false"/>
          <w:sz w:val="20"/>
        </w:rPr>
        <w:t>. The Notes of each series shall be in such denominations and registered in such names as the Underwriters may request in writing at least one full business day prior to the Closing Time. The Notes shall be made available for examination and packaging by the Representatives in The City of New York not later than 10:00 A.M. (New York City time) on the business day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Covenants of the Operating Partnership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Compliance with Securities Regulations and Commission Requests; Payment of Filing Fees</w:t>
      </w:r>
      <w:r>
        <w:rPr>
          <w:rFonts w:ascii="Times New Roman;Times;Serif" w:hAnsi="Times New Roman;Times;Serif"/>
          <w:b w:val="false"/>
          <w:i w:val="false"/>
          <w:caps w:val="false"/>
          <w:smallCaps w:val="false"/>
          <w:sz w:val="20"/>
        </w:rPr>
        <w:t>. The Operating Partnership, subject to Section 3(e), will comply with the requirements of Rule 430B and will notify the Representatives immediately, and confirm the notice in writing, (i) when any post-effective amendment to the Registration Statement or new registration statement relating to the Notes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Notes for offering or sale in any jurisdiction, or of the initiation or threatening of any proceedings for any of such purposes or of any examination pursuant to Section 8(e) of the 1933 Act concerning the Registration Statement and (v) if the Operating Partnership becomes the subject of a proceeding under Section 8A of the 1933 Act in connection with the offering of the Notes. The Operating Partnership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Operating Partnership will make every reasonable effort to prevent the issuance of any stop order and, if any stop order is issued, to obtain the lifting thereof at the earliest possible moment. The Operating Partnership shall pay the required Commission filing fees relating to the Notes within the time required by Rule 456(b)(1)(i) of the 1933 Act Regulations without regard to the proviso therein and otherwise in accordance with Rules 456(b) and 457(r) of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Registration Statements</w:t>
      </w:r>
      <w:r>
        <w:rPr>
          <w:rFonts w:ascii="Times New Roman;Times;Serif" w:hAnsi="Times New Roman;Times;Serif"/>
          <w:b w:val="false"/>
          <w:i w:val="false"/>
          <w:caps w:val="false"/>
          <w:smallCaps w:val="false"/>
          <w:sz w:val="20"/>
        </w:rPr>
        <w:t>. The Operating Partnership has furnished or will deliver to the Representatives and counsel for the Underwriters, without charge, copies of the Original Registration Statement and of each amendment thereto (including exhibits filed therewith or incorporated by reference therein and documents incorporated or deemed to be incorporated by reference therein or otherwise deemed to be a part thereof) and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Delivery of Prospectus(es)</w:t>
      </w:r>
      <w:r>
        <w:rPr>
          <w:rFonts w:ascii="Times New Roman;Times;Serif" w:hAnsi="Times New Roman;Times;Serif"/>
          <w:b w:val="false"/>
          <w:i w:val="false"/>
          <w:caps w:val="false"/>
          <w:smallCaps w:val="false"/>
          <w:sz w:val="20"/>
        </w:rPr>
        <w:t>. The Operating Partnership, as promptly as possible, shall furnish to each Underwriter, without charge, such number of each preliminary prospectus as such Underwriter may reasonably request, and the Operating Partnership hereby consents to the use of such copies for purposes permitted by the 1933 Act. The Operating Partnership will furnish to each Underwriter, without charge, during the period when a prospectus is required to be delivered (or but for Rule 172 of the 1933 Act Regulations would be required to be delivered) under the 1933 Act, such number of copies of the Prospectus and any amendments and supplements thereto and documents incorporated by reference therein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and Effect of Material Events</w:t>
      </w:r>
      <w:r>
        <w:rPr>
          <w:rFonts w:ascii="Times New Roman;Times;Serif" w:hAnsi="Times New Roman;Times;Serif"/>
          <w:b w:val="false"/>
          <w:i w:val="false"/>
          <w:caps w:val="false"/>
          <w:smallCaps w:val="false"/>
          <w:sz w:val="20"/>
        </w:rPr>
        <w:t>. The Operating Partnership will comply with the 1933 Act and the 1933 Act Regulations, the 1934 Act and the 1934 Act Regulations and the 1939 Act and the 1939 Act Regulations so as to permit the completion of the distribution of the Notes as contemplated in this Agreement and in the Prospectus. The Operating Partnership shall immediately notify each Underwriter, and confirm such notice in writing, of (x) any filing made by the Operating Partnership of information relating to the offering of the Notes with any securities exchange or any other regulatory body in the United States or any other jurisdiction, and (y) at any time when a prospectus is required by the 1933 Act to be delivered (or but for Rule 172 of the 1933 Act Regulations would be required to be delivered) in connection with sales of the Notes, any material changes in or affecting the condition, financial or otherwise, or the earnings, business affairs or business prospects of the Operating Partnership, any other Simon Entity or any Property Partnership which (i) make any statement in the Registration Statement, the General Disclosure Package or the Prospectus false or misleading or (ii) are not disclosed in the Registration Statement, the General Disclosure Package or the Prospectus. In such event or if during such time any event shall occur as a result of which it is necessary, in the reasonable opinion of any of the Operating Partnership, its counsel, the Underwriters or counsel for the Underwriters, to amend the Registration Statement or to amend or supplement the General Disclosure Package or the Prospectus in order that the same not include any untrue statement of a material fact or omit to state a material fact necessary in order to make the statements therein not misleading (except in the case of the Registration Statement, in the light of the circumstances existing at the time the General Disclosure Package or the Prospectus, as the case may be, is delivered to a purchaser), the Operating Partnership shall forthwith amend or supplement the Registration Statement, the General Disclosure Package or the Prospectus, as the case may be, by preparing and furnishing to each Underwriter an amendment or amendments of, or a supplement or supplements to, the Registration Statement, the General Disclosure Package or the Prospectus, as the case may be (in form and substance satisfactory in the reasonable opinion of counsel for the Underwriters), so that, as so amended or supplemented, the Registration Statement, the General Disclosure Package or the Prospectus, as the case may be, shall not include an untrue statement of a material fact or omit to state a material fact necessary in order to make the statements therein (except in the case of the Registration Statement, in the light of the circumstances existing at the time the General Disclosure Package or the Prospectus, as the case may be, is delivered to a purchaser), not misleading. In addition, if it shall be necessary, in the opinion of counsel to the Underwriters, at any such time to amend the Registration Statement or to file a new registration statement or amend or supplement the preliminary prospectus or the Prospectus in order to comply with the requirements of the 1933 Act or the 1933 Act Regulations, the Operating Partnership will promptly prepare and file with the Commission, subject to Section 3(e), such amendment, supplement or new registration statement as may be necessary to correct such statement or omission or to comply with such requirements, the Operating Partnership will use its best efforts to have such amendment or new registration statement declared effective as soon as practicable (if it is not an automatic shelf registration statement with respect to the Notes) and the Operating Partnership will furnish to the Underwriters such number of copies of such amendment, supplement or new registration statement as the Underwriters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Notes)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Operating Partnership will promptly notify the Representatives and will promptly amend or supplement, at its own expense, such Issuer Free Writing Prospectus or preliminary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Filing of Amendments and 1934 Act Documents</w:t>
      </w:r>
      <w:r>
        <w:rPr>
          <w:rFonts w:ascii="Times New Roman;Times;Serif" w:hAnsi="Times New Roman;Times;Serif"/>
          <w:b w:val="false"/>
          <w:i w:val="false"/>
          <w:caps w:val="false"/>
          <w:smallCaps w:val="false"/>
          <w:sz w:val="20"/>
        </w:rPr>
        <w:t>. The Operating Partnership will give the Representatives notice of its intention to file or prepare any amendment to the Registration Statement or new registration statement relating to the Notes or any amendment, supplement or revision to either any preliminary prospectus (including any prospectus included in the Original Registration Statement or amendment thereto at the time it became effective) or to the Prospectus, whether pursuant to the 1933 Act, the 1934 Act or otherwise, and the Operating Partnership will furnish the Representatives with copies of any such documents a reasonable amount of time prior to such proposed filing or use, as the case may be, and will not file or use any such document to which the Representatives or counsel for the Underwriters shall object. Neither the consent of the Underwriters, nor the Underwriters’ delivery of any such amendment or supplement, shall constitute a waiver of any of the conditions set forth in Section 5 hereof. The Operating Partnership will give the Representatives prompt notice of any filings made pursuant to the 1934 Act or 1934 Act Regulations within 48 hours prior to the Applicable Time; the Operating Partnership will give the Representatives notice of its intention to make any filings pursuant to the 1934 Act or 1934 Act Regulations from the Applicable Time to the Closing Time and will furnish the Representatives with copies of any such documents a reasonable amount of time prior to such proposed filing and will not file or use any such document to which the Representatives or counsel for the Underwriters shall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Renewal of Registration Statement. </w:t>
      </w:r>
      <w:r>
        <w:rPr>
          <w:rFonts w:ascii="Times New Roman;Times;Serif" w:hAnsi="Times New Roman;Times;Serif"/>
          <w:b w:val="false"/>
          <w:i w:val="false"/>
          <w:caps w:val="false"/>
          <w:smallCaps w:val="false"/>
          <w:sz w:val="20"/>
        </w:rPr>
        <w:t>If immediately prior to the third anniversary of February 23, 2024 (such third anniversary, the “Renewal Deadline”) any of the Notes remain unsold by the Underwriters, the Operating Partnership will, prior to the Renewal Deadline, promptly notify the Representatives and file, if it has not already done so and is eligible to do so, an automatic shelf registration statement (as defined in Rule 405 of the 1933 Act Regulations) relating to such Notes, in a form satisfactory to the Representatives. If at the Renewal Deadline any of the Notes remain unsold by the Underwriters and the Operating Partnership is not eligible to file an automatic shelf registration statement, the Operating Partnership will, if it has not already done so, promptly notify the Representatives and file a new shelf registration statement or post-effective amendment on the proper form relating to such Notes in a form satisfactory to the Representatives, and will use its best efforts to cause such registration statement or post-effective amendment to be declared effective as soon as practicable after the Renewal Deadline and promptly notify the Representatives of such effectiveness. The Operating Partnership will take all other action necessary or appropriate to permit the public offering and sale of the Notes to continue as contemplated in the expired registration statement relating thereto. References herein to the “Registration Statement” shall include such automatic shelf registration statement or such new shelf registration statement or post-effective amendment,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Blue-Sky Qualifications</w:t>
      </w:r>
      <w:r>
        <w:rPr>
          <w:rFonts w:ascii="Times New Roman;Times;Serif" w:hAnsi="Times New Roman;Times;Serif"/>
          <w:b w:val="false"/>
          <w:i w:val="false"/>
          <w:caps w:val="false"/>
          <w:smallCaps w:val="false"/>
          <w:sz w:val="20"/>
        </w:rPr>
        <w:t xml:space="preserve">. The Operating Partnership shall use its best efforts, in cooperation with the Underwriters, to qualify the Notes for offering and sale under the applicable securities laws of such states and other jurisdictions (domestic or foreign) as the Underwriters may designate and to maintain such qualifications in effect for a period of not less than one year from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Operating Partnership shall not be obligated to file any general consent to service of process or to qualify or register as a foreign partnership or as a dealer in securities in any jurisdiction in which it is not so qualified or registered, or provide any undertaking or make any change in its charter or by-laws that the Board of Directors of the Company reasonably determines to be contrary to the best interests of the Operating Partnership and its unitholders or to subject itself to taxation in respect of doing business in any jurisdiction in which it is not otherwise so subject. In each jurisdiction in which the Notes have been so qualified or registered, the Operating Partnership shall file such statements and reports as may be required by the laws of such jurisdiction to continue such qualification in effect for a period of not less than one year from the date of this Agreement. The Operating Partnership will also supply the Underwriters with such information as is necessary for the determination of the legality of the Notes for investment under the laws of such jurisdictions as the Underwriters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Stop Order by State Securities Commission</w:t>
      </w:r>
      <w:r>
        <w:rPr>
          <w:rFonts w:ascii="Times New Roman;Times;Serif" w:hAnsi="Times New Roman;Times;Serif"/>
          <w:b w:val="false"/>
          <w:i w:val="false"/>
          <w:caps w:val="false"/>
          <w:smallCaps w:val="false"/>
          <w:sz w:val="20"/>
        </w:rPr>
        <w:t>. The Operating Partnership shall advise the Underwriters promptly and, if requested by any Underwriter, to confirm such advice in writing, of the issuance by any state securities commission or other regulatory authority of any stop order suspending the qualification or exemption from qualification of any of the Notes for offering or sale in any jurisdiction, or the initiation of any proceeding for such purpose by any state securities commission or other regulatory authority. The Operating Partnership shall use its reasonable best efforts to prevent the issuance of any stop order or order suspending the qualification or exemption of any of the Notes under any state securities or Blue Sky laws, and if at any time any state securities commission or other regulatory authority shall issue an order suspending the qualification or exemption of any of the Notes under any state securities or Blue Sky laws, the Operating Partnership shall use its reasonable best efforts to obtain the withdrawal or lifting of such order at the earliest possible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Earnings Statement</w:t>
      </w:r>
      <w:r>
        <w:rPr>
          <w:rFonts w:ascii="Times New Roman;Times;Serif" w:hAnsi="Times New Roman;Times;Serif"/>
          <w:b w:val="false"/>
          <w:i w:val="false"/>
          <w:caps w:val="false"/>
          <w:smallCaps w:val="false"/>
          <w:sz w:val="20"/>
        </w:rPr>
        <w:t>. The Operating Partnership shall timely file such reports pursuant to the 1934 Act as are necessary in order to make generally available to its security holders as soon as practicable an earnings statement (in form complying with Rule 158 of the 1933 Act Regulations) for the purposes of, and to provide to the Underwriters the benefits contemplated by, the last paragraph of Section 11(a)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The Operating Partnership, during the period when a prospectus is required to be delivered (or but for Rule 172 of the 1933 Act Regulations would be required to be delivered) under the 1933 Act, will file all documents required to be filed with the Commission pursuant to the 1934 Act within the time periods required by the 1934 Act and the 1934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Issuer Free Writing Prospectuses; Preparation of the Final Term Sheets</w:t>
      </w:r>
      <w:r>
        <w:rPr>
          <w:rFonts w:ascii="Times New Roman;Times;Serif" w:hAnsi="Times New Roman;Times;Serif"/>
          <w:b w:val="false"/>
          <w:i w:val="false"/>
          <w:caps w:val="false"/>
          <w:smallCaps w:val="false"/>
          <w:sz w:val="20"/>
        </w:rPr>
        <w:t xml:space="preserve">. The Operating Partnership represents and agrees that, unless it obtains the prior consent of the Representatives, and each Underwriter represents and agrees that, unless it obtains the prior consent of the Operating Partnership and the Representatives, it has not made and will not make any offer relating to the Notes that would constitute an “issuer free writing prospectus,” as defined in Rule 433, or that would otherwise constitute a “free writing prospectus,” as defined in Rule 405, required to be filed with the Commission. Any such free writing prospectus consented to by the Operating Partnership and the Representatives is hereinafter referred to as a “Permitted Free Writing Prospectus.” The Operating Partnership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record-keeping. Notwithstanding the foregoing, the Operating Partnership consents to the use by any Underwriter of a free writing prospectus that (a) is not an “issuer free writing prospectus” as defined in Rule 433, and (b) contains only (i) information describing the preliminary terms of the Notes or their offering or (ii) information that describes the final terms of the Notes or their offering and that is included in the Final Term Sheets. With respect to each series of Notes, the Operating Partnership will prepare a final term sheet reflecting the final terms of such Notes (each, a “Final Term Sheet” and, collectively, the “Final Term Sheets”), substantially in the form set forth in </w:t>
      </w:r>
      <w:r>
        <w:rPr>
          <w:rFonts w:ascii="Times New Roman;Times;Serif" w:hAnsi="Times New Roman;Times;Serif"/>
          <w:b/>
          <w:i w:val="false"/>
          <w:caps w:val="false"/>
          <w:smallCaps w:val="false"/>
          <w:sz w:val="20"/>
        </w:rPr>
        <w:t xml:space="preserve">Schedule 4A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4B</w:t>
      </w:r>
      <w:r>
        <w:rPr>
          <w:rFonts w:ascii="Times New Roman;Times;Serif" w:hAnsi="Times New Roman;Times;Serif"/>
          <w:b w:val="false"/>
          <w:i w:val="false"/>
          <w:caps w:val="false"/>
          <w:smallCaps w:val="false"/>
          <w:sz w:val="20"/>
        </w:rPr>
        <w:t xml:space="preserve">, as applicable (but also including the expected ratings of the Notes), and shall file each Final Term Sheet as an “issuer free writing prospectus” pursuant to Rule 433 prior to the close of business two business days after the date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Operating Partnership shall furnish the Representatives with copies of each Final Term Sheet a reasonable amount of time prior to such proposed filing and will not use or file any such document to which the Representatives or counsel to the Underwriters shall object. Each Final Term Sheet is an Issuer Free Writing Prospectus and a Permitted Free Writing Prospectus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REIT Qualification</w:t>
      </w:r>
      <w:r>
        <w:rPr>
          <w:rFonts w:ascii="Times New Roman;Times;Serif" w:hAnsi="Times New Roman;Times;Serif"/>
          <w:b w:val="false"/>
          <w:i w:val="false"/>
          <w:caps w:val="false"/>
          <w:smallCaps w:val="false"/>
          <w:sz w:val="20"/>
        </w:rPr>
        <w:t>. The Company shall use its best efforts to continue to meet the requirements for qualification and taxation as a “real estate investment trust” under the Code until the Board of Directors of the Company determines that it is no longer in the best interests of the Company to so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Operating Partnership shall use the net proceeds received by it from the sale of the Notes in the manner specified in the General Disclosure Package and the Prospectus under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1934 Act Filings</w:t>
      </w:r>
      <w:r>
        <w:rPr>
          <w:rFonts w:ascii="Times New Roman;Times;Serif" w:hAnsi="Times New Roman;Times;Serif"/>
          <w:b w:val="false"/>
          <w:i w:val="false"/>
          <w:caps w:val="false"/>
          <w:smallCaps w:val="false"/>
          <w:sz w:val="20"/>
        </w:rPr>
        <w:t>. During the period from the Closing Time until one year after the Closing Time, the Operating Partnership shall deliver to the Underwriters, (i) promptly upon their becoming available, copies of all current, regular and periodic reports of the Operating Partnership filed with any securities exchange or with the Commission or any governmental authority succeeding to any of the Commission’s functions, and (ii) such other information concerning the Operating Partnership as the Underwriters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In respect of the offering of the Notes, the Operating Partnership shall execute a supplemental indenture designating the two series of debt securities to be offered and their related terms and provisions in accordance with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Ratings</w:t>
      </w:r>
      <w:r>
        <w:rPr>
          <w:rFonts w:ascii="Times New Roman;Times;Serif" w:hAnsi="Times New Roman;Times;Serif"/>
          <w:b w:val="false"/>
          <w:i w:val="false"/>
          <w:caps w:val="false"/>
          <w:smallCaps w:val="false"/>
          <w:sz w:val="20"/>
        </w:rPr>
        <w:t>. The Operating Partnership shall take all reasonable action necessary to enable the rating agencies referred to in each Final Term Sheet (each, a “Specified Rating Agency” and, collectively, the “Specified Rating Agencies”) to provide their respective credit ratings of the Notes as specified in each Final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Operating Partnership shall cooperate with the Underwriters and use commercially reasonable efforts to permit the Notes to be eligible for clearance and settlement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Regulation M.</w:t>
      </w:r>
      <w:r>
        <w:rPr>
          <w:rFonts w:ascii="Times New Roman;Times;Serif" w:hAnsi="Times New Roman;Times;Serif"/>
          <w:b w:val="false"/>
          <w:i w:val="false"/>
          <w:caps w:val="false"/>
          <w:smallCaps w:val="false"/>
          <w:sz w:val="20"/>
        </w:rPr>
        <w:t xml:space="preserve"> Neither the Operating Partnership nor any Affiliate of the Operating Partnership will take any action prohibited by Regulation M under the 1934 Act in connection with the distribution of the Notes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The Operating Partnership shall pay all expenses incident to the performance of its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between the Underwriters, any Indenture and such other documents as may be required in connection with the offering, purchase, sale and delivery of the Notes, (iii) the preparation, issuance, authentication and delivery of the Notes, or any certificates for the Notes to the Underwriters, including any transfer taxes, any stamp or other duties payable upon the sale, issuance and delivery of the Notes to the Underwriters and any charges of DTC in connection herewith, (iv) the fees and disbursements of the Operating Partnership’s counsel, accountants and other advisors or agents (including transfer agents and registrars), and their respective counsel, (v) the qualification of the Notes under state securities and real estate syndication laws in accordance with the provisions of Section 3(g) hereof, including filing fees and the reasonable fees and disbursements of counsel for the Underwriters in connection therewith and in connection with the preparation, printing and delivery of a blue-sky survey, (vi) the printing and delivery to the Underwriters of copies of each preliminary prospectus, any Permitted Free Writing Prospectus and the Prospectus (including financial statements and any schedules or exhibits and any document incorporated by reference) and any amendments or supplements thereto and any costs associated with electronic delivery of any of the foregoing by the Underwriters to investors, (vii) the fees charged by nationally recognized statistical rating organizations for the rating of the Notes, if applicable, (viii) fees and expenses of the Trustee, including the fees and disbursements of counsel for the Trustee, (ix) the costs and expenses of the Operating Partnership relating to investor presentations on any “road show” undertaken in connection with the marketing of the Notes, including, without limitation, expenses associated with the production of road show slides and graphics, fees and expenses of any consultants engaged in connection with the road show presentations, travel and lodging expenses of the representatives and officers of the Operating Partnership and any such consultants, and the cost of aircraft and other transportation chartered in connection with the road show, and (x) the costs and expenses (including without limitation any damages or other amounts payable in connection with legal or contractual liability) associated with the reforming of any contracts for sale of the Notes made by the Underwriters caused by a breach of the representation contained in Section 1(a)(4).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this Agreement is terminated by the Representatives in accordance with the provisions of Section 5, Section 9(a)(i) or Section 9(a)(iii) (with respect to the Operating Partnership’s securities), the Operating Partnership shall reimburse the Underwriters for all of their out-of-pocket expenses, including the reasonable fees and disbursements of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Underwriters are subject to the accuracy of the representations and warranties of the Operating Partnership contained in Section 1 hereof or in certificates of any officer or authorized representative of the Operating Partnership or any other Simon Entity delivered pursuant to the provisions hereof, to the performance by the Operating Partnership of its covenants and other obligations hereunder, and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Effectiveness of Registration Statement; Filing of Prospectus; Payment of Filing Fee</w:t>
      </w:r>
      <w:r>
        <w:rPr>
          <w:rFonts w:ascii="Times New Roman;Times;Serif" w:hAnsi="Times New Roman;Times;Serif"/>
          <w:b w:val="false"/>
          <w:i w:val="false"/>
          <w:caps w:val="false"/>
          <w:smallCaps w:val="false"/>
          <w:sz w:val="20"/>
        </w:rPr>
        <w:t>. The Registration Statement has become effective and at the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supplement containing the Rule 430B Information shall have been filed with the Commission in the manner and within the time period required by Rule 424(b) without reliance on Rule 424(b)(8) (or a post-effective amendment providing such information shall have been filed and become effective in accordance with the requirements of Rule 430B). The Final Term Sheets shall have been filed in accordance with Section 3(k). The Operating Partnership shall have paid the required Commission filing fees relating to the Notes within the time period required by Rule 456(b)(1)(i) of the 1933 Act Regulations without regard to the proviso therein and otherwise in accordance with Rules 456(b) and 457(r) of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Opinions of Counsel for Operating Partnership</w:t>
      </w:r>
      <w:r>
        <w:rPr>
          <w:rFonts w:ascii="Times New Roman;Times;Serif" w:hAnsi="Times New Roman;Times;Serif"/>
          <w:b w:val="false"/>
          <w:i w:val="false"/>
          <w:caps w:val="false"/>
          <w:smallCaps w:val="false"/>
          <w:sz w:val="20"/>
        </w:rPr>
        <w:t>. At the Closing Time, the Underwriters shall have received the favorable opinions, dated as of the Closing Time, of Latham &amp; Watkins LLP, special counsel for the Operating Partnership, Barnes &amp; Thornburg, Indiana counsel for the Operating Partnership and Steven E. Fivel, the General Counsel of the Operating Partnership, or such other counsel as is designated by the Operating Partnership, in form and substance satisfactory to counsel for the Underwriters, together with signed or reproduced copies of such opinion for each of the Underwriters. Such opinions shall address the items set forth in Exhibits A-1, A-2 and 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Opinion of Counsel for Underwriters</w:t>
      </w:r>
      <w:r>
        <w:rPr>
          <w:rFonts w:ascii="Times New Roman;Times;Serif" w:hAnsi="Times New Roman;Times;Serif"/>
          <w:b w:val="false"/>
          <w:i w:val="false"/>
          <w:caps w:val="false"/>
          <w:smallCaps w:val="false"/>
          <w:sz w:val="20"/>
        </w:rPr>
        <w:t>. At the Closing Time, the Underwriters shall have received the favorable opinion, dated as of the Closing Time, of Sidley Austin LLP, counsel for the Underwriters, together with signed or reproduced copies of such opinion for each of the Underwriters, with respect to those matters requested by the Underwriters. In giving such opinion, such counsel may rely, as to all matters governed by the laws of jurisdictions other than the law of the State of New York, the federal securities law of the United States, the Indiana Business Corporation Law and the Indiana Limited Partnership Act, upon the opinions of counsel satisfactory to the Representatives. Such counsel may also state that, insofar as such opinion involves factual matters, they have relied, to the extent they deem proper, upon certificates of officers or authorized representatives of the Operating Partnership and the other Simon Entities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At the Closing Time, there shall not have been, since the date of this Agreement or since the respective dates as of which information is given in the Prospectus or the General Disclosure Package, any material adverse change in the condition, financial or otherwise, or in the earnings, business affairs or business prospects of the Simon Entities considered as one enterprise, whether or not arising in the ordinary course of business, and the Representatives shall have received a certificate of the Chief Executive Officer, President or a Vice President and of the Chief Financial Officer or Chief Accounting Officer of the Company, as the sole general partner of the Operating Partnership, dated as of the Closing Time, to the effect that (i) there has been no such material adverse change, (ii) the representations and warranties in Section 1 hereof are true and correct, in all material respects, with the same force and effect as though expressly made at and as of the Closing Time, (iii) the Operating Partnership has complied with all agreements and satisfied all conditions on its part to be performed or satisfied at or prior to the Closing Time, (iv) no stop order suspending the effectiveness of the Registration Statement has been issued and no proceedings for that purpose have been instituted or are pending or, to their knowledge, contemplated by the Commission, (v) no order suspending the sale of the Notes in any jurisdiction has been issued and no proceedings for that purpose have been initiated or threatened by the state securities authority of any jurisdiction; (vi) none of the Registration Statement, the General Disclosure Package, the Prospectus or any Issuer Free Writing Prospectus included an untrue statement of a material fact or omitted to state a material fact necessary in order to make the statements therein, in the light of the circumstances under which they were made, not misleading; and (vii) none of the events listed in Section 9(a)(iii)(x)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Chief Financial Officer’s Certificate. </w:t>
      </w:r>
      <w:r>
        <w:rPr>
          <w:rFonts w:ascii="Times New Roman;Times;Serif" w:hAnsi="Times New Roman;Times;Serif"/>
          <w:b w:val="false"/>
          <w:i w:val="false"/>
          <w:caps w:val="false"/>
          <w:smallCaps w:val="false"/>
          <w:sz w:val="20"/>
        </w:rPr>
        <w:t>At the time of the execution of this Agreement, the Representatives shall have received a certificate of the Chief Financial Officer or Chief Accounting Officer of the Company, dated such date, in form and substance reasonably satisfactory to the Representatives and counsel to the Underwriters, confirming that the selected information is correct, complete and accurate in all material respects as of the applicable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Accountant’s Comfort Letter. </w:t>
      </w:r>
      <w:r>
        <w:rPr>
          <w:rFonts w:ascii="Times New Roman;Times;Serif" w:hAnsi="Times New Roman;Times;Serif"/>
          <w:b w:val="false"/>
          <w:i w:val="false"/>
          <w:caps w:val="false"/>
          <w:smallCaps w:val="false"/>
          <w:sz w:val="20"/>
        </w:rPr>
        <w:t>At the time of the execution of this Agreement, the Representatives shall have received from Ernst &amp; Young LLP a letter, dated such date, in form and substance satisfactory to the Representatives and counsel to the Underwriters, together with signed or reproduced copies of such letter for each of the other Underwriters, containing statements and information of the type ordinarily included in accountants’ “comfort letters” to underwriters as set forth in AU Section 634 of the AICPA Professional Standards with respect to the financial statements and certain financial information contained or incorporated by reference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Bring-down Comfort Letter</w:t>
      </w:r>
      <w:r>
        <w:rPr>
          <w:rFonts w:ascii="Times New Roman;Times;Serif" w:hAnsi="Times New Roman;Times;Serif"/>
          <w:b w:val="false"/>
          <w:i w:val="false"/>
          <w:caps w:val="false"/>
          <w:smallCaps w:val="false"/>
          <w:sz w:val="20"/>
        </w:rPr>
        <w:t>. At the Closing Time, the Underwriters shall have received from Ernst &amp; Young LLP a letter, dated as of the Closing Time, to the effect that they reaffirm the statements made in the letter furnished pursuant to subsection (f) of this Section 5, except that the specified date referred to shall be a date not more than three business days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Maintenance of Rating</w:t>
      </w:r>
      <w:r>
        <w:rPr>
          <w:rFonts w:ascii="Times New Roman;Times;Serif" w:hAnsi="Times New Roman;Times;Serif"/>
          <w:b w:val="false"/>
          <w:i w:val="false"/>
          <w:caps w:val="false"/>
          <w:smallCaps w:val="false"/>
          <w:sz w:val="20"/>
        </w:rPr>
        <w:t>. At the Closing Time, the Specified Rating Agencies shall have provided ratings on the Notes of at least the respective expected credit ratings specified in the applicable Final Term Sheet, and the Operating Partnership shall have delivered to the Representatives a letter dated the Closing Time, from each Specified Rating Agency, or other evidence satisfactory to the Underwriters, confirming that the Notes have such ratings; and since the date of this Agreement, there shall not have occurred a downgrading in, or withdrawal of, the rating assigned to the Notes or any of the Operating Partnership’s other debt securities by any “nationally recognized statistical rating organization,” as that term is defined in Section 3(a)(62) of the 1934 Act, and no such securities rating agency shall have publicly announced that it has under surveillance or review its rating of the Notes or any of the Operating Partnership’s other debt securities, which does not indicate affirmation or improvement in the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At the Closing Time, counsel for the Underwriters shall have been furnished with such documents and opinions as they may require for the purpose of enabling them to pass upon the issuance and sale of the Notes as herein contemplated, or in order to evidence the accuracy of any of the representations or warranties, or the fulfillment of any of the conditions, herein contained; and all proceedings taken by the Operating Partnership in connection with the issuance and sale of the Notes as herein contemplated shall be satisfactory in form and substance to the Representatives and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Termination of this Agreement</w:t>
      </w:r>
      <w:r>
        <w:rPr>
          <w:rFonts w:ascii="Times New Roman;Times;Serif" w:hAnsi="Times New Roman;Times;Serif"/>
          <w:b w:val="false"/>
          <w:i w:val="false"/>
          <w:caps w:val="false"/>
          <w:smallCaps w:val="false"/>
          <w:sz w:val="20"/>
        </w:rPr>
        <w:t>. If any condition specified in this Section 5 shall not have been fulfilled when and as required to be fulfilled, this Agreement may be terminated by the Representatives by notice to the Operating Partnership at any time at or prior to the Closing Time, and such termination shall be without liability of any party to any other party except as provided in Section 4, and except that Sections 1, 6, 7, 8, 13 and 14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Underwriters</w:t>
      </w:r>
      <w:r>
        <w:rPr>
          <w:rFonts w:ascii="Times New Roman;Times;Serif" w:hAnsi="Times New Roman;Times;Serif"/>
          <w:b w:val="false"/>
          <w:i w:val="false"/>
          <w:caps w:val="false"/>
          <w:smallCaps w:val="false"/>
          <w:sz w:val="20"/>
        </w:rPr>
        <w:t>. The Operating Partnership agrees to indemnify and hold harmless each Underwriter, its selling agents and each person, if any, who controls any Underwriter within the meaning of Section 15 of the 1933 Act or Section 20 of the 1934 Act and their respective officers, directors, members, Affiliates and employees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contained in any preliminary prospectus, any Issuer Free Writing Prospectus, the General Disclosure Package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(subject to Section 6(d) below) any such settlement is effected with the written consent of the Operating Partnership;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against any and all expense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(1) or (2)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in reliance upon and in conformity with written information furnished to the Operating Partnership by any Underwriter through the Representatives expressly for use in the Registration Statement (or any amendment thereto) or any preliminary prospectus, any Issuer Free Writing Prospectus or the Prospectus (or any amendment or supplement thereto), it being understood and agreed that the only such information furnished by any Underwriter consists of the information described in Section 6(b)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Operating Partnership, Company and Company’s Directors and Officers</w:t>
      </w:r>
      <w:r>
        <w:rPr>
          <w:rFonts w:ascii="Times New Roman;Times;Serif" w:hAnsi="Times New Roman;Times;Serif"/>
          <w:b w:val="false"/>
          <w:i w:val="false"/>
          <w:caps w:val="false"/>
          <w:smallCaps w:val="false"/>
          <w:sz w:val="20"/>
        </w:rPr>
        <w:t>. Each Underwriter severally, and not jointly, agrees to indemnify and hold harmless the Operating Partnership, the Company, each of the Company’s directors, each of its officers who signed the Registration Statement and each person, if any, who controls the Operating Partnership or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or any preliminary prospectus, any Issuer Free Writing Prospectus or the Prospectus (or any amendment or supplement thereto) in reliance upon and in conformity with written information furnished to the Operating Partnership by such Underwriter through the Representatives expressly for use therein. The Operating Partnership hereby acknowledges that the only information that the Underwriters have furnished to the Operating Partnership expressly for use in the Registration Statement (or any amendment thereto), including the Rule 430B Information or any preliminary prospectus, any Issuer Free Writing Prospectus or the Prospectus (or any amendment or supplement thereto) are the statements set forth in (i) the names of the Underwriters contained on the cover page and on the back page of the Prospectus and in the table under the caption “Underwriting (Conflicts of Interest)” in the Prospectus, (ii) the first paragraph under the caption “Underwriting (Conflicts of Interest)—Commissions and Discounts” in the Prospectus, (iii) the third sentence of the first paragraph under the caption “Underwriting (Conflicts of Interest)—New Issues of Notes” in the Prospectus, (iv) the first and second paragraphs under the caption “Underwriting (Conflicts of Interest)—Price Stabilization and Short Positions” in the Prospectus and (v) the last two sentences of the third paragraph under the caption “Underwriting (Conflicts of Interest)—Price Stabilization and Short Positions”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Actions Against Parties; Notification</w:t>
      </w:r>
      <w:r>
        <w:rPr>
          <w:rFonts w:ascii="Times New Roman;Times;Serif" w:hAnsi="Times New Roman;Times;Serif"/>
          <w:b w:val="false"/>
          <w:i w:val="false"/>
          <w:caps w:val="false"/>
          <w:smallCaps w:val="false"/>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Operating Partnership. An indemnifying party may participate at its own expense in the defense of any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Settlement Without Consent If Failure to Reimburse</w:t>
      </w:r>
      <w:r>
        <w:rPr>
          <w:rFonts w:ascii="Times New Roman;Times;Serif" w:hAnsi="Times New Roman;Times;Serif"/>
          <w:b w:val="false"/>
          <w:i w:val="false"/>
          <w:caps w:val="false"/>
          <w:smallCaps w:val="false"/>
          <w:sz w:val="20"/>
        </w:rPr>
        <w:t>. If at any time an indemnified party shall have requested an indemnifying party to reimburse the indemnified party for fees and expenses of counsel in accordance with the provisions hereof, such indemnifying party agrees that it shall be liable for any settlement of the nature contemplated by Section 6(a)(2) effected without its written consent if (i) such settlement is entered into in good faith by the indemnified party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Operating Partnership, on the one hand, and the Underwriters, on the other hand, from the offering of the Notes of the applicable series pursuant to this Agreement or (ii) if the allocation provided by clause (i) is not permitted by applicable law, in such proportion as is appropriate to reflect not only the relative benefits referred to in clause (i) above but also the relative fault of the Operating Partnership, on the one hand, and of the Underwriters, on the other hand, in connection with the statements or omissions which resulted in such losses, liabilities, claims, damages or expenses, as well as any other relevant equitable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benefits received by the Operating Partnership, on the one hand, and the Underwriters, on the other hand, in connection with the offering of the Notes of the applicable series pursuant to this Agreement shall be deemed to be in the same respective proportions as the total net proceeds from the offering of such Notes (before deducting expenses) received by the Operating Partnership and the total underwriting discount received by the Underwriters, in each case as set forth on the cover of the Prospectus, bear to the aggregate initial public offering price of such Notes as set forth on the cover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fault of the Operating Partnership, on the one hand, and the Underwriters, on the other hand, shall be determined by reference to, among other things, whether any such untrue or alleged untrue statement of a material fact or omission or alleged omission to state a material fact relates to information supplied by the Operating Partnership or by the Underwriters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7, no Underwriter shall be required to contribute any amount in excess of the amount by which the total price at which the Notes of the applicable series underwritten by it and distributed to the public were offered to the public exceeds the amount of any damages which such Underwriter has otherwise been required to pay by reason of any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guilty of fraudulent misrepresentation (within the meaning of Section 11(f) of the 1933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Section 7, each person, if any, who controls an Underwriter within the meaning of Section 15 of the 1933 Act or Section 20 of the 1934 Act and each Underwriter’s officers, directors, members, Affiliates, employees and selling agents shall have the same rights to contribution as such Underwriter, and each director of the Company, each officer of the Company who signed the Registration Statement and each person, if any, who controls the Operating Partnership or the Company within the meaning of Section 15 of the 1933 Act or Section 20 of the 1934 Act shall have the same rights to contribution as the Operating Partnership. The Underwriters’ respective obligations to contribute pursuant to this Section 7 are several in proportion to the aggregate principal amount of Notes of the applicable series set forth opposite their respective names in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hereto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Representations, Warranties and Agreements to Survive Delivery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warranties and agreements contained in this Agreement or in certificates of officers of the Operating Partnership or the Company or authorized representatives of each of the Operating Partnership or the Company submitted pursuant hereto or thereto shall remain operative and in full force and effect, regardless of (i) any investigation made by or on behalf of any Underwriter or its Affiliates or selling agents, any person controlling any Underwriter, its officers or directors or any person controlling the Operating Partnership or the Company, and (ii) delivery of and payment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Termination; General</w:t>
      </w:r>
      <w:r>
        <w:rPr>
          <w:rFonts w:ascii="Times New Roman;Times;Serif" w:hAnsi="Times New Roman;Times;Serif"/>
          <w:b w:val="false"/>
          <w:i w:val="false"/>
          <w:caps w:val="false"/>
          <w:smallCaps w:val="false"/>
          <w:sz w:val="20"/>
        </w:rPr>
        <w:t>. The Representatives may terminate this Agreement, by notice to the Operating Partnership, at any time at or prior to the Closing Time (i) if there has been, since the time of execution of this Agreement or since the earlier of the respective dates as of which information is given in the Registration Statement, the Prospectus or the General Disclosure Package, any material adverse change in the condition, financial or otherwise, or in the earnings, business affairs or business prospects of the Operating Partnership and the other Simon Entities considered as one enterprise, whether or not arising in the ordinary course of business, the effect of which is such as to make it, in the reasonable judgment of the Underwriters, impracticable or inadvisable to proceed with the offering or delivery of the Notes as contemplated in the Registration Statement, the Prospectus or the General Disclosure Package, or (ii) if there has occurred (A) any material adverse change in the financial markets in the United States or the international financial markets, (B) any outbreak of hostilities or escalation thereof or other calamity or crisis, (C) a declaration by the United States of a national emergency or war, or (D) any change or development involving a prospective change in national or international political, financial, or economic conditions, in each case, the effect of which is such as to make it, in the judgment of the Representatives, impracticable or inadvisable to market the Notes or to enforce contracts for the sale of the Notes, or (iii) (x) if trading in any securities of the Company has been suspended or materially limited by the Commission or the New York Stock Exchange (the “NYSE”), or (y) if trading generally on the NYSE, the Nasdaq Global Market or the NYSE American or in the over-the-counter market has been suspended or limited, or minimum or maximum prices for trading have been fixed, or maximum ranges for prices have been required, by any of said exchanges or by such system or by order of the Commission, FINRA or any other governmental authority, or (iv) if a banking moratorium has been declared by Federal, New York, or Indiana authorities, or (v) if a material disruption in commercial banking or securities settlement or clearance services in the United States has occurred, or (vi) if the rating assigned by any nationally recognized statistical rating organization to any debt securities of the Operating Partnership as of the date hereof shall have been downgraded, or withdrawn, since such date or if any such rating organization shall have publicly announced that it has placed any series of debt securities of the Operating Partnership under surveillance or review as to the rating of such debt securities or any of the Operating Partnership’s other securities, which does not indicate affirmation or improvement in the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xml:space="preserve">. If this Agreement is terminated pursuant to this Section 9, such termination shall be without liability of any party to any other party except as provided in Section 4 hereof,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Sections 1, 6, 7, 8, 9, 13 and 14 hereof shall survive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Default by One or More of the Underwriters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 Underwriters shall fail at the Closing Time to purchase the Notes which it is, or they are, obligated to purchase under this Agreement (the “Defaulted Notes”), the Representatives shall have the right, within 24 hours thereafter, to make arrangements for one or more of the non-defaulting Underwriters or any other underwriter(s) to purchase all, but not less than all, of the Defaulted Notes in such amounts as may be agreed upon and upon the terms herein set forth; if, however, the Representatives shall not have completed such arrangements within such 24-hour period,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aggregate principal amount of Defaulted Notes does not exceed 10% of the aggregate principal amount of the Notes to be purchased hereunder, each non-defaulting Underwriter shall be obligated, severally and not jointly, to purchase the full amount thereof in the proportions that their respective underwriting obligations hereunder bear to the underwriting obligations of all non-defaulting Underwriters,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aggregate principal amount of Defaulted Notes exceeds 10% of the aggregate principal amount of the Notes to be purchased hereunder, this Agreement shall terminate without liability on the part of any non-defaulting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taken pursuant to this Section shall relieve any defaulting Underwriter from liability in respect of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such default which does not result in a termination of this Agreement, either the Representatives or the Operating Partnership shall have the right to postpone the Closing Time for a period not exceeding seven days in order to effect any required changes in the Registration Statement, the preliminary prospectus or the Prospectus or in any other documents or arrangements. As used herein, the term “Underwriter” includes any person substituted for an Underwriter under this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other communications hereunder shall be in writing and shall be deemed to have been duly given if mailed or transmitted by any standard form of telecommunication. Notices to the Underwriters shall be directed to the Representatives: J.P. Morgan Securities LLC, 270 Park Avenue, New York, New York 10017, Attention: Investment Grade Syndicate Desk, fax: (212) 834-6081; Mizuho Securities USA LLC, Attention: Debt Capital Markets, email: BA_DCM_Notices@mizuhogroup.com; PNC Capital Markets LLC, 300 Fifth Avenue, 10th Floor, Pittsburgh, Pennsylvania 15222, Attention: Debt Capital Markets, Fixed Income Transaction Execution, email: capitalmarketsnotices@pnc.com; and Wells Fargo Securities, LLC, 550 South Tryon Street, 5th Floor, Charlotte, North Carolina 28202, Attention: Transaction Management, email: tmgcapitalmarkets@wellsfargo.com; and notices to the Simon Entities shall be directed to any of them at 225 West Washington Street, Indianapolis, Indiana 46204, to the attention of Mr. Eli Simon and Mr. Steven E. Fivel.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inure to the benefit of and be binding upon the parties hereto and their respective successors. Nothing expressed or mentioned in this Agreement is intended or shall be construed to give any person, firm or corporation, other than the Underwriters, the Operating Partnership,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said controlling persons and officers and directors and their heirs and legal representatives and the Company, and for the benefit of no other person, firm or corporation. No purchaser of Notes from any Underwriter shall be deemed to be a successor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i w:val="false"/>
          <w:caps w:val="false"/>
          <w:smallCaps w:val="false"/>
          <w:sz w:val="20"/>
          <w:u w:val="single"/>
        </w:rPr>
        <w:t>GOVERNING LAW AND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AGREEMENT SHALL BE GOVERNED BY AND CONSTRUED IN ACCORDANCE WITH THE LAWS OF THE STATE OF NEW YORK APPLICABLE TO AGREEMENTS MADE AND TO BE PERFORMED IN SAID STATE. TIME SHALL BE OF THE ESSENCE TO THIS AGREEMENT. EXCEPT AS OTHERWISE SET FORTH HEREIN, SPECIFIED TIMES OF DAY REFER TO NEW YORK CITY TIME. THE OPERATING PARTNERSHIP AND THE UNDERWRITERS HEREBY WAIVE ALL RIGHT TO TRIAL BY JURY IN ANY PROCEEDING (WHETHER BASED UPON CONTRACT, TORT OR OTHERWISE) WITH RESPECT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acknowledges and agrees that (a) the purchase and sale of the Notes pursuant to this Agreement, including the determination of the public offering price of the Notes of each series and any related discounts and commissions, is an arm’s-length commercial transaction between the Operating Partnership, on the one hand, and the several Underwriters, on the other hand, (b) in connection with the offering contemplated hereby and the process leading to such transaction, each Underwriter is and has been acting solely as a principal and is not the agent or fiduciary of the Operating Partnership or the Company, or its stockholders, creditors, employees or any other party, (c) no Underwriter has assumed or will assume an advisory or fiduciary responsibility in favor of the Operating Partnership or the Company with respect to the offering contemplated hereby or the process leading thereto (irrespective of whether such Underwriter has advised or is currently advising the Operating Partnership or the Company on other matters) and no Underwriter has any obligation to the Operating Partnership or the Company with respect to the offering contemplated hereby except the obligations expressly set forth in this Agreement, (d) the Underwriters and their respective Affiliates may be engaged in a broad range of transactions that involve interests that differ from those of the Operating Partnership and the Company, and (e) the Underwriters have not provided any legal, accounting, regulatory or tax advice with respect to the offering contemplated hereby and the Operating Partnership and the Company have consulted their own legal, accounting, regulatory and tax advisors to the extent they have deemed appropriate. Furthermore, the Operating Partnership agrees that it is solely responsible for making its own judgments in connection with the offering of the Notes (irrespective of whether any of the Underwriters has advised or is currently advising the Operating Partnership or the Company on related or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Underwriter that is a Covered Entity (as defined below)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supersedes all prior agreements and understandings (whether written or oral) between the Operating Partnership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counterparts (including by facsimile), each of which will constitute an original and all of which taken together will constitute one and the same agreement. The words “execution,” “signed,” “signature,” and words of like import in this Agreement or in any other certificate, agreement or document related to this Agreement, the Indenture or the Notes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the Operating Partnership a counterpart hereof, whereupon this Agreement, along with all counterparts, shall become a binding agreement among the Underwriters and the Operating Partnership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75"/>
        <w:gridCol w:w="320"/>
        <w:gridCol w:w="590"/>
        <w:gridCol w:w="4130"/>
      </w:tblGrid>
      <w:tr>
        <w:trPr/>
        <w:tc>
          <w:tcPr>
            <w:tcW w:w="75" w:type="dxa"/>
            <w:tcBorders/>
            <w:vAlign w:val="center"/>
          </w:tcPr>
          <w:p>
            <w:pPr>
              <w:pStyle w:val="TableContents"/>
              <w:bidi w:val="0"/>
              <w:spacing w:before="0" w:after="283"/>
              <w:jc w:val="left"/>
              <w:rPr/>
            </w:pPr>
            <w:r>
              <w:rPr/>
              <w:t> </w:t>
            </w:r>
          </w:p>
        </w:tc>
        <w:tc>
          <w:tcPr>
            <w:tcW w:w="504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504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4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tc>
      </w:tr>
      <w:tr>
        <w:trPr/>
        <w:tc>
          <w:tcPr>
            <w:tcW w:w="75" w:type="dxa"/>
            <w:tcBorders/>
            <w:vAlign w:val="center"/>
          </w:tcPr>
          <w:p>
            <w:pPr>
              <w:pStyle w:val="TableContents"/>
              <w:bidi w:val="0"/>
              <w:spacing w:before="0" w:after="283"/>
              <w:jc w:val="left"/>
              <w:rPr/>
            </w:pPr>
            <w:r>
              <w:rPr/>
              <w:t> </w:t>
            </w:r>
          </w:p>
        </w:tc>
        <w:tc>
          <w:tcPr>
            <w:tcW w:w="504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504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J. McDade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J. McDade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84"/>
        <w:gridCol w:w="400"/>
        <w:gridCol w:w="738"/>
        <w:gridCol w:w="1961"/>
        <w:gridCol w:w="75"/>
      </w:tblGrid>
      <w:tr>
        <w:trPr/>
        <w:tc>
          <w:tcPr>
            <w:tcW w:w="3183"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CONFIRMED AND ACCEPTED,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3099"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the date first above written:</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30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3" w:type="dxa"/>
            <w:gridSpan w:val="4"/>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J.P. MORGAN SECURITIES LLC</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30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Robert Bottamedi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Bottamedi</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26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3"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MIZUHO SECURITIES USA LLC</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30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Robert Fahrbach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Fahrbach</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26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3" w:type="dxa"/>
            <w:gridSpan w:val="4"/>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PNC CAPITAL MARKETS LLC</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30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Mitchell O’Shell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Mitchell O’Shell</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Associate</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26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3"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WELLS FARGO SECURITIES, LLC</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309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Carolyn Hurley </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Carolyn Hurley</w:t>
            </w:r>
          </w:p>
        </w:tc>
        <w:tc>
          <w:tcPr>
            <w:tcW w:w="75" w:type="dxa"/>
            <w:tcBorders/>
            <w:vAlign w:val="center"/>
          </w:tcPr>
          <w:p>
            <w:pPr>
              <w:pStyle w:val="TableContents"/>
              <w:bidi w:val="0"/>
              <w:spacing w:before="0" w:after="283"/>
              <w:jc w:val="left"/>
              <w:rPr/>
            </w:pPr>
            <w:r>
              <w:rPr/>
              <w:t> </w:t>
            </w:r>
          </w:p>
        </w:tc>
      </w:tr>
      <w:tr>
        <w:trPr/>
        <w:tc>
          <w:tcPr>
            <w:tcW w:w="84"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themselves and the other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and Principal Amount of Notes</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28" w:type="dxa"/>
          <w:right w:w="0" w:type="dxa"/>
        </w:tblCellMar>
      </w:tblPr>
      <w:tblGrid>
        <w:gridCol w:w="3080"/>
        <w:gridCol w:w="60"/>
        <w:gridCol w:w="125"/>
        <w:gridCol w:w="1145"/>
        <w:gridCol w:w="60"/>
        <w:gridCol w:w="60"/>
        <w:gridCol w:w="125"/>
        <w:gridCol w:w="1055"/>
        <w:gridCol w:w="75"/>
      </w:tblGrid>
      <w:tr>
        <w:trPr/>
        <w:tc>
          <w:tcPr>
            <w:tcW w:w="3080" w:type="dxa"/>
            <w:tcBorders>
              <w:bottom w:val="single" w:sz="8" w:space="0" w:color="000000"/>
            </w:tcBorders>
            <w:vAlign w:val="center"/>
          </w:tcPr>
          <w:p>
            <w:pPr>
              <w:pStyle w:val="TableContents"/>
              <w:bidi w:val="0"/>
              <w:spacing w:before="0" w:after="283"/>
              <w:jc w:val="left"/>
              <w:rPr>
                <w:b/>
                <w:sz w:val="20"/>
              </w:rPr>
            </w:pPr>
            <w:r>
              <w:rPr>
                <w:b/>
                <w:sz w:val="20"/>
              </w:rPr>
              <w:t>Underwriter</w:t>
            </w:r>
          </w:p>
        </w:tc>
        <w:tc>
          <w:tcPr>
            <w:tcW w:w="60" w:type="dxa"/>
            <w:tcBorders/>
            <w:tcMar>
              <w:bottom w:w="0" w:type="dxa"/>
            </w:tcMar>
            <w:vAlign w:val="center"/>
          </w:tcPr>
          <w:p>
            <w:pPr>
              <w:pStyle w:val="TableContents"/>
              <w:bidi w:val="0"/>
              <w:spacing w:before="0" w:after="283"/>
              <w:jc w:val="center"/>
              <w:rPr/>
            </w:pPr>
            <w:r>
              <w:rPr/>
              <w:t> </w:t>
            </w:r>
          </w:p>
        </w:tc>
        <w:tc>
          <w:tcPr>
            <w:tcW w:w="1270" w:type="dxa"/>
            <w:gridSpan w:val="2"/>
            <w:tcBorders>
              <w:bottom w:val="single" w:sz="8" w:space="0" w:color="000000"/>
            </w:tcBorders>
            <w:vAlign w:val="center"/>
          </w:tcPr>
          <w:p>
            <w:pPr>
              <w:pStyle w:val="TableContents"/>
              <w:bidi w:val="0"/>
              <w:spacing w:before="0" w:after="283"/>
              <w:jc w:val="center"/>
              <w:rPr>
                <w:b/>
                <w:sz w:val="20"/>
              </w:rPr>
            </w:pPr>
            <w:r>
              <w:rPr>
                <w:b/>
                <w:sz w:val="20"/>
              </w:rPr>
              <w:t>Principal</w:t>
              <w:br/>
              <w:t>Amount</w:t>
              <w:br/>
              <w:t>of</w:t>
              <w:br/>
              <w:t>2032 Notes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0" w:type="dxa"/>
            <w:gridSpan w:val="2"/>
            <w:tcBorders>
              <w:bottom w:val="single" w:sz="8" w:space="0" w:color="000000"/>
            </w:tcBorders>
            <w:vAlign w:val="center"/>
          </w:tcPr>
          <w:p>
            <w:pPr>
              <w:pStyle w:val="TableContents"/>
              <w:bidi w:val="0"/>
              <w:spacing w:before="0" w:after="283"/>
              <w:jc w:val="center"/>
              <w:rPr>
                <w:b/>
                <w:sz w:val="20"/>
              </w:rPr>
            </w:pPr>
            <w:r>
              <w:rPr>
                <w:b/>
                <w:sz w:val="20"/>
              </w:rPr>
              <w:t>Principal</w:t>
              <w:br/>
              <w:t>Amount</w:t>
              <w:br/>
              <w:t>of</w:t>
              <w:br/>
              <w:t>2036 Notes</w:t>
            </w:r>
          </w:p>
        </w:tc>
        <w:tc>
          <w:tcPr>
            <w:tcW w:w="75" w:type="dxa"/>
            <w:tcBorders/>
            <w:tcMar>
              <w:bottom w:w="0" w:type="dxa"/>
            </w:tcMar>
            <w:vAlign w:val="center"/>
          </w:tcPr>
          <w:p>
            <w:pPr>
              <w:pStyle w:val="TableContents"/>
              <w:bidi w:val="0"/>
              <w:spacing w:before="0" w:after="283"/>
              <w:jc w:val="center"/>
              <w:rPr/>
            </w:pPr>
            <w:r>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BBVA Securities Inc.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Natixis Securities Americas LLC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M&amp;T Securities, Inc.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1145" w:type="dxa"/>
            <w:tcBorders>
              <w:bottom w:val="single" w:sz="8" w:space="0" w:color="000000"/>
            </w:tcBorders>
            <w:shd w:fill="FFFFFF" w:val="clear"/>
            <w:vAlign w:val="center"/>
          </w:tcPr>
          <w:p>
            <w:pPr>
              <w:pStyle w:val="TableContents"/>
              <w:bidi w:val="0"/>
              <w:spacing w:before="0" w:after="283"/>
              <w:jc w:val="right"/>
              <w:rPr>
                <w:sz w:val="20"/>
              </w:rPr>
            </w:pPr>
            <w:r>
              <w:rPr>
                <w:sz w:val="20"/>
              </w:rPr>
              <w:t>12,000,000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1055" w:type="dxa"/>
            <w:tcBorders>
              <w:bottom w:val="single" w:sz="8" w:space="0" w:color="000000"/>
            </w:tcBorders>
            <w:shd w:fill="FFFFFF" w:val="clear"/>
            <w:vAlign w:val="center"/>
          </w:tcPr>
          <w:p>
            <w:pPr>
              <w:pStyle w:val="TableContents"/>
              <w:bidi w:val="0"/>
              <w:spacing w:before="0" w:after="283"/>
              <w:jc w:val="right"/>
              <w:rPr>
                <w:sz w:val="20"/>
              </w:rPr>
            </w:pPr>
            <w:r>
              <w:rPr>
                <w:sz w:val="20"/>
              </w:rPr>
              <w:t>12,000,000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1145" w:type="dxa"/>
            <w:tcBorders>
              <w:bottom w:val="double" w:sz="6" w:space="0" w:color="000000"/>
            </w:tcBorders>
            <w:shd w:fill="CCEEFF" w:val="clear"/>
            <w:vAlign w:val="center"/>
          </w:tcPr>
          <w:p>
            <w:pPr>
              <w:pStyle w:val="TableContents"/>
              <w:bidi w:val="0"/>
              <w:spacing w:before="0" w:after="283"/>
              <w:jc w:val="right"/>
              <w:rPr/>
            </w:pPr>
            <w:r>
              <w:rPr/>
              <w:t>  </w:t>
            </w:r>
            <w:r>
              <w:rPr>
                <w:b/>
                <w:sz w:val="20"/>
              </w:rPr>
              <w:t>400,000,000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1055" w:type="dxa"/>
            <w:tcBorders>
              <w:bottom w:val="double" w:sz="6" w:space="0" w:color="000000"/>
            </w:tcBorders>
            <w:shd w:fill="CCEEFF" w:val="clear"/>
            <w:vAlign w:val="center"/>
          </w:tcPr>
          <w:p>
            <w:pPr>
              <w:pStyle w:val="TableContents"/>
              <w:bidi w:val="0"/>
              <w:spacing w:before="0" w:after="283"/>
              <w:jc w:val="right"/>
              <w:rPr>
                <w:b/>
                <w:sz w:val="20"/>
              </w:rPr>
            </w:pPr>
            <w:r>
              <w:rPr>
                <w:b/>
                <w:sz w:val="20"/>
              </w:rPr>
              <w:t>400,000,000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General Use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Term Sheets specified in Section 3(k) and substantially in the form of Schedules 4A and 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to be paid by the Underwriters for the 2032 Notes shall be 99.645% of the principal amount of the 2032 Notes. The purchase price to be paid by the Underwriters for the 2036 Notes shall be 99.350% of the principal amount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4A</w:t>
      </w:r>
    </w:p>
    <w:p>
      <w:pPr>
        <w:pStyle w:val="TextBody"/>
        <w:bidi w:val="0"/>
        <w:spacing w:before="0" w:after="0"/>
        <w:ind w:left="0" w:right="0" w:hanging="0"/>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2460"/>
        <w:gridCol w:w="4970"/>
      </w:tblGrid>
      <w:tr>
        <w:trPr/>
        <w:tc>
          <w:tcPr>
            <w:tcW w:w="2460" w:type="dxa"/>
            <w:vMerge w:val="restart"/>
            <w:tcBorders/>
            <w:vAlign w:val="center"/>
          </w:tcPr>
          <w:p>
            <w:pPr>
              <w:pStyle w:val="TableContents"/>
              <w:bidi w:val="0"/>
              <w:spacing w:before="0" w:after="283"/>
              <w:jc w:val="left"/>
              <w:rPr/>
            </w:pPr>
            <w:r>
              <w:rPr/>
              <w:drawing>
                <wp:inline distT="0" distB="0" distL="0" distR="0">
                  <wp:extent cx="15525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676275"/>
                          </a:xfrm>
                          <a:prstGeom prst="rect">
                            <a:avLst/>
                          </a:prstGeom>
                        </pic:spPr>
                      </pic:pic>
                    </a:graphicData>
                  </a:graphic>
                </wp:inline>
              </w:drawing>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Dated September 9, 2026</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Registration Statement No. 333-277297-01</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Relating to</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Preliminary Prospectus Supplement dated September 9, 2026</w:t>
              <w:br/>
              <w:t>and</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pPr>
            <w:r>
              <w:rPr>
                <w:rFonts w:ascii="Times New Roman;Times;Serif" w:hAnsi="Times New Roman;Times;Serif"/>
                <w:sz w:val="20"/>
              </w:rPr>
              <w:t>Prospectus dated January </w:t>
            </w:r>
            <w:r>
              <w:rPr>
                <w:rFonts w:ascii="Times New Roman;Times;Serif" w:hAnsi="Times New Roman;Times;Serif"/>
              </w:rPr>
              <w:t>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$400,000,000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5.250% NOTES DUE 2032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5"/>
        <w:gridCol w:w="7760"/>
      </w:tblGrid>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Property Group, L.P.</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Format: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Registered</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Size:</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$400,000,000</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7760" w:type="dxa"/>
            <w:tcBorders/>
            <w:vAlign w:val="center"/>
          </w:tcPr>
          <w:p>
            <w:pPr>
              <w:pStyle w:val="TableContents"/>
              <w:bidi w:val="0"/>
              <w:spacing w:before="0" w:after="283"/>
              <w:jc w:val="both"/>
              <w:rPr/>
            </w:pPr>
            <w:r>
              <w:rPr>
                <w:rFonts w:ascii="Times New Roman;Times;Serif" w:hAnsi="Times New Roman;Times;Serif"/>
                <w:sz w:val="20"/>
              </w:rPr>
              <w:t>February 15</w:t>
            </w:r>
            <w:r>
              <w:rPr>
                <w:rFonts w:ascii="Times New Roman;Times;Serif" w:hAnsi="Times New Roman;Times;Serif"/>
              </w:rPr>
              <w:t>, 2032</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(Interest Rate):</w:t>
            </w:r>
          </w:p>
        </w:tc>
        <w:tc>
          <w:tcPr>
            <w:tcW w:w="7760" w:type="dxa"/>
            <w:tcBorders/>
            <w:vAlign w:val="center"/>
          </w:tcPr>
          <w:p>
            <w:pPr>
              <w:pStyle w:val="TableContents"/>
              <w:bidi w:val="0"/>
              <w:spacing w:before="0" w:after="283"/>
              <w:jc w:val="both"/>
              <w:rPr/>
            </w:pPr>
            <w:r>
              <w:rPr>
                <w:rFonts w:ascii="Times New Roman;Times;Serif" w:hAnsi="Times New Roman;Times;Serif"/>
                <w:sz w:val="20"/>
              </w:rPr>
              <w:t>5.250%</w:t>
            </w:r>
            <w:r>
              <w:rPr/>
              <w:t xml:space="preserve"> </w:t>
            </w:r>
            <w:r>
              <w:rPr>
                <w:rFonts w:ascii="Times New Roman;Times;Serif" w:hAnsi="Times New Roman;Times;Serif"/>
              </w:rPr>
              <w:t xml:space="preserve">per annum </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15 and August 15, commencing on February 15, 2027</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7760" w:type="dxa"/>
            <w:tcBorders/>
            <w:vAlign w:val="center"/>
          </w:tcPr>
          <w:p>
            <w:pPr>
              <w:pStyle w:val="TableContents"/>
              <w:bidi w:val="0"/>
              <w:spacing w:before="0" w:after="283"/>
              <w:jc w:val="both"/>
              <w:rPr/>
            </w:pPr>
            <w:r>
              <w:rPr>
                <w:rFonts w:ascii="Times New Roman;Times;Serif" w:hAnsi="Times New Roman;Times;Serif"/>
                <w:sz w:val="20"/>
              </w:rPr>
              <w:t xml:space="preserve">4.375% due </w:t>
            </w:r>
            <w:r>
              <w:rPr>
                <w:rFonts w:ascii="Times New Roman;Times;Serif" w:hAnsi="Times New Roman;Times;Serif"/>
              </w:rPr>
              <w:t xml:space="preserve">August 31, 2031 </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Price and Yield:</w:t>
            </w:r>
          </w:p>
        </w:tc>
        <w:tc>
          <w:tcPr>
            <w:tcW w:w="7760" w:type="dxa"/>
            <w:tcBorders/>
            <w:vAlign w:val="center"/>
          </w:tcPr>
          <w:p>
            <w:pPr>
              <w:pStyle w:val="TableContents"/>
              <w:bidi w:val="0"/>
              <w:spacing w:before="0" w:after="283"/>
              <w:jc w:val="both"/>
              <w:rPr/>
            </w:pPr>
            <w:r>
              <w:rPr>
                <w:rFonts w:ascii="Times New Roman;Times;Serif" w:hAnsi="Times New Roman;Times;Serif"/>
                <w:sz w:val="20"/>
              </w:rPr>
              <w:t>99-00 / 4.602</w:t>
            </w:r>
            <w:r>
              <w:rPr>
                <w:rFonts w:ascii="Times New Roman;Times;Serif" w:hAnsi="Times New Roman;Times;Serif"/>
              </w:rPr>
              <w:t xml:space="preserve">% </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7760" w:type="dxa"/>
            <w:tcBorders/>
            <w:vAlign w:val="center"/>
          </w:tcPr>
          <w:p>
            <w:pPr>
              <w:pStyle w:val="TableContents"/>
              <w:bidi w:val="0"/>
              <w:spacing w:before="0" w:after="283"/>
              <w:jc w:val="both"/>
              <w:rPr/>
            </w:pPr>
            <w:r>
              <w:rPr>
                <w:rFonts w:ascii="Times New Roman;Times;Serif" w:hAnsi="Times New Roman;Times;Serif"/>
                <w:sz w:val="20"/>
              </w:rPr>
              <w:t xml:space="preserve">+65 </w:t>
            </w:r>
            <w:r>
              <w:rPr>
                <w:rFonts w:ascii="Times New Roman;Times;Serif" w:hAnsi="Times New Roman;Times;Serif"/>
              </w:rPr>
              <w:t xml:space="preserve">basis points </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7760" w:type="dxa"/>
            <w:tcBorders/>
            <w:vAlign w:val="center"/>
          </w:tcPr>
          <w:p>
            <w:pPr>
              <w:pStyle w:val="TableContents"/>
              <w:bidi w:val="0"/>
              <w:spacing w:before="0" w:after="283"/>
              <w:jc w:val="both"/>
              <w:rPr/>
            </w:pPr>
            <w:r>
              <w:rPr>
                <w:rFonts w:ascii="Times New Roman;Times;Serif" w:hAnsi="Times New Roman;Times;Serif"/>
                <w:sz w:val="20"/>
              </w:rPr>
              <w:t>5.252</w:t>
            </w:r>
            <w:r>
              <w:rPr>
                <w:rFonts w:ascii="Times New Roman;Times;Serif" w:hAnsi="Times New Roman;Times;Serif"/>
              </w:rPr>
              <w:t xml:space="preserve">% </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Price to Public:</w:t>
            </w:r>
          </w:p>
        </w:tc>
        <w:tc>
          <w:tcPr>
            <w:tcW w:w="7760" w:type="dxa"/>
            <w:tcBorders/>
            <w:vAlign w:val="center"/>
          </w:tcPr>
          <w:p>
            <w:pPr>
              <w:pStyle w:val="TableContents"/>
              <w:bidi w:val="0"/>
              <w:spacing w:before="0" w:after="283"/>
              <w:jc w:val="both"/>
              <w:rPr/>
            </w:pPr>
            <w:r>
              <w:rPr>
                <w:rFonts w:ascii="Times New Roman;Times;Serif" w:hAnsi="Times New Roman;Times;Serif"/>
                <w:sz w:val="20"/>
              </w:rPr>
              <w:t>99.995</w:t>
            </w:r>
            <w:r>
              <w:rPr>
                <w:rFonts w:ascii="Times New Roman;Times;Serif" w:hAnsi="Times New Roman;Times;Serif"/>
              </w:rPr>
              <w:t>% plus accrued interest from September 16, 2026 if settlement occurs after that date</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Provision:</w:t>
            </w:r>
          </w:p>
        </w:tc>
        <w:tc>
          <w:tcPr>
            <w:tcW w:w="7760" w:type="dxa"/>
            <w:tcBorders/>
            <w:vAlign w:val="center"/>
          </w:tcPr>
          <w:p>
            <w:pPr>
              <w:pStyle w:val="TableContents"/>
              <w:bidi w:val="0"/>
              <w:spacing w:before="0" w:after="283"/>
              <w:jc w:val="both"/>
              <w:rPr/>
            </w:pPr>
            <w:r>
              <w:rPr>
                <w:rFonts w:ascii="Times New Roman;Times;Serif" w:hAnsi="Times New Roman;Times;Serif"/>
                <w:sz w:val="20"/>
              </w:rPr>
              <w:t>Make-whole call prior to January </w:t>
            </w:r>
            <w:r>
              <w:rPr>
                <w:rFonts w:ascii="Times New Roman;Times;Serif" w:hAnsi="Times New Roman;Times;Serif"/>
              </w:rPr>
              <w:t>15, 2032 based on U.S. Treasury +10 basis points or at par on or after January 15, 2032</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7760" w:type="dxa"/>
            <w:tcBorders/>
            <w:vAlign w:val="center"/>
          </w:tcPr>
          <w:p>
            <w:pPr>
              <w:pStyle w:val="TableContents"/>
              <w:bidi w:val="0"/>
              <w:spacing w:before="0" w:after="283"/>
              <w:jc w:val="both"/>
              <w:rPr/>
            </w:pPr>
            <w:r>
              <w:rPr>
                <w:rFonts w:ascii="Times New Roman;Times;Serif" w:hAnsi="Times New Roman;Times;Serif"/>
                <w:sz w:val="20"/>
              </w:rPr>
              <w:t>T+</w:t>
            </w:r>
            <w:r>
              <w:rPr>
                <w:rFonts w:ascii="Times New Roman;Times;Serif" w:hAnsi="Times New Roman;Times;Serif"/>
              </w:rPr>
              <w:t>5; September 16, 2026</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828807 EC7 / US828807EC76  </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77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BBVA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Natixis Securities Americas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r>
      <w:tr>
        <w:trPr/>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77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M&amp;T Securities, Inc.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2"/>
        <w:gridCol w:w="9233"/>
      </w:tblGrid>
      <w:tr>
        <w:trPr/>
        <w:tc>
          <w:tcPr>
            <w:tcW w:w="9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92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intends to use the net proceeds of the offering to fund the repayment of all or a portion of its $750 million outstanding principal amount of its 3.250% notes due 2026, and to use any remaining net proceeds for general business purposes, including to repay other unsecured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concurrently priced $400,000,000 aggregate principal amount of 5.650% senior unsecured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communication is intended for the sole use of the person to whom it is provided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Pursuant to Rule 15c6-1 under the Securities Exchange Act of 1934, trades in the secondary market generally are required to settle in one business day unless the parties to any such trade expressly agree otherwise. Accordingly, purchasers of the notes who wish to trade the notes prior to the first business day preceding the settlement date will be required, by virtue of the fact that the notes initially will settle in T+5, to specify an alternative settlement cycle at the time of any such trade to prevent failed settlement. Purchasers of the notes who wish to trade the notes before the first business day prior to the settlement date should consult their own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 xml:space="preserve"> Alternatively, the Issuer, any underwriter or any dealer participating in the offering will arrange to send you the prospectus and related preliminary prospectus supplement if you request it by contacting J.P. Morgan Securities LLC collect at 1-212-834-4533; Mizuho Securities USA LLC toll-free at 1-866-271-7403; PNC Capital Markets LLC toll-free at 1-855-881-0697; or Wells Fargo Securities, LLC toll-free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electronic messaging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4B</w:t>
      </w:r>
    </w:p>
    <w:p>
      <w:pPr>
        <w:pStyle w:val="TextBody"/>
        <w:bidi w:val="0"/>
        <w:spacing w:before="0" w:after="0"/>
        <w:ind w:left="0" w:right="0" w:hanging="0"/>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2460"/>
        <w:gridCol w:w="4970"/>
      </w:tblGrid>
      <w:tr>
        <w:trPr/>
        <w:tc>
          <w:tcPr>
            <w:tcW w:w="2460" w:type="dxa"/>
            <w:vMerge w:val="restart"/>
            <w:tcBorders/>
            <w:vAlign w:val="center"/>
          </w:tcPr>
          <w:p>
            <w:pPr>
              <w:pStyle w:val="TableContents"/>
              <w:bidi w:val="0"/>
              <w:spacing w:before="0" w:after="283"/>
              <w:jc w:val="left"/>
              <w:rPr/>
            </w:pPr>
            <w:r>
              <w:rPr/>
              <w:drawing>
                <wp:inline distT="0" distB="0" distL="0" distR="0">
                  <wp:extent cx="15525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2575" cy="676275"/>
                          </a:xfrm>
                          <a:prstGeom prst="rect">
                            <a:avLst/>
                          </a:prstGeom>
                        </pic:spPr>
                      </pic:pic>
                    </a:graphicData>
                  </a:graphic>
                </wp:inline>
              </w:drawing>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Dated September 9, 2026</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Registration Statement No. 333-277297-01</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Relating to</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Preliminary Prospectus Supplement dated September 9, 2026</w:t>
              <w:br/>
              <w:t>and</w:t>
            </w:r>
          </w:p>
        </w:tc>
      </w:tr>
      <w:tr>
        <w:trPr/>
        <w:tc>
          <w:tcPr>
            <w:tcW w:w="2460" w:type="dxa"/>
            <w:vMerge w:val="continue"/>
            <w:tcBorders/>
            <w:vAlign w:val="center"/>
          </w:tcPr>
          <w:p>
            <w:pPr>
              <w:pStyle w:val="Normal"/>
              <w:bidi w:val="0"/>
              <w:jc w:val="left"/>
              <w:rPr/>
            </w:pPr>
            <w:r>
              <w:rPr/>
            </w:r>
          </w:p>
        </w:tc>
        <w:tc>
          <w:tcPr>
            <w:tcW w:w="4970" w:type="dxa"/>
            <w:tcBorders/>
            <w:vAlign w:val="center"/>
          </w:tcPr>
          <w:p>
            <w:pPr>
              <w:pStyle w:val="TableContents"/>
              <w:bidi w:val="0"/>
              <w:spacing w:before="0" w:after="283"/>
              <w:jc w:val="right"/>
              <w:rPr/>
            </w:pPr>
            <w:r>
              <w:rPr>
                <w:rFonts w:ascii="Times New Roman;Times;Serif" w:hAnsi="Times New Roman;Times;Serif"/>
                <w:sz w:val="20"/>
              </w:rPr>
              <w:t>Prospectus dated January </w:t>
            </w:r>
            <w:r>
              <w:rPr>
                <w:rFonts w:ascii="Times New Roman;Times;Serif" w:hAnsi="Times New Roman;Times;Serif"/>
              </w:rPr>
              <w:t>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$400,000,000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5.650% NOTES DUE 2036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2"/>
        <w:gridCol w:w="7663"/>
      </w:tblGrid>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7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Property Group, L.P.</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Format:</w:t>
            </w:r>
          </w:p>
        </w:tc>
        <w:tc>
          <w:tcPr>
            <w:tcW w:w="7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Registered</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Size:</w:t>
            </w:r>
          </w:p>
        </w:tc>
        <w:tc>
          <w:tcPr>
            <w:tcW w:w="7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$400,000,000</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7663" w:type="dxa"/>
            <w:tcBorders/>
            <w:vAlign w:val="center"/>
          </w:tcPr>
          <w:p>
            <w:pPr>
              <w:pStyle w:val="TableContents"/>
              <w:bidi w:val="0"/>
              <w:spacing w:before="0" w:after="283"/>
              <w:jc w:val="both"/>
              <w:rPr/>
            </w:pPr>
            <w:r>
              <w:rPr>
                <w:rFonts w:ascii="Times New Roman;Times;Serif" w:hAnsi="Times New Roman;Times;Serif"/>
                <w:sz w:val="20"/>
              </w:rPr>
              <w:t>October 1</w:t>
            </w:r>
            <w:r>
              <w:rPr>
                <w:rFonts w:ascii="Times New Roman;Times;Serif" w:hAnsi="Times New Roman;Times;Serif"/>
              </w:rPr>
              <w:t>, 2036</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(Interest Rate):</w:t>
            </w:r>
          </w:p>
        </w:tc>
        <w:tc>
          <w:tcPr>
            <w:tcW w:w="7663" w:type="dxa"/>
            <w:tcBorders/>
            <w:vAlign w:val="center"/>
          </w:tcPr>
          <w:p>
            <w:pPr>
              <w:pStyle w:val="TableContents"/>
              <w:bidi w:val="0"/>
              <w:spacing w:before="0" w:after="283"/>
              <w:jc w:val="both"/>
              <w:rPr/>
            </w:pPr>
            <w:r>
              <w:rPr>
                <w:rFonts w:ascii="Times New Roman;Times;Serif" w:hAnsi="Times New Roman;Times;Serif"/>
                <w:sz w:val="20"/>
              </w:rPr>
              <w:t>5.650%</w:t>
            </w:r>
            <w:r>
              <w:rPr/>
              <w:t xml:space="preserve"> </w:t>
            </w:r>
            <w:r>
              <w:rPr>
                <w:rFonts w:ascii="Times New Roman;Times;Serif" w:hAnsi="Times New Roman;Times;Serif"/>
              </w:rPr>
              <w:t xml:space="preserve">per annum </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7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 and October 1, commencing on April 1, 2027</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7663" w:type="dxa"/>
            <w:tcBorders/>
            <w:vAlign w:val="center"/>
          </w:tcPr>
          <w:p>
            <w:pPr>
              <w:pStyle w:val="TableContents"/>
              <w:bidi w:val="0"/>
              <w:spacing w:before="0" w:after="283"/>
              <w:jc w:val="both"/>
              <w:rPr/>
            </w:pPr>
            <w:r>
              <w:rPr>
                <w:rFonts w:ascii="Times New Roman;Times;Serif" w:hAnsi="Times New Roman;Times;Serif"/>
                <w:sz w:val="20"/>
              </w:rPr>
              <w:t xml:space="preserve">4.625% due </w:t>
            </w:r>
            <w:r>
              <w:rPr>
                <w:rFonts w:ascii="Times New Roman;Times;Serif" w:hAnsi="Times New Roman;Times;Serif"/>
              </w:rPr>
              <w:t xml:space="preserve">August 15, 2036 </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Price and Yield:</w:t>
            </w:r>
          </w:p>
        </w:tc>
        <w:tc>
          <w:tcPr>
            <w:tcW w:w="7663" w:type="dxa"/>
            <w:tcBorders/>
            <w:vAlign w:val="center"/>
          </w:tcPr>
          <w:p>
            <w:pPr>
              <w:pStyle w:val="TableContents"/>
              <w:bidi w:val="0"/>
              <w:spacing w:before="0" w:after="283"/>
              <w:jc w:val="both"/>
              <w:rPr/>
            </w:pPr>
            <w:r>
              <w:rPr>
                <w:rFonts w:ascii="Times New Roman;Times;Serif" w:hAnsi="Times New Roman;Times;Serif"/>
                <w:sz w:val="20"/>
              </w:rPr>
              <w:t>98-13+ / 4.826</w:t>
            </w:r>
            <w:r>
              <w:rPr>
                <w:rFonts w:ascii="Times New Roman;Times;Serif" w:hAnsi="Times New Roman;Times;Serif"/>
              </w:rPr>
              <w:t xml:space="preserve">% </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7663" w:type="dxa"/>
            <w:tcBorders/>
            <w:vAlign w:val="center"/>
          </w:tcPr>
          <w:p>
            <w:pPr>
              <w:pStyle w:val="TableContents"/>
              <w:bidi w:val="0"/>
              <w:spacing w:before="0" w:after="283"/>
              <w:jc w:val="both"/>
              <w:rPr/>
            </w:pPr>
            <w:r>
              <w:rPr>
                <w:rFonts w:ascii="Times New Roman;Times;Serif" w:hAnsi="Times New Roman;Times;Serif"/>
                <w:sz w:val="20"/>
              </w:rPr>
              <w:t xml:space="preserve">+85 </w:t>
            </w:r>
            <w:r>
              <w:rPr>
                <w:rFonts w:ascii="Times New Roman;Times;Serif" w:hAnsi="Times New Roman;Times;Serif"/>
              </w:rPr>
              <w:t xml:space="preserve">basis points </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7663" w:type="dxa"/>
            <w:tcBorders/>
            <w:vAlign w:val="center"/>
          </w:tcPr>
          <w:p>
            <w:pPr>
              <w:pStyle w:val="TableContents"/>
              <w:bidi w:val="0"/>
              <w:spacing w:before="0" w:after="283"/>
              <w:jc w:val="both"/>
              <w:rPr/>
            </w:pPr>
            <w:r>
              <w:rPr>
                <w:rFonts w:ascii="Times New Roman;Times;Serif" w:hAnsi="Times New Roman;Times;Serif"/>
                <w:sz w:val="20"/>
              </w:rPr>
              <w:t>5.676</w:t>
            </w:r>
            <w:r>
              <w:rPr>
                <w:rFonts w:ascii="Times New Roman;Times;Serif" w:hAnsi="Times New Roman;Times;Serif"/>
              </w:rPr>
              <w:t xml:space="preserve">% </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Price to Public:</w:t>
            </w:r>
          </w:p>
        </w:tc>
        <w:tc>
          <w:tcPr>
            <w:tcW w:w="7663" w:type="dxa"/>
            <w:tcBorders/>
            <w:vAlign w:val="center"/>
          </w:tcPr>
          <w:p>
            <w:pPr>
              <w:pStyle w:val="TableContents"/>
              <w:bidi w:val="0"/>
              <w:spacing w:before="0" w:after="283"/>
              <w:jc w:val="both"/>
              <w:rPr/>
            </w:pPr>
            <w:r>
              <w:rPr>
                <w:rFonts w:ascii="Times New Roman;Times;Serif" w:hAnsi="Times New Roman;Times;Serif"/>
                <w:sz w:val="20"/>
              </w:rPr>
              <w:t>99.800</w:t>
            </w:r>
            <w:r>
              <w:rPr>
                <w:rFonts w:ascii="Times New Roman;Times;Serif" w:hAnsi="Times New Roman;Times;Serif"/>
              </w:rPr>
              <w:t>% plus accrued interest from September 16, 2026 if settlement occurs after that date</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Provision:</w:t>
            </w:r>
          </w:p>
        </w:tc>
        <w:tc>
          <w:tcPr>
            <w:tcW w:w="7663" w:type="dxa"/>
            <w:tcBorders/>
            <w:vAlign w:val="center"/>
          </w:tcPr>
          <w:p>
            <w:pPr>
              <w:pStyle w:val="TableContents"/>
              <w:bidi w:val="0"/>
              <w:spacing w:before="0" w:after="283"/>
              <w:jc w:val="both"/>
              <w:rPr/>
            </w:pPr>
            <w:r>
              <w:rPr>
                <w:rFonts w:ascii="Times New Roman;Times;Serif" w:hAnsi="Times New Roman;Times;Serif"/>
                <w:sz w:val="20"/>
              </w:rPr>
              <w:t>Make-whole call prior to July </w:t>
            </w:r>
            <w:r>
              <w:rPr>
                <w:rFonts w:ascii="Times New Roman;Times;Serif" w:hAnsi="Times New Roman;Times;Serif"/>
              </w:rPr>
              <w:t>1, 2036 based on U.S. Treasury +15 basis points or at par on or after July 1, 2036</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7663" w:type="dxa"/>
            <w:tcBorders/>
            <w:vAlign w:val="center"/>
          </w:tcPr>
          <w:p>
            <w:pPr>
              <w:pStyle w:val="TableContents"/>
              <w:bidi w:val="0"/>
              <w:spacing w:before="0" w:after="283"/>
              <w:jc w:val="both"/>
              <w:rPr/>
            </w:pPr>
            <w:r>
              <w:rPr>
                <w:rFonts w:ascii="Times New Roman;Times;Serif" w:hAnsi="Times New Roman;Times;Serif"/>
                <w:sz w:val="20"/>
              </w:rPr>
              <w:t>T+</w:t>
            </w:r>
            <w:r>
              <w:rPr>
                <w:rFonts w:ascii="Times New Roman;Times;Serif" w:hAnsi="Times New Roman;Times;Serif"/>
              </w:rPr>
              <w:t>5; September 16, 2026</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w:t>
            </w:r>
          </w:p>
        </w:tc>
        <w:tc>
          <w:tcPr>
            <w:tcW w:w="7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828807 ED5 / US828807ED59  </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76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BBVA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Natixis Securities Americas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r>
      <w:tr>
        <w:trPr/>
        <w:tc>
          <w:tcPr>
            <w:tcW w:w="2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76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M&amp;T Securities, Inc.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2"/>
        <w:gridCol w:w="9233"/>
      </w:tblGrid>
      <w:tr>
        <w:trPr/>
        <w:tc>
          <w:tcPr>
            <w:tcW w:w="9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92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intends to use the net proceeds of the offering to fund the repayment of all or a portion of its $750 million outstanding principal amount of its 3.250% notes due 2026, and to use any remaining net proceeds for general business purposes, including to repay other unsecured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concurrently priced $400,000,000 aggregate principal amount of 5.250% senior unsecured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communication is intended for the sole use of the person to whom it is provided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Pursuant to Rule 15c6-1 under the Securities Exchange Act of 1934, trades in the secondary market generally are required to settle in one business day unless the parties to any such trade expressly agree otherwise. Accordingly, purchasers of the notes who wish to trade the notes prior to the first business day preceding the settlement date will be required, by virtue of the fact that the notes initially will settle in T+5, to specify an alternative settlement cycle at the time of any such trade to prevent failed settlement. Purchasers of the notes who wish to trade the notes before the first business day prior to the settlement date should consult their own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 xml:space="preserve"> Alternatively, the Issuer, any underwriter or any dealer participating in the offering will arrange to send you the prospectus and related preliminary prospectus supplement if you request it by contacting J.P. Morgan Securities LLC collect at 1-212-834-4533; Mizuho Securities USA LLC toll-free at 1-866-271-7403; PNC Capital Markets LLC toll-free at 1-855-881-0697; or Wells Fargo Securities, LLC toll-free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electronic messaging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1" w:name="tm2625467d1_ex4-1.htm"/>
      <w:bookmarkStart w:id="22" w:name="kstm2625467d1_ex41"/>
      <w:bookmarkEnd w:id="21"/>
      <w:bookmarkEnd w:id="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FORTY-NINTH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SEPTEMBER 16,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5.250% NOTES DUE 2032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5.650% NOTES DUE 2036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SUPPLEMENT TO INDENTURE, </w:t>
        <w:br/>
        <w:t xml:space="preserve">DATED AS OF NOVEMBER 26, 1996, </w:t>
        <w:br/>
        <w:t>BETWEEN</w:t>
        <w:br/>
        <w:t xml:space="preserve">SIMON PROPERTY GROUP, L.P. </w:t>
        <w:br/>
        <w:t>AND</w:t>
        <w:br/>
        <w:t xml:space="preserve">THE BANK OF NEW YORK MELLON TRUST COMPANY, N.A. </w:t>
        <w:br/>
        <w:t>(AS SUCCESSOR TO THE CHASE MANHATTAN BANK),</w:t>
        <w:b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919" w:type="dxa"/>
        <w:jc w:val="left"/>
        <w:tblInd w:w="0" w:type="dxa"/>
        <w:tblLayout w:type="fixed"/>
        <w:tblCellMar>
          <w:top w:w="0" w:type="dxa"/>
          <w:left w:w="0" w:type="dxa"/>
          <w:bottom w:w="0" w:type="dxa"/>
          <w:right w:w="0" w:type="dxa"/>
        </w:tblCellMar>
      </w:tblPr>
      <w:tblGrid>
        <w:gridCol w:w="1976"/>
        <w:gridCol w:w="6668"/>
        <w:gridCol w:w="275"/>
      </w:tblGrid>
      <w:tr>
        <w:trPr/>
        <w:tc>
          <w:tcPr>
            <w:tcW w:w="8644" w:type="dxa"/>
            <w:gridSpan w:val="2"/>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ARTICLE I DEFINITIONS, CREATION, FORMS AND TERMS AND CONDITIONS OF THE SECURITIES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2</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1.01.</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Definitions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2</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1.02.</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Creation of the Notes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1.03.</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Form of the Notes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1.04.</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Terms and Conditions of the 2032 Notes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1.05.</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Terms and Conditions of the 2036 Notes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6</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44" w:type="dxa"/>
            <w:gridSpan w:val="2"/>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ARTICLE II COVENANTS; EVENTS AND NOTICE OF DEFAULT; SUPPLEMENTAL INDENTURES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8</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2.01.</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Covenants for Benefit of Holders of Notes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8</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2.02.</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Provision of Financial Information</w:t>
            </w:r>
          </w:p>
        </w:tc>
        <w:tc>
          <w:tcPr>
            <w:tcW w:w="275" w:type="dxa"/>
            <w:tcBorders/>
            <w:vAlign w:val="center"/>
          </w:tcPr>
          <w:p>
            <w:pPr>
              <w:pStyle w:val="TableContents"/>
              <w:bidi w:val="0"/>
              <w:spacing w:before="0" w:after="283"/>
              <w:jc w:val="right"/>
              <w:rPr/>
            </w:pPr>
            <w:r>
              <w:rPr/>
              <w:t>9</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2.03.</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Definitions</w:t>
            </w:r>
          </w:p>
        </w:tc>
        <w:tc>
          <w:tcPr>
            <w:tcW w:w="275" w:type="dxa"/>
            <w:tcBorders/>
            <w:vAlign w:val="center"/>
          </w:tcPr>
          <w:p>
            <w:pPr>
              <w:pStyle w:val="TableContents"/>
              <w:bidi w:val="0"/>
              <w:spacing w:before="0" w:after="283"/>
              <w:jc w:val="right"/>
              <w:rPr/>
            </w:pPr>
            <w:r>
              <w:rPr/>
              <w:t>9</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2.04.</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Events of Default</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10</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2.05.</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Notice of Defaults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11</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2.06.</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Supplemental Indentures Without Consent of Holders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12</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44" w:type="dxa"/>
            <w:gridSpan w:val="2"/>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ARTICLE III TRANSFER AND EXCHANGE</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12</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3.01.</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Transfer and Exchange</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12</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44" w:type="dxa"/>
            <w:gridSpan w:val="2"/>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ARTICLE IV LEGENDS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12</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4.01.</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Legends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12</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44" w:type="dxa"/>
            <w:gridSpan w:val="2"/>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ARTICLE V TRUSTEE</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13</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5.01.</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Corporate Trust Office</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13</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5.02.</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Recitals of Fact; Other Matters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13</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5.03.</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Successor</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13</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44" w:type="dxa"/>
            <w:gridSpan w:val="2"/>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ARTICLE VI MISCELLANEOUS PROVISIONS</w:t>
            </w:r>
          </w:p>
        </w:tc>
        <w:tc>
          <w:tcPr>
            <w:tcW w:w="275" w:type="dxa"/>
            <w:tcBorders/>
            <w:vAlign w:val="center"/>
          </w:tcPr>
          <w:p>
            <w:pPr>
              <w:pStyle w:val="TableContents"/>
              <w:bidi w:val="0"/>
              <w:spacing w:before="0" w:after="283"/>
              <w:jc w:val="right"/>
              <w:rPr/>
            </w:pPr>
            <w:r>
              <w:rPr/>
              <w:t>14</w:t>
            </w:r>
          </w:p>
        </w:tc>
      </w:tr>
      <w:tr>
        <w:trPr/>
        <w:tc>
          <w:tcPr>
            <w:tcW w:w="1976"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6.01.</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Ratification of Original Indenture</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6.02.</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Effect of Headings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6.03.</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Successors and Assigns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6.04.</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Separability Clause</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6.05.</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Governing Law</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14</w:t>
            </w:r>
          </w:p>
        </w:tc>
      </w:tr>
      <w:tr>
        <w:trPr/>
        <w:tc>
          <w:tcPr>
            <w:tcW w:w="197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6.06.</w:t>
            </w:r>
          </w:p>
        </w:tc>
        <w:tc>
          <w:tcPr>
            <w:tcW w:w="6668" w:type="dxa"/>
            <w:tcBorders/>
            <w:vAlign w:val="center"/>
          </w:tcPr>
          <w:p>
            <w:pPr>
              <w:pStyle w:val="TableContents"/>
              <w:bidi w:val="0"/>
              <w:spacing w:before="0" w:after="283"/>
              <w:jc w:val="left"/>
              <w:rPr>
                <w:rFonts w:ascii="Times New Roman;Times;Serif" w:hAnsi="Times New Roman;Times;Serif"/>
                <w:color w:val="010000"/>
                <w:sz w:val="20"/>
                <w:u w:val="single"/>
              </w:rPr>
            </w:pPr>
            <w:r>
              <w:rPr>
                <w:rFonts w:ascii="Times New Roman;Times;Serif" w:hAnsi="Times New Roman;Times;Serif"/>
                <w:color w:val="010000"/>
                <w:sz w:val="20"/>
                <w:u w:val="single"/>
              </w:rPr>
              <w:t>Counterparts</w:t>
            </w:r>
          </w:p>
        </w:tc>
        <w:tc>
          <w:tcPr>
            <w:tcW w:w="275" w:type="dxa"/>
            <w:tcBorders/>
            <w:vAlign w:val="center"/>
          </w:tcPr>
          <w:p>
            <w:pPr>
              <w:pStyle w:val="TableContents"/>
              <w:bidi w:val="0"/>
              <w:spacing w:before="0" w:after="283"/>
              <w:jc w:val="right"/>
              <w:rPr>
                <w:rFonts w:ascii="Times New Roman;Times;Serif" w:hAnsi="Times New Roman;Times;Serif"/>
                <w:color w:val="010000"/>
                <w:sz w:val="20"/>
              </w:rPr>
            </w:pPr>
            <w:r>
              <w:rPr>
                <w:rFonts w:ascii="Times New Roman;Times;Serif" w:hAnsi="Times New Roman;Times;Serif"/>
                <w:color w:val="010000"/>
                <w:sz w:val="20"/>
              </w:rPr>
              <w:t>14</w:t>
            </w:r>
          </w:p>
        </w:tc>
      </w:tr>
    </w:tbl>
    <w:p>
      <w:pPr>
        <w:pStyle w:val="TextBody"/>
        <w:bidi w:val="0"/>
        <w:spacing w:before="0" w:after="283"/>
        <w:jc w:val="left"/>
        <w:rPr/>
      </w:pPr>
      <w:r>
        <w:rPr/>
        <w:t> </w:t>
      </w:r>
    </w:p>
    <w:tbl>
      <w:tblPr>
        <w:tblW w:w="3085" w:type="dxa"/>
        <w:jc w:val="left"/>
        <w:tblInd w:w="0" w:type="dxa"/>
        <w:tblLayout w:type="fixed"/>
        <w:tblCellMar>
          <w:top w:w="0" w:type="dxa"/>
          <w:left w:w="0" w:type="dxa"/>
          <w:bottom w:w="0" w:type="dxa"/>
          <w:right w:w="0" w:type="dxa"/>
        </w:tblCellMar>
      </w:tblPr>
      <w:tblGrid>
        <w:gridCol w:w="980"/>
        <w:gridCol w:w="2105"/>
      </w:tblGrid>
      <w:tr>
        <w:trPr/>
        <w:tc>
          <w:tcPr>
            <w:tcW w:w="30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r>
        <w:trPr/>
        <w:tc>
          <w:tcPr>
            <w:tcW w:w="98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Global Note</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Certificated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FORTY-NINTH SUPPLEMENTAL INDENTURE</w:t>
      </w:r>
      <w:r>
        <w:rPr>
          <w:rFonts w:ascii="Times New Roman;Times;Serif" w:hAnsi="Times New Roman;Times;Serif"/>
          <w:b w:val="false"/>
          <w:i w:val="false"/>
          <w:caps w:val="false"/>
          <w:smallCaps w:val="false"/>
          <w:sz w:val="20"/>
        </w:rPr>
        <w:t>, dated as of September 16, 2026 (the “</w:t>
      </w:r>
      <w:r>
        <w:rPr>
          <w:rFonts w:ascii="Times New Roman;Times;Serif" w:hAnsi="Times New Roman;Times;Serif"/>
          <w:b/>
          <w:i w:val="false"/>
          <w:caps w:val="false"/>
          <w:smallCaps w:val="false"/>
          <w:sz w:val="20"/>
        </w:rPr>
        <w:t>Forty-Ninth Supplemental Indenture</w:t>
      </w:r>
      <w:r>
        <w:rPr>
          <w:rFonts w:ascii="Times New Roman;Times;Serif" w:hAnsi="Times New Roman;Times;Serif"/>
          <w:b w:val="false"/>
          <w:i w:val="false"/>
          <w:caps w:val="false"/>
          <w:smallCaps w:val="false"/>
          <w:sz w:val="20"/>
        </w:rPr>
        <w:t>”), between SIMON PROPERTY GROUP, L.P. (formerly known as Simon DeBartolo Group, L.P.), an Indiana limited partnership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Operating Partnership</w:t>
      </w:r>
      <w:r>
        <w:rPr>
          <w:rFonts w:ascii="Times New Roman;Times;Serif" w:hAnsi="Times New Roman;Times;Serif"/>
          <w:b w:val="false"/>
          <w:i w:val="false"/>
          <w:caps w:val="false"/>
          <w:smallCaps w:val="false"/>
          <w:sz w:val="20"/>
        </w:rPr>
        <w:t>”), having its principal offices at 225 West Washington Street, Indianapolis, Indiana 46204, and THE BANK OF NEW YORK MELLON TRUST COMPANY, N.A. (as successor to The Chase Manhattan Bank), a national banking association organized and existing under the laws of the United States of America,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having its Corporate Trust Office at 500 Ross Street, Suite 625, Pittsburgh, Pennsylvania 15262.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Issuer and Simon Property Group, L.P., then a Delaware limited partnership acting from time to time as a guarantor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executed and delivered to the Trustee an Indenture, dated as of November 26, 1996 (the “</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providing for the issuance from time to time of debt securities evidencing unsecured and unsubordinated indebtedness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December 31, 1997 the Guarantor was merged into the Issuer as contemplated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Issuer changed its name from “Simon DeBartolo Group, L.P.” to “Simon Property Group, L.P.” effective as of September 24, 1998;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Issuer converted from a Delaware limited partnership to an Indiana limited partnership effective as of 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Original Indenture provides that by means of a supplemental indenture, the Issuer may create one or more series of its debt securities and establish the form and terms and conditions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Issuer intends by this Forty-Ninth Supplemental Indenture to create and provide for the following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5.250% Notes due 2032 (the “</w:t>
      </w:r>
      <w:r>
        <w:rPr>
          <w:rFonts w:ascii="Times New Roman;Times;Serif" w:hAnsi="Times New Roman;Times;Serif"/>
          <w:b/>
          <w:i w:val="false"/>
          <w:caps w:val="false"/>
          <w:smallCaps w:val="false"/>
          <w:sz w:val="20"/>
        </w:rPr>
        <w:t>2032 Notes</w:t>
      </w:r>
      <w:r>
        <w:rPr>
          <w:rFonts w:ascii="Times New Roman;Times;Serif" w:hAnsi="Times New Roman;Times;Serif"/>
          <w:b w:val="false"/>
          <w:i w:val="false"/>
          <w:caps w:val="false"/>
          <w:smallCaps w:val="false"/>
          <w:sz w:val="20"/>
        </w:rPr>
        <w:t>”) initially in an aggregate principal amount of $400,000,000;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5.650%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and, together with the 2032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in an aggregate principal amount of $400,000,000;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Simon Property Group, Inc., the general partner of the Issuer, has approved the creation of the Notes and the forms, terms and conditions thereof pursuant to Sections 301 and 1701 of the Original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actions required to be taken under the Original Indenture with respect to this Forty-Ninth Supplemental Indenture have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IT IS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CREATION, FORMS AND TERMS AND CONDITIONS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in this Forty-Ninth Supplemental Indenture and not otherwise defined shall have the meanings ascribed to them in the Original Indenture. Certain terms, used principally in Article II of this Forty-Ninth Supplemental Indenture, are defined in that Article. In addition, the following terms shall have the following meanings to be equally applicable to both the singular and the plural forms of the terms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2032 Interest Payment Date</w:t>
      </w:r>
      <w:r>
        <w:rPr>
          <w:rFonts w:ascii="Times New Roman;Times;Serif" w:hAnsi="Times New Roman;Times;Serif"/>
          <w:b w:val="false"/>
          <w:i w:val="false"/>
          <w:caps w:val="false"/>
          <w:smallCaps w:val="false"/>
          <w:sz w:val="20"/>
        </w:rPr>
        <w:t>” has the meaning set forth in Section 1.04(c).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2032 Notes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2032 Par Call Date</w:t>
      </w:r>
      <w:r>
        <w:rPr>
          <w:rFonts w:ascii="Times New Roman;Times;Serif" w:hAnsi="Times New Roman;Times;Serif"/>
          <w:b w:val="false"/>
          <w:i w:val="false"/>
          <w:caps w:val="false"/>
          <w:smallCaps w:val="false"/>
          <w:sz w:val="20"/>
        </w:rPr>
        <w:t>” means January 15,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2032 Redemption Price</w:t>
      </w:r>
      <w:r>
        <w:rPr>
          <w:rFonts w:ascii="Times New Roman;Times;Serif" w:hAnsi="Times New Roman;Times;Serif"/>
          <w:b w:val="false"/>
          <w:i w:val="false"/>
          <w:caps w:val="false"/>
          <w:smallCaps w:val="false"/>
          <w:sz w:val="20"/>
        </w:rPr>
        <w:t>” has the meaning set forth in Section 1.04(d).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2032 Regular Record Date</w:t>
      </w:r>
      <w:r>
        <w:rPr>
          <w:rFonts w:ascii="Times New Roman;Times;Serif" w:hAnsi="Times New Roman;Times;Serif"/>
          <w:b w:val="false"/>
          <w:i w:val="false"/>
          <w:caps w:val="false"/>
          <w:smallCaps w:val="false"/>
          <w:sz w:val="20"/>
        </w:rPr>
        <w:t>” has the meaning set forth in Section 1.04(c).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2036 Interest Payment Date</w:t>
      </w:r>
      <w:r>
        <w:rPr>
          <w:rFonts w:ascii="Times New Roman;Times;Serif" w:hAnsi="Times New Roman;Times;Serif"/>
          <w:b w:val="false"/>
          <w:i w:val="false"/>
          <w:caps w:val="false"/>
          <w:smallCaps w:val="false"/>
          <w:sz w:val="20"/>
        </w:rPr>
        <w:t>” has the meaning set forth in Section 1.05(c).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2036 Par Call Date</w:t>
      </w:r>
      <w:r>
        <w:rPr>
          <w:rFonts w:ascii="Times New Roman;Times;Serif" w:hAnsi="Times New Roman;Times;Serif"/>
          <w:b w:val="false"/>
          <w:i w:val="false"/>
          <w:caps w:val="false"/>
          <w:smallCaps w:val="false"/>
          <w:sz w:val="20"/>
        </w:rPr>
        <w:t>” means July 1,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2036 Redemption Price</w:t>
      </w:r>
      <w:r>
        <w:rPr>
          <w:rFonts w:ascii="Times New Roman;Times;Serif" w:hAnsi="Times New Roman;Times;Serif"/>
          <w:b w:val="false"/>
          <w:i w:val="false"/>
          <w:caps w:val="false"/>
          <w:smallCaps w:val="false"/>
          <w:sz w:val="20"/>
        </w:rPr>
        <w:t>” has the meaning set forth in Section 1.05(d).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2036 Regular Record Date</w:t>
      </w:r>
      <w:r>
        <w:rPr>
          <w:rFonts w:ascii="Times New Roman;Times;Serif" w:hAnsi="Times New Roman;Times;Serif"/>
          <w:b w:val="false"/>
          <w:i w:val="false"/>
          <w:caps w:val="false"/>
          <w:smallCaps w:val="false"/>
          <w:sz w:val="20"/>
        </w:rPr>
        <w:t>” has the meaning set forth in Section 1.05(c).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in The City of New York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Notes</w:t>
      </w:r>
      <w:r>
        <w:rPr>
          <w:rFonts w:ascii="Times New Roman;Times;Serif" w:hAnsi="Times New Roman;Times;Serif"/>
          <w:b w:val="false"/>
          <w:i w:val="false"/>
          <w:caps w:val="false"/>
          <w:smallCaps w:val="false"/>
          <w:sz w:val="20"/>
        </w:rPr>
        <w:t>” has the meaning set forth in 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the lawful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its nominees and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means a permanent fully registered global Note in book-entry form, without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coupons, substantially in the form of Exhibit A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the Original Indenture as supplemented by this Forty-Ninth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means, in connection with any optional redemption or accelerated payment of any Notes before the applicable Par Call Date, the excess, if any, of (i) the aggregate present value, as of the date of such redemption or accelerated payment, of each Dollar of principal of such Notes being redeemed or accelerated and the amount of interest, calculated by the Operating Partnership, excluding interest accrued to the date of redemption or accelerated payment, that would have been payable in respect of each such Dollar assuming such Notes matured on the applicable Par Call Date, determined by discounting, on a semi-annual basis, such principal and interest at the Reinvestment Rate from the respective dates on which such principal and interest would have been payable assuming such Notes matured on the applicable Par Call Date, over (ii) the aggregate principal amount of such Notes being redeemed or accelerated.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Operating Partnership</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means the 2032 Par Call Date, in the case of the 2032 Notes, and the 2036 Par Call Date, in the case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Reinvestment Rate</w:t>
      </w:r>
      <w:r>
        <w:rPr>
          <w:rFonts w:ascii="Times New Roman;Times;Serif" w:hAnsi="Times New Roman;Times;Serif"/>
          <w:b w:val="false"/>
          <w:i w:val="false"/>
          <w:caps w:val="false"/>
          <w:smallCaps w:val="false"/>
          <w:sz w:val="20"/>
        </w:rPr>
        <w:t>” means the applicable Treasury Rate, plus 0.10% for the 2032 Notes and 0.15% for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Rate</w:t>
      </w:r>
      <w:r>
        <w:rPr>
          <w:rFonts w:ascii="Times New Roman;Times;Serif" w:hAnsi="Times New Roman;Times;Serif"/>
          <w:b w:val="false"/>
          <w:i w:val="false"/>
          <w:caps w:val="false"/>
          <w:smallCaps w:val="false"/>
          <w:sz w:val="20"/>
        </w:rPr>
        <w:t>” means the rate determined by the Operating Partnership after 4:15 p.m., New York City time (or after such time as yields on U.S. government securities are posted daily by the Board of Governors of the Federal Reserve System), on the third Business Day preceding the date notice of the redemption or accelerated payment is given,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 — Treasury constant maturities — 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Operating Partnership shall select, as applicable: (1) the yield for the Treasury constant maturity on H.15 exactly equal to the period from the date of redemption or accelerated payment to the applicable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date notice of the redemption or accelerated payment is given H.15 TCM or any successor designation or publication is no longer published, the Operating Partnership shall calculate the Treasury Rate based on the rate per annum equal to the semi-annual equivalent yield to maturity at 11:00 a.m., New York City time, on the second Business Day preceding such notice of the redemption or accelerated payment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Operating Partnership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Operating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      </w:t>
      </w:r>
      <w:r>
        <w:rPr>
          <w:rFonts w:ascii="Times New Roman;Times;Serif" w:hAnsi="Times New Roman;Times;Serif"/>
          <w:b w:val="false"/>
          <w:i w:val="false"/>
          <w:caps w:val="false"/>
          <w:smallCaps w:val="false"/>
          <w:sz w:val="20"/>
          <w:u w:val="single"/>
        </w:rPr>
        <w:t>Creation of the Notes</w:t>
      </w:r>
      <w:r>
        <w:rPr>
          <w:rFonts w:ascii="Times New Roman;Times;Serif" w:hAnsi="Times New Roman;Times;Serif"/>
          <w:b w:val="false"/>
          <w:i w:val="false"/>
          <w:caps w:val="false"/>
          <w:smallCaps w:val="false"/>
          <w:sz w:val="20"/>
        </w:rPr>
        <w:t>. In accordance with Section 301 of the Original Indenture, the Issuer hereby creates each of the 2032 Notes and the 2036 Notes as a separate series of its debt securities issued pursuant to the Indenture. The 2032 Notes shall be issued initially in an aggregate principal amount of $400,000,000 and the 2036 Notes shall be issued initially in an aggregate principal amount of $400,000,000, except, in each case, as permitted by Sections 301, 304, 305 or 306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1.03.      </w:t>
      </w:r>
      <w:r>
        <w:rPr>
          <w:rFonts w:ascii="Times New Roman;Times;Serif" w:hAnsi="Times New Roman;Times;Serif"/>
          <w:b w:val="false"/>
          <w:i w:val="false"/>
          <w:caps w:val="false"/>
          <w:smallCaps w:val="false"/>
          <w:sz w:val="20"/>
          <w:u w:val="single"/>
        </w:rPr>
        <w:t>Form of the Notes</w:t>
      </w:r>
      <w:r>
        <w:rPr>
          <w:rFonts w:ascii="Times New Roman;Times;Serif" w:hAnsi="Times New Roman;Times;Serif"/>
          <w:b w:val="false"/>
          <w:i w:val="false"/>
          <w:caps w:val="false"/>
          <w:smallCaps w:val="false"/>
          <w:sz w:val="20"/>
        </w:rPr>
        <w:t>. Each series of the Notes shall be issued in the form of one or more Global Notes, duly executed by the Operating Partnership and authenticated by the Trustee without the necessity of the reproduction thereon of the corporate seal of the General Partner (as defined in the Original Indenture), which shall be deposited with, or on behalf of, DTC and registered in the name of “Cede &amp; Co.,” as the nominee of DTC. The Notes of each series shall be substantially in the form of Exhibit A attached hereto. So long as DTC, or its nominee, is the registered owner of a Global Note, DTC or its nominee, as the case may be, shall be considered the sole owner or Holder of the Notes represented by such Global Notes for all purposes under the Indenture. Ownership of beneficial interests in such Global Notes shall be shown on, and transfers thereof will be effected only through, records maintained by DTC (with respect to beneficial interests of participants) or by participants or Persons that hold interests through participants (with respect to beneficial interests of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1.04.      </w:t>
      </w:r>
      <w:r>
        <w:rPr>
          <w:rFonts w:ascii="Times New Roman;Times;Serif" w:hAnsi="Times New Roman;Times;Serif"/>
          <w:b w:val="false"/>
          <w:i w:val="false"/>
          <w:caps w:val="false"/>
          <w:smallCaps w:val="false"/>
          <w:color w:val="010000"/>
          <w:sz w:val="20"/>
          <w:u w:val="single"/>
        </w:rPr>
        <w:t>Terms and Conditions of the 2032 Notes</w:t>
      </w:r>
      <w:r>
        <w:rPr>
          <w:rFonts w:ascii="Times New Roman;Times;Serif" w:hAnsi="Times New Roman;Times;Serif"/>
          <w:b w:val="false"/>
          <w:i w:val="false"/>
          <w:caps w:val="false"/>
          <w:smallCaps w:val="false"/>
          <w:sz w:val="20"/>
        </w:rPr>
        <w:t>. The 2032 Notes shall be governed by all the terms and conditions of the Indenture. In particular, the following provisions shall be terms of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Title and Aggregate Principal Amount</w:t>
      </w:r>
      <w:r>
        <w:rPr>
          <w:rFonts w:ascii="Times New Roman;Times;Serif" w:hAnsi="Times New Roman;Times;Serif"/>
          <w:b w:val="false"/>
          <w:i w:val="false"/>
          <w:caps w:val="false"/>
          <w:smallCaps w:val="false"/>
          <w:sz w:val="20"/>
        </w:rPr>
        <w:t>. The title of the 2032 Notes shall be as specified in the Recitals; and the aggregate principal amount of the 2032 Notes shall be as specified in Section 1.02 of this Forty-Ninth Supplemental Indenture, except as permitted by Sections 301, 304, 305 or 306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2032 Notes shall mature, and the unpaid principal thereon shall be payable, on February 15, 2032, subject to the provisions of the Original Indenture and Section 1.04(d)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rate per annum at which interest shall be payable on the 2032 Notes shall be 5.250%. Interest on the 2032 Notes shall be payable semi-annually in arrears on each February 15 and August 15, commencing on February 15, 2027 (each, a “</w:t>
      </w:r>
      <w:r>
        <w:rPr>
          <w:rFonts w:ascii="Times New Roman;Times;Serif" w:hAnsi="Times New Roman;Times;Serif"/>
          <w:b/>
          <w:i w:val="false"/>
          <w:caps w:val="false"/>
          <w:smallCaps w:val="false"/>
          <w:sz w:val="20"/>
        </w:rPr>
        <w:t>2032 Interest Payment Date</w:t>
      </w:r>
      <w:r>
        <w:rPr>
          <w:rFonts w:ascii="Times New Roman;Times;Serif" w:hAnsi="Times New Roman;Times;Serif"/>
          <w:b w:val="false"/>
          <w:i w:val="false"/>
          <w:caps w:val="false"/>
          <w:smallCaps w:val="false"/>
          <w:sz w:val="20"/>
        </w:rPr>
        <w:t>”), to the Persons in whose names the applicable 2032 Notes are registered in the Security Register applicable to the 2032 Notes at the close of business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immediately prior to the applicable 2032 Interest Payment Date regardless of whether such day is a Business Day (each, a “</w:t>
      </w:r>
      <w:r>
        <w:rPr>
          <w:rFonts w:ascii="Times New Roman;Times;Serif" w:hAnsi="Times New Roman;Times;Serif"/>
          <w:b/>
          <w:i w:val="false"/>
          <w:caps w:val="false"/>
          <w:smallCaps w:val="false"/>
          <w:sz w:val="20"/>
        </w:rPr>
        <w:t>2032 Regular Record Date</w:t>
      </w:r>
      <w:r>
        <w:rPr>
          <w:rFonts w:ascii="Times New Roman;Times;Serif" w:hAnsi="Times New Roman;Times;Serif"/>
          <w:b w:val="false"/>
          <w:i w:val="false"/>
          <w:caps w:val="false"/>
          <w:smallCaps w:val="false"/>
          <w:sz w:val="20"/>
        </w:rPr>
        <w:t>”). Interest on the 2032 Notes shall be computed on the basis of a 360-day year of twelve 30-day months. Interest on the 2032 Notes shall accrue from and including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Sinking Fund, Redemption or Repayment</w:t>
      </w:r>
      <w:r>
        <w:rPr>
          <w:rFonts w:ascii="Times New Roman;Times;Serif" w:hAnsi="Times New Roman;Times;Serif"/>
          <w:b w:val="false"/>
          <w:i w:val="false"/>
          <w:caps w:val="false"/>
          <w:smallCaps w:val="false"/>
          <w:sz w:val="20"/>
        </w:rPr>
        <w:t>. No sinking fund shall be provided for the 2032 Notes and the 2032 Notes shall not be repayable at the option of the Holders thereof prior to their Stated Maturity. The 2032 Notes may be redeemed at any time at the option of the Issuer, in whole or from time to time in part, at a redemption price equal to the sum of (i) 100% of the principal amount of the 2032 Notes being redeemed plus accrued interest thereon to but excluding the Redemption Date and (ii) the Make-Whole Amount, if any, with respect to such 2032 Notes (collectively, the “</w:t>
      </w:r>
      <w:r>
        <w:rPr>
          <w:rFonts w:ascii="Times New Roman;Times;Serif" w:hAnsi="Times New Roman;Times;Serif"/>
          <w:b/>
          <w:i w:val="false"/>
          <w:caps w:val="false"/>
          <w:smallCaps w:val="false"/>
          <w:sz w:val="20"/>
        </w:rPr>
        <w:t>2032 Redemption Price</w:t>
      </w:r>
      <w:r>
        <w:rPr>
          <w:rFonts w:ascii="Times New Roman;Times;Serif" w:hAnsi="Times New Roman;Times;Serif"/>
          <w:b w:val="false"/>
          <w:i w:val="false"/>
          <w:caps w:val="false"/>
          <w:smallCaps w:val="false"/>
          <w:sz w:val="20"/>
        </w:rPr>
        <w:t>”), all in accordance with the provisions of Article XI of the Original Indenture, as supplemented herein; provided, however, that if the 2032 Notes are redeemed on or after the 2032 Par Call Date, the 2032 Redemption Price shall not include the Make-Whole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notice of redemption has been given as provided in the Original Indenture and as supplemented herein, and funds for the redemption of any 2032 Notes called for redemption shall have been made available on the Redemption Date referred to in such notice, such 2032 Notes shall cease to bear interest on the Redemption Date and the only right of the Holders of the 2032 Notes from and after the Redemption Date shall be to receive payment of the 2032 Redemption Price upon surrender of such 2032 Notes in accordance with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Registration and Form</w:t>
      </w:r>
      <w:r>
        <w:rPr>
          <w:rFonts w:ascii="Times New Roman;Times;Serif" w:hAnsi="Times New Roman;Times;Serif"/>
          <w:b w:val="false"/>
          <w:i w:val="false"/>
          <w:caps w:val="false"/>
          <w:smallCaps w:val="false"/>
          <w:sz w:val="20"/>
        </w:rPr>
        <w:t>. The 2032 Notes shall be issuable as Registered Securities as provided in Section 1.03 of this Forty-Ninth Supplemental Indenture. The 2032 Notes shall be issued and may be transferred only in minimum denominations of $2,000 and integral multiples of $1,000 in excess thereof. All payments of principal, premium, if any, and interest in respect of the 2032 Notes shall be made by the Issuer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Defeasance and Covenant Defeasance</w:t>
      </w:r>
      <w:r>
        <w:rPr>
          <w:rFonts w:ascii="Times New Roman;Times;Serif" w:hAnsi="Times New Roman;Times;Serif"/>
          <w:b w:val="false"/>
          <w:i w:val="false"/>
          <w:caps w:val="false"/>
          <w:smallCaps w:val="false"/>
          <w:sz w:val="20"/>
        </w:rPr>
        <w:t>. The provisions for defeasance in Section 1402 of the Original Indenture, and the provisions for covenant defeasance (which provisions shall apply, without limitation, to the covenants set forth in Article II of this Forty-Ninth Supplemental Indenture) in Section 1403 of the Original Indenture, shall be applicable to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Make-Whole Amount Payable Upon Acceleration</w:t>
      </w:r>
      <w:r>
        <w:rPr>
          <w:rFonts w:ascii="Times New Roman;Times;Serif" w:hAnsi="Times New Roman;Times;Serif"/>
          <w:b w:val="false"/>
          <w:i w:val="false"/>
          <w:caps w:val="false"/>
          <w:smallCaps w:val="false"/>
          <w:sz w:val="20"/>
        </w:rPr>
        <w:t>. Upon any acceleration of the Stated Maturity of the 2032 Notes in accordance with Section 502 of the Original Indenture, the Make-Whole Amount on the 2032 Notes shall become immediately due and payable, subject to the terms and conditions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Further Issues</w:t>
      </w:r>
      <w:r>
        <w:rPr>
          <w:rFonts w:ascii="Times New Roman;Times;Serif" w:hAnsi="Times New Roman;Times;Serif"/>
          <w:b w:val="false"/>
          <w:i w:val="false"/>
          <w:caps w:val="false"/>
          <w:smallCaps w:val="false"/>
          <w:sz w:val="20"/>
        </w:rPr>
        <w:t xml:space="preserve">. Notwithstanding anything to the contrary contained herein or in the Original Indenture, the Issuer may, from time to time, without the consent of or notice to the Holders, create and issue further debt securities under the Indenture having the same terms and conditions as the 2032 Notes in all respects, except for issue date, issue price and, to the extent applicable, first payment of interest. Additional debt securities issued in this manner shall be consolidated with and shall form a single series with the previously outstanding 2032 Notes,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such additional notes will not be fungible with the previously outstanding 2032 Notes for U.S. federal income tax purposes, such additional notes will have a separate CUSIP number. Notice of any such issuance shall be given to the Trustee and a new supplemental indenture shall be executed in connection with the issuance of such additional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Election to Redeem; Notice to the Trustee</w:t>
      </w:r>
      <w:r>
        <w:rPr>
          <w:rFonts w:ascii="Times New Roman;Times;Serif" w:hAnsi="Times New Roman;Times;Serif"/>
          <w:b w:val="false"/>
          <w:i w:val="false"/>
          <w:caps w:val="false"/>
          <w:smallCaps w:val="false"/>
          <w:sz w:val="20"/>
        </w:rPr>
        <w:t>. The second sentence of Section 1102 of the Original Indenture is replaced in its entirety by the following with respect to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case of any redemption at the election of the Issuer of less than all of the Securities of any series, the Issuer shall, at least 5 business days prior to the giving of the notice of redemption in Section 1104 (unless a shorter notice shall be satisfactory to the Trustee), notify the Trustee of such Redemption Date and of the principal amount of Securities of such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Selection by Trustee of Securities to be Redeemed</w:t>
      </w:r>
      <w:r>
        <w:rPr>
          <w:rFonts w:ascii="Times New Roman;Times;Serif" w:hAnsi="Times New Roman;Times;Serif"/>
          <w:b w:val="false"/>
          <w:i w:val="false"/>
          <w:caps w:val="false"/>
          <w:smallCaps w:val="false"/>
          <w:sz w:val="20"/>
        </w:rPr>
        <w:t>. The first paragraph of Section 1103 of the Original Indenture is replaced in its entirety by the following with respect to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 less than all the Securities of any series issued on the same day with the same terms are to be redeemed, the particular Securities to be redeemed shall be selected by the Trustee from the Outstanding Securities of such series issued on such date with the same terms not previously called for redemption, by such method as the Trustee shall deem fair and appropriate (and in such manner as complies with the requirements of DTC, if applicable)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The first paragraph of Section 1104 of the Original Indenture is replaced in its entirety by the following with respect to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Notice of redemption shall be given in the manner provided in Section 106, not less than 10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Other Terms and Conditions</w:t>
      </w:r>
      <w:r>
        <w:rPr>
          <w:rFonts w:ascii="Times New Roman;Times;Serif" w:hAnsi="Times New Roman;Times;Serif"/>
          <w:b w:val="false"/>
          <w:i w:val="false"/>
          <w:caps w:val="false"/>
          <w:smallCaps w:val="false"/>
          <w:sz w:val="20"/>
        </w:rPr>
        <w:t>. The 2032 Notes shall have such other terms and conditions applicable to them as provided in the form thereof attached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1.05.      </w:t>
      </w:r>
      <w:r>
        <w:rPr>
          <w:rFonts w:ascii="Times New Roman;Times;Serif" w:hAnsi="Times New Roman;Times;Serif"/>
          <w:b w:val="false"/>
          <w:i w:val="false"/>
          <w:caps w:val="false"/>
          <w:smallCaps w:val="false"/>
          <w:sz w:val="20"/>
          <w:u w:val="single"/>
        </w:rPr>
        <w:t>Terms and Conditions of the 2036 Notes</w:t>
      </w:r>
      <w:r>
        <w:rPr>
          <w:rFonts w:ascii="Times New Roman;Times;Serif" w:hAnsi="Times New Roman;Times;Serif"/>
          <w:b w:val="false"/>
          <w:i w:val="false"/>
          <w:caps w:val="false"/>
          <w:smallCaps w:val="false"/>
          <w:sz w:val="20"/>
        </w:rPr>
        <w:t>. The 2036 Notes shall be governed by all the terms and conditions of the Indenture. In particular, the following provisions shall be terms of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Title and Aggregate Principal Amount</w:t>
      </w:r>
      <w:r>
        <w:rPr>
          <w:rFonts w:ascii="Times New Roman;Times;Serif" w:hAnsi="Times New Roman;Times;Serif"/>
          <w:b w:val="false"/>
          <w:i w:val="false"/>
          <w:caps w:val="false"/>
          <w:smallCaps w:val="false"/>
          <w:sz w:val="20"/>
        </w:rPr>
        <w:t>. The title of the 2036 Notes shall be as specified in the Recitals; and the aggregate principal amount of the 2036 Notes shall be as specified in Section 1.02 of this Forty-Ninth Supplemental Indenture, except as permitted by Sections 301, 304, 305 or 306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2036 Notes shall mature, and the unpaid principal thereon shall be payable, on October 1, 2036, subject to the provisions of the Original Indenture and Section 1.05(d)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rate per annum at which interest shall be payable on the 2036 Notes shall be 5.650%. Interest on the 2036 Notes shall be payable semi-annually in arrears on each April 1 and October 1, commencing on April 1, 2027 (each, a “</w:t>
      </w:r>
      <w:r>
        <w:rPr>
          <w:rFonts w:ascii="Times New Roman;Times;Serif" w:hAnsi="Times New Roman;Times;Serif"/>
          <w:b/>
          <w:i w:val="false"/>
          <w:caps w:val="false"/>
          <w:smallCaps w:val="false"/>
          <w:sz w:val="20"/>
        </w:rPr>
        <w:t>2036 Interest Payment Date</w:t>
      </w:r>
      <w:r>
        <w:rPr>
          <w:rFonts w:ascii="Times New Roman;Times;Serif" w:hAnsi="Times New Roman;Times;Serif"/>
          <w:b w:val="false"/>
          <w:i w:val="false"/>
          <w:caps w:val="false"/>
          <w:smallCaps w:val="false"/>
          <w:sz w:val="20"/>
        </w:rPr>
        <w:t>”), to the Persons in whose names the applicable 2036 Notes are registered in the Security Register applicable to the 2036 Notes at the close of business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immediately prior to the applicable 2036 Interest Payment Date regardless of whether such day is a Business Day (each, a “</w:t>
      </w:r>
      <w:r>
        <w:rPr>
          <w:rFonts w:ascii="Times New Roman;Times;Serif" w:hAnsi="Times New Roman;Times;Serif"/>
          <w:b/>
          <w:i w:val="false"/>
          <w:caps w:val="false"/>
          <w:smallCaps w:val="false"/>
          <w:sz w:val="20"/>
        </w:rPr>
        <w:t>2036 Regular Record Date</w:t>
      </w:r>
      <w:r>
        <w:rPr>
          <w:rFonts w:ascii="Times New Roman;Times;Serif" w:hAnsi="Times New Roman;Times;Serif"/>
          <w:b w:val="false"/>
          <w:i w:val="false"/>
          <w:caps w:val="false"/>
          <w:smallCaps w:val="false"/>
          <w:sz w:val="20"/>
        </w:rPr>
        <w:t>”). Interest on the 2036 Notes shall be computed on the basis of a 360-day year of twelve 30-day months. Interest on the 2036 Notes shall accrue from and including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Sinking Fund, Redemption or Repayment</w:t>
      </w:r>
      <w:r>
        <w:rPr>
          <w:rFonts w:ascii="Times New Roman;Times;Serif" w:hAnsi="Times New Roman;Times;Serif"/>
          <w:b w:val="false"/>
          <w:i w:val="false"/>
          <w:caps w:val="false"/>
          <w:smallCaps w:val="false"/>
          <w:sz w:val="20"/>
        </w:rPr>
        <w:t>. No sinking fund shall be provided for the 2036 Notes and the 2036 Notes shall not be repayable at the option of the Holders thereof prior to their Stated Maturity. The 2036 Notes may be redeemed at any time at the option of the Issuer, in whole or from time to time in part, at a redemption price equal to the sum of (i) 100% of the principal amount of the 2036 Notes being redeemed plus accrued interest thereon to but excluding the Redemption Date and (ii) the Make-Whole Amount, if any, with respect to such 2036 Notes (collectively, the “</w:t>
      </w:r>
      <w:r>
        <w:rPr>
          <w:rFonts w:ascii="Times New Roman;Times;Serif" w:hAnsi="Times New Roman;Times;Serif"/>
          <w:b/>
          <w:i w:val="false"/>
          <w:caps w:val="false"/>
          <w:smallCaps w:val="false"/>
          <w:sz w:val="20"/>
        </w:rPr>
        <w:t>2036 Redemption Price</w:t>
      </w:r>
      <w:r>
        <w:rPr>
          <w:rFonts w:ascii="Times New Roman;Times;Serif" w:hAnsi="Times New Roman;Times;Serif"/>
          <w:b w:val="false"/>
          <w:i w:val="false"/>
          <w:caps w:val="false"/>
          <w:smallCaps w:val="false"/>
          <w:sz w:val="20"/>
        </w:rPr>
        <w:t>”), all in accordance with the provisions of Article XI of the Original Indenture, as supplemented herein; provided, however, that if the 2036 Notes are redeemed on or after the 2036 Par Call Date, the 2036 Redemption Price shall not include the Make-Whole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notice of redemption has been given as provided in the Original Indenture and as supplemented herein, and funds for the redemption of any 2036 Notes called for redemption shall have been made available on the Redemption Date referred to in such notice, such 2036 Notes shall cease to bear interest on the Redemption Date and the only right of the Holders of the 2036 Notes from and after the Redemption Date shall be to receive payment of the 2036 Redemption Price upon surrender of such 2036 Notes in accordance with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Registration and Form</w:t>
      </w:r>
      <w:r>
        <w:rPr>
          <w:rFonts w:ascii="Times New Roman;Times;Serif" w:hAnsi="Times New Roman;Times;Serif"/>
          <w:b w:val="false"/>
          <w:i w:val="false"/>
          <w:caps w:val="false"/>
          <w:smallCaps w:val="false"/>
          <w:sz w:val="20"/>
        </w:rPr>
        <w:t>. The 2036 Notes shall be issuable as Registered Securities as provided in Section 1.03 of this Forty-Ninth Supplemental Indenture. The 2036 Notes shall be issued and may be transferred only in minimum denominations of $2,000 and integral multiples of $1,000 in excess thereof. All payments of principal, premium, if any, and interest in respect of the 2036 Notes shall be made by the Issuer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Defeasance and Covenant Defeasance</w:t>
      </w:r>
      <w:r>
        <w:rPr>
          <w:rFonts w:ascii="Times New Roman;Times;Serif" w:hAnsi="Times New Roman;Times;Serif"/>
          <w:b w:val="false"/>
          <w:i w:val="false"/>
          <w:caps w:val="false"/>
          <w:smallCaps w:val="false"/>
          <w:sz w:val="20"/>
        </w:rPr>
        <w:t>. The provisions for defeasance in Section 1402 of the Original Indenture, and the provisions for covenant defeasance (which provisions shall apply, without limitation, to the covenants set forth in Article II of this Forty-Ninth Supplemental Indenture) in Section 1403 of the Original Indenture, shall be applicable to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Make-Whole Amount Payable Upon Acceleration</w:t>
      </w:r>
      <w:r>
        <w:rPr>
          <w:rFonts w:ascii="Times New Roman;Times;Serif" w:hAnsi="Times New Roman;Times;Serif"/>
          <w:b w:val="false"/>
          <w:i w:val="false"/>
          <w:caps w:val="false"/>
          <w:smallCaps w:val="false"/>
          <w:sz w:val="20"/>
        </w:rPr>
        <w:t>. Upon any acceleration of the Stated Maturity of the 2036 Notes in accordance with Section 502 of the Original Indenture, the Make-Whole Amount on the 2036 Notes shall become immediately due and payable, subject to the terms and conditions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Further Issues</w:t>
      </w:r>
      <w:r>
        <w:rPr>
          <w:rFonts w:ascii="Times New Roman;Times;Serif" w:hAnsi="Times New Roman;Times;Serif"/>
          <w:b w:val="false"/>
          <w:i w:val="false"/>
          <w:caps w:val="false"/>
          <w:smallCaps w:val="false"/>
          <w:sz w:val="20"/>
        </w:rPr>
        <w:t xml:space="preserve">. Notwithstanding anything to the contrary contained herein or in the Original Indenture, the Issuer may, from time to time, without the consent of or notice to the Holders, create and issue further debt securities under the Indenture having the same terms and conditions as the 2036 Notes in all respects, except for issue date, issue price and, to the extent applicable, first payment of interest. Additional debt securities issued in this manner shall be consolidated with and shall form a single series with the previously outstanding 2036 Notes,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such additional notes will not be fungible with the previously outstanding 2036 Notes for U.S. federal income tax purposes, such additional notes will have a separate CUSIP number. Notice of any such issuance shall be given to the Trustee and a new supplemental indenture shall be executed in connection with the issuance of such additional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Election to Redeem; Notice to the Trustee</w:t>
      </w:r>
      <w:r>
        <w:rPr>
          <w:rFonts w:ascii="Times New Roman;Times;Serif" w:hAnsi="Times New Roman;Times;Serif"/>
          <w:b w:val="false"/>
          <w:i w:val="false"/>
          <w:caps w:val="false"/>
          <w:smallCaps w:val="false"/>
          <w:sz w:val="20"/>
        </w:rPr>
        <w:t>. The second sentence of Section 1102 of the Original Indenture is replaced in its entirety by the following with respect to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case of any redemption at the election of the Issuer of less than all of the Securities of any series, the Issuer shall, at least 5 business days prior to the giving of the notice of redemption in Section 1104 (unless a shorter notice shall be satisfactory to the Trustee), notify the Trustee of such Redemption Date and of the principal amount of Securities of such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Selection by Trustee of Securities to be Redeemed</w:t>
      </w:r>
      <w:r>
        <w:rPr>
          <w:rFonts w:ascii="Times New Roman;Times;Serif" w:hAnsi="Times New Roman;Times;Serif"/>
          <w:b w:val="false"/>
          <w:i w:val="false"/>
          <w:caps w:val="false"/>
          <w:smallCaps w:val="false"/>
          <w:sz w:val="20"/>
        </w:rPr>
        <w:t>. The first paragraph of Section 1103 of the Original Indenture is replaced in its entirety by the following with respect to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 less than all the Securities of any series issued on the same day with the same terms are to be redeemed, the particular Securities to be redeemed shall be selected by the Trustee from the Outstanding Securities of such series issued on such date with the same terms not previously called for redemption, by such method as the Trustee shall deem fair and appropriate (and in such manner as complies with the requirements of DTC, if applicable)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The first paragraph of Section 1104 of the Original Indenture is replaced in its entirety by the following with respect to the 2036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Notice of redemption shall be given in the manner provided in Section 106, not less than 10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Other Terms and Conditions</w:t>
      </w:r>
      <w:r>
        <w:rPr>
          <w:rFonts w:ascii="Times New Roman;Times;Serif" w:hAnsi="Times New Roman;Times;Serif"/>
          <w:b w:val="false"/>
          <w:i w:val="false"/>
          <w:caps w:val="false"/>
          <w:smallCaps w:val="false"/>
          <w:sz w:val="20"/>
        </w:rPr>
        <w:t>. The 2036 Notes shall have such other terms and conditions applicable to them as provided in the form thereof attached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EVENTS AND NOTICE OF DEFAULT;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2.01.      </w:t>
      </w:r>
      <w:r>
        <w:rPr>
          <w:rFonts w:ascii="Times New Roman;Times;Serif" w:hAnsi="Times New Roman;Times;Serif"/>
          <w:b w:val="false"/>
          <w:i w:val="false"/>
          <w:caps w:val="false"/>
          <w:smallCaps w:val="false"/>
          <w:sz w:val="20"/>
          <w:u w:val="single"/>
        </w:rPr>
        <w:t>Covenants for Benefit of Holders of Notes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addition to the covenants set forth in Article X of the Original Indenture, there are established pursuant to Section 901(2) of the Original Indenture the following covenants for the benefit of the Holders of the Notes of each series and to which such Notes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Limitation on Debt</w:t>
      </w:r>
      <w:r>
        <w:rPr>
          <w:rFonts w:ascii="Times New Roman;Times;Serif" w:hAnsi="Times New Roman;Times;Serif"/>
          <w:b w:val="false"/>
          <w:i w:val="false"/>
          <w:caps w:val="false"/>
          <w:smallCaps w:val="false"/>
          <w:sz w:val="20"/>
        </w:rPr>
        <w:t>. As of each Reporting Date (as defined below), Debt (as defined below) shall not exceed 65% of Total Assets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Limitation on Secured Debt</w:t>
      </w:r>
      <w:r>
        <w:rPr>
          <w:rFonts w:ascii="Times New Roman;Times;Serif" w:hAnsi="Times New Roman;Times;Serif"/>
          <w:b w:val="false"/>
          <w:i w:val="false"/>
          <w:caps w:val="false"/>
          <w:smallCaps w:val="false"/>
          <w:sz w:val="20"/>
        </w:rPr>
        <w:t>. As of each Reporting Date, Secured Debt (as defined below) shall not exceed 50% of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For the four consecutive quarters ending on each Reporting Date, the ratio of Annualized EBITDA (as defined below) to Annualized Interest Expense (as defined below) shall be at least 1.50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Maintenance of Unencumbered Assets</w:t>
      </w:r>
      <w:r>
        <w:rPr>
          <w:rFonts w:ascii="Times New Roman;Times;Serif" w:hAnsi="Times New Roman;Times;Serif"/>
          <w:b w:val="false"/>
          <w:i w:val="false"/>
          <w:caps w:val="false"/>
          <w:smallCaps w:val="false"/>
          <w:sz w:val="20"/>
        </w:rPr>
        <w:t>. As of each Reporting Date, Unencumbered Assets (as defined below) shall be at least 125% of Unsecured Debt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2.02.      </w:t>
      </w:r>
      <w:r>
        <w:rPr>
          <w:rFonts w:ascii="Times New Roman;Times;Serif" w:hAnsi="Times New Roman;Times;Serif"/>
          <w:b w:val="false"/>
          <w:i w:val="false"/>
          <w:caps w:val="false"/>
          <w:smallCaps w:val="false"/>
          <w:sz w:val="20"/>
          <w:u w:val="single"/>
        </w:rPr>
        <w:t>Provision of Financial Information</w:t>
      </w:r>
      <w:r>
        <w:rPr>
          <w:rFonts w:ascii="Times New Roman;Times;Serif" w:hAnsi="Times New Roman;Times;Serif"/>
          <w:b w:val="false"/>
          <w:i w:val="false"/>
          <w:caps w:val="false"/>
          <w:smallCaps w:val="false"/>
          <w:sz w:val="20"/>
        </w:rPr>
        <w:t>. For the purposes of the Notes of each series, Section 1010 of the Original Indenture is hereby amended by adding the following as the third paragraph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availability of the foregoing materials on the Commission’s website or on the Issuer’s website shall be deemed to satisfy the foregoing delivery obligations. The Trustee shall have no obligation to determine if and when the Issuer’s Financial Statements or reports are publicly available and accessible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2.03.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Annualized EBITDA</w:t>
      </w:r>
      <w:r>
        <w:rPr>
          <w:rFonts w:ascii="Times New Roman;Times;Serif" w:hAnsi="Times New Roman;Times;Serif"/>
          <w:b w:val="false"/>
          <w:i w:val="false"/>
          <w:caps w:val="false"/>
          <w:smallCaps w:val="false"/>
          <w:sz w:val="20"/>
        </w:rPr>
        <w:t>” means, for the four consecutive quarters ending on each Reporting Date, the Operating Partnership’s Pro Rata Share (as defined below) of earnings before interest, taxes, depreciation and amortization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 (i) 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Annualized Interest Expense</w:t>
      </w:r>
      <w:r>
        <w:rPr>
          <w:rFonts w:ascii="Times New Roman;Times;Serif" w:hAnsi="Times New Roman;Times;Serif"/>
          <w:b w:val="false"/>
          <w:i w:val="false"/>
          <w:caps w:val="false"/>
          <w:smallCaps w:val="false"/>
          <w:sz w:val="20"/>
        </w:rPr>
        <w:t>”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assumption that (i) any interest expense related to indebtedness incurred since the first day of such four-quarter period is computed as if such indebtedness had been incurred as of the beginning of such period, and (ii) 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Capitalization Rate</w:t>
      </w:r>
      <w:r>
        <w:rPr>
          <w:rFonts w:ascii="Times New Roman;Times;Serif" w:hAnsi="Times New Roman;Times;Serif"/>
          <w:b w:val="false"/>
          <w:i w:val="false"/>
          <w:caps w:val="false"/>
          <w:smallCaps w:val="false"/>
          <w:sz w:val="20"/>
        </w:rPr>
        <w:t>” means 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Value</w:t>
      </w:r>
      <w:r>
        <w:rPr>
          <w:rFonts w:ascii="Times New Roman;Times;Serif" w:hAnsi="Times New Roman;Times;Serif"/>
          <w:b w:val="false"/>
          <w:i w:val="false"/>
          <w:caps w:val="false"/>
          <w:smallCaps w:val="false"/>
          <w:sz w:val="20"/>
        </w:rPr>
        <w:t>” means, as of any date, Annualized EBITDA divided by the Capitalization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Simon Property Group, Inc., an Indiana corporation and the sole general partner of the Operating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xml:space="preserve">”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 (iii) 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 (iv) above (or, in the case of any such obligation made jointly with another Person, the Operating Partnership’s or Subsidiary’s allocable portion of such obligation based on its ownership interest in the related real estate assets);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Debt excludes (a) Intercompany Debt (as defined below) and (b) in the case of clause (iv) above, operating lease liabilities on the Operating Partnership’s balance sheet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Intercompany Debt</w:t>
      </w:r>
      <w:r>
        <w:rPr>
          <w:rFonts w:ascii="Times New Roman;Times;Serif" w:hAnsi="Times New Roman;Times;Serif"/>
          <w:b w:val="false"/>
          <w:i w:val="false"/>
          <w:caps w:val="false"/>
          <w:smallCaps w:val="false"/>
          <w:sz w:val="20"/>
        </w:rPr>
        <w:t>” means Debt to which the only parties are the Company, the Operating Partnership and any of their Subsidiaries or affiliates (but only so long as such Debt is held solely by any of the Company, the Operating Partnership and any Subsidiary or affiliate) and provided that, in the case of Debt owed by the Operating Partnership to any Subsidiary or affiliate, the Debt is subordinated in right of payment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Reporting Date</w:t>
      </w:r>
      <w:r>
        <w:rPr>
          <w:rFonts w:ascii="Times New Roman;Times;Serif" w:hAnsi="Times New Roman;Times;Serif"/>
          <w:b w:val="false"/>
          <w:i w:val="false"/>
          <w:caps w:val="false"/>
          <w:smallCaps w:val="false"/>
          <w:sz w:val="20"/>
        </w:rPr>
        <w:t>” means March 31, June 30, September 30 and December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Debt</w:t>
      </w:r>
      <w:r>
        <w:rPr>
          <w:rFonts w:ascii="Times New Roman;Times;Serif" w:hAnsi="Times New Roman;Times;Serif"/>
          <w:b w:val="false"/>
          <w:i w:val="false"/>
          <w:caps w:val="false"/>
          <w:smallCaps w:val="false"/>
          <w:sz w:val="20"/>
        </w:rPr>
        <w:t>” means Debt secured by any mortgage, lien, pledge, encumbrance or security interest of any kind upon any of the property of the Operating Partnership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Stabilized Asset</w:t>
      </w:r>
      <w:r>
        <w:rPr>
          <w:rFonts w:ascii="Times New Roman;Times;Serif" w:hAnsi="Times New Roman;Times;Serif"/>
          <w:b w:val="false"/>
          <w:i w:val="false"/>
          <w:caps w:val="false"/>
          <w:smallCaps w:val="false"/>
          <w:sz w:val="20"/>
        </w:rPr>
        <w:t>” means (i) with respect to an acquisition of an asset, such asset becomes stabilized when the Operating Partnership or its Subsidiaries or an unconsolidated joint venture in which the Operating Partnership or any Subsidiary has an interest has owned the asset as of at least six Reporting Dates, and (ii) with respect to a new construction or development asset, such asset becomes stabilized four Reporting Dates after the earlier of (a) six Reporting Dates after substantial completion of construction or development or (b) the first Reporting Date on which the asset is at least 90% 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Assets</w:t>
      </w:r>
      <w:r>
        <w:rPr>
          <w:rFonts w:ascii="Times New Roman;Times;Serif" w:hAnsi="Times New Roman;Times;Serif"/>
          <w:b w:val="false"/>
          <w:i w:val="false"/>
          <w:caps w:val="false"/>
          <w:smallCaps w:val="false"/>
          <w:sz w:val="20"/>
        </w:rPr>
        <w:t xml:space="preserve">” means, as of any Reporting Date, the sum of (i) for Stabilized Assets, Capitalized Value; (ii) 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Total Assets excludes right-of-use assets associated with operating leases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Unencumbered Annualized EBITDA</w:t>
      </w:r>
      <w:r>
        <w:rPr>
          <w:rFonts w:ascii="Times New Roman;Times;Serif" w:hAnsi="Times New Roman;Times;Serif"/>
          <w:b w:val="false"/>
          <w:i w:val="false"/>
          <w:caps w:val="false"/>
          <w:smallCaps w:val="false"/>
          <w:sz w:val="20"/>
        </w:rPr>
        <w:t>” means Annualized EBITDA less any portion thereof attributable to assets serving as collateral for 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Unencumbered Assets</w:t>
      </w:r>
      <w:r>
        <w:rPr>
          <w:rFonts w:ascii="Times New Roman;Times;Serif" w:hAnsi="Times New Roman;Times;Serif"/>
          <w:b w:val="false"/>
          <w:i w:val="false"/>
          <w:caps w:val="false"/>
          <w:smallCaps w:val="false"/>
          <w:sz w:val="20"/>
        </w:rPr>
        <w:t>” as of any Reporting Date means Total Assets as of such date multiplied by a fraction, the numerator of which is Unencumbered Annualized EBITDA and the denominator of which is Annualized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Unsecured Debt</w:t>
      </w:r>
      <w:r>
        <w:rPr>
          <w:rFonts w:ascii="Times New Roman;Times;Serif" w:hAnsi="Times New Roman;Times;Serif"/>
          <w:b w:val="false"/>
          <w:i w:val="false"/>
          <w:caps w:val="false"/>
          <w:smallCaps w:val="false"/>
          <w:sz w:val="20"/>
        </w:rPr>
        <w:t>” means Debt that is not secured by any mortgage, lien, pledge, encumbrance or security interest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2.04.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For the purposes of the Notes of each series, Section 501 of the Original Indenture is hereby amended by, supplemented with, and where inconsistent, replaced by, the following provisions: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4"/>
        <w:gridCol w:w="9814"/>
      </w:tblGrid>
      <w:tr>
        <w:trPr/>
        <w:tc>
          <w:tcPr>
            <w:tcW w:w="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color w:val="010000"/>
              </w:rPr>
            </w:pPr>
            <w:r>
              <w:rPr>
                <w:color w:val="010000"/>
              </w:rPr>
              <w:t>(a)</w:t>
            </w:r>
          </w:p>
        </w:tc>
        <w:tc>
          <w:tcPr>
            <w:tcW w:w="9814" w:type="dxa"/>
            <w:tcBorders/>
            <w:vAlign w:val="center"/>
          </w:tcPr>
          <w:p>
            <w:pPr>
              <w:pStyle w:val="TableContents"/>
              <w:bidi w:val="0"/>
              <w:spacing w:before="0" w:after="283"/>
              <w:jc w:val="both"/>
              <w:rPr/>
            </w:pPr>
            <w:r>
              <w:rPr/>
              <w:t>Section 501(4) of the Original Indenture is replaced in its entirety by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(4) default in the performance, or breach, of any covenant or warranty of the Issuer in this Indenture with respect to any Security of that series (other than a covenant or warranty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2"/>
        <w:gridCol w:w="9796"/>
      </w:tblGrid>
      <w:tr>
        <w:trPr/>
        <w:tc>
          <w:tcPr>
            <w:tcW w:w="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color w:val="010000"/>
              </w:rPr>
            </w:pPr>
            <w:r>
              <w:rPr>
                <w:color w:val="010000"/>
              </w:rPr>
              <w:t>(b)</w:t>
            </w:r>
          </w:p>
        </w:tc>
        <w:tc>
          <w:tcPr>
            <w:tcW w:w="9796" w:type="dxa"/>
            <w:tcBorders/>
            <w:vAlign w:val="center"/>
          </w:tcPr>
          <w:p>
            <w:pPr>
              <w:pStyle w:val="TableContents"/>
              <w:bidi w:val="0"/>
              <w:spacing w:before="0" w:after="283"/>
              <w:jc w:val="both"/>
              <w:rPr/>
            </w:pPr>
            <w:r>
              <w:rPr/>
              <w:t>Section 501(5) of the Original Indenture is replaced in its entirety by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 a default under any evidence of recourse indebtedness of the Issuer, or under any mortgage, indenture or other instrument of the Issuer (including a default with respect to Securities of any series other than that series) under which there may be issued or by which there may be secured any recourse indebtedness of the Issuer (or of any Subsidiary, the repayment of which the Issuer has guaranteed or for which the Issuer is directly responsible or liable as obligor or guarantor), whether such indebtedness now exists or shall hereafter be created, which default shall constitute a failure to pay an aggregate principal amount exceeding $50,000,000 of such indebtedness when due and payable after the expiration of any applicable grace period with respect thereto and shall have resulted in such indebtedness in an aggregate principal amount exceeding $50,000,000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Issuer by the Trustee or to the Issuer and the Trustee by the Holders of at least 25% in principal amount of the Outstanding Securities of that series a written notice specifying such default and requiring the Issuer to cause such indebtedness to be discharged or cause such acceleration to be rescinded or annulled and stating that such notice is a “Notice of Default”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2.05.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For the purposes of the Notes of each series, Section 601 of the Original Indenture is hereby replaced in its entirety by the following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if any) or interest on or any Additional Amounts with respect to any Security of such series, or in the payment of any sinking fund installment with respect to the Securities of such series, the Trustee shall be protected in withholding such notice if and so long as a trust committee of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90 days after the occurrence thereof. For the purpose of this Section, the term “default” means any event which is, or after notice or lapse of time or both would become, an Event of Default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2.06.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 For the purposes of the Notes of each series, Section 901 of the Original Indenture is hereby amended by adding the following as Section 901(11): “to conform the terms of this Indenture or the Securities of a series or any Coupons to the description thereof contained in any prospectus, prospectus supplement or other offering document relating to the offer and sale of such Securities, as evidenced by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3.01.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Global Notes shall be exchanged by the Operating Partnership for one or more Notes of the same series in definitive, fully registered certificated form, without coupons, substantially in the form of Exhibit B hereto (the “</w:t>
      </w:r>
      <w:r>
        <w:rPr>
          <w:rFonts w:ascii="Times New Roman;Times;Serif" w:hAnsi="Times New Roman;Times;Serif"/>
          <w:b/>
          <w:i w:val="false"/>
          <w:caps w:val="false"/>
          <w:smallCaps w:val="false"/>
          <w:sz w:val="20"/>
        </w:rPr>
        <w:t>Certificated Notes</w:t>
      </w:r>
      <w:r>
        <w:rPr>
          <w:rFonts w:ascii="Times New Roman;Times;Serif" w:hAnsi="Times New Roman;Times;Serif"/>
          <w:b w:val="false"/>
          <w:i w:val="false"/>
          <w:caps w:val="false"/>
          <w:smallCaps w:val="false"/>
          <w:sz w:val="20"/>
        </w:rPr>
        <w:t>”) if (i) DTC (1) has notified the Operating Partnership that it is unwilling or unable to continue as, or ceases to be, a clearing agency registered under Section 17A of the Exchange Act and (2) a successor to DTC registered as a clearing agency under Section 17A of the Exchange Act is not able to be appointed by the Operating Partnership within 90 calendar days or (ii) DTC is at any time unwilling or unable to continue as depositary and the Operating Partnership is not able to appoint a successor to DTC within 90 calendar days. If an Event of Default occurs and is continuing with respect to the Notes of a series, the Operating Partnership shall, at the request of the Trustee or the Holder thereof, exchange all or part of the applicable Global Note for one or more Certificated Notes of the same series, as applicable. In addition, beneficial interests in a Global Note may be exchanged for Certificated Notes of the same series upon request but only upon at least 30 calendar days’ prior written notice given to the Trustee by or on behalf of DTC in accordance with customary procedures. Whenever a Global Note is exchanged for one or more Certificated Notes of the same series, it shall be surrendered by the Holder thereof to the Trustee and cancelled by the Trustee. All Certificated Notes issued in exchange for a Global Note, a beneficial interest therein or a portion thereof shall be registered in such names, and delivered, as DTC shall instruct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Any Holder of a Global Note shall, by acceptance of such Global Note, agree that transfers of beneficial interests in such Global Note may be effected only through a book-entry system maintained by such Holder (or its agent), and that, subject to the immediately preceding paragraph, ownership of a beneficial interest in the Notes represented thereby shall be required to be reflected in book-entry form. Transfers of a Global Note shall be limited to transfers in whole and not in part, to DTC, its successors and their respective nominees. Interests of beneficial owners in a Global Note shall be transferred in accordance with the rules and procedures of DTC (or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Each Global Note shall bear the following legends on the face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AND UNTIL THIS CERTIFICATE IS EXCHANGED IN WHOLE OR IN PART FOR NOTES IN CERTIFICATED FORM, THIS CERTIFICATE MAY NOT BE TRANSFERRED EXCEPT AS A WHOLE BY DTC TO A NOMINEE THEREOF OR BY A NOMINEE THEREOF TO DTC OR ANOTHER NOMINEE OF DTC OR BY DTC OR ANY SUCH NOMINEE TO A SUCCESSOR OF DTC OR A NOMINEE OF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5.01.      </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The Trustee is appointed as the principal paying agent, transfer agent and registrar for the Notes and for the purposes of Section 1002 of the Indenture. The Notes may be presented for payment at the Corporate Trust Office of the Trustee or at any other agency as may be appointed from time to time by the Operating Partnership in The City of New York or the City of Chicago.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5.02.      </w:t>
      </w:r>
      <w:r>
        <w:rPr>
          <w:rFonts w:ascii="Times New Roman;Times;Serif" w:hAnsi="Times New Roman;Times;Serif"/>
          <w:b w:val="false"/>
          <w:i w:val="false"/>
          <w:caps w:val="false"/>
          <w:smallCaps w:val="false"/>
          <w:sz w:val="20"/>
          <w:u w:val="single"/>
        </w:rPr>
        <w:t>Recitals of Fact; Other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shall not be responsible in any manner whatsoever for or in respect of the validity or sufficiency of this Forty-Ninth Supplemental Indenture or the due execution thereof by the Issuer. The recitals of fact contained herein shall be taken as the statements solely of the Issuer and the Trustee assumes no responsibility for the correctness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shall not be responsible or liable for any failure or delay in the performance of its obligations under the Indenture arising out of or caused, directly or indirectly, by circumstances beyond its reasonable control, including without limitation,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may reasonably rely upon and comply with instructions or directions sent via unsecured facsimile or email transmission and the Trustee shall not be liable for any loss, liability or expense of any kind incurred by the Issuer or the Holders of the Notes due to the Trustee’s reasonable reliance upon and compliance with instructions or directions given by unsecured facsimile or email transmission, provided, however, that such losses have not arisen from the negligence or willful misconduct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party hereto hereby irrevocably waives, to the fullest extent permitted by applicable law, any and all right to trial by jury in any legal proceeding arising out of or relating to the Indenture, the Notes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5.03.      </w:t>
      </w:r>
      <w:r>
        <w:rPr>
          <w:rFonts w:ascii="Times New Roman;Times;Serif" w:hAnsi="Times New Roman;Times;Serif"/>
          <w:b w:val="false"/>
          <w:i w:val="false"/>
          <w:caps w:val="false"/>
          <w:smallCaps w:val="false"/>
          <w:sz w:val="20"/>
          <w:u w:val="single"/>
        </w:rPr>
        <w:t>Successor</w:t>
      </w:r>
      <w:r>
        <w:rPr>
          <w:rFonts w:ascii="Times New Roman;Times;Serif" w:hAnsi="Times New Roman;Times;Serif"/>
          <w:b w:val="false"/>
          <w:i w:val="false"/>
          <w:caps w:val="false"/>
          <w:smallCaps w:val="false"/>
          <w:sz w:val="20"/>
        </w:rPr>
        <w:t>. Any corporation or association into which the Trustee may be merged or converted or with which it may be consolidated, or any corporation or association resulting from any merger, conversion or consolidation to which the Trustee shall be a party, or any corporation or association to which all or substantially all of the corporate trust business of the Trustee may be sold or otherwise transferred, shall be the successor trustee hereunder without any further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6.01.      </w:t>
      </w:r>
      <w:r>
        <w:rPr>
          <w:rFonts w:ascii="Times New Roman;Times;Serif" w:hAnsi="Times New Roman;Times;Serif"/>
          <w:b w:val="false"/>
          <w:i w:val="false"/>
          <w:caps w:val="false"/>
          <w:smallCaps w:val="false"/>
          <w:sz w:val="20"/>
          <w:u w:val="single"/>
        </w:rPr>
        <w:t>Ratification of Original Indenture</w:t>
      </w:r>
      <w:r>
        <w:rPr>
          <w:rFonts w:ascii="Times New Roman;Times;Serif" w:hAnsi="Times New Roman;Times;Serif"/>
          <w:b w:val="false"/>
          <w:i w:val="false"/>
          <w:caps w:val="false"/>
          <w:smallCaps w:val="false"/>
          <w:sz w:val="20"/>
        </w:rPr>
        <w:t>. This Forty-Ninth Supplemental Indenture is executed and shall be construed as an indenture supplemental to the Original Indenture, and as supplemented and modified hereby, the Original Indenture is in all respects ratified and confirmed, and the Original Indenture and this Forty-Ninth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Article and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Forty-Ninth Supplemental Indenture by the Issuer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6.04.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one or more of the provisions contained in this Forty-Ninth Supplemental Indenture shall for any reason be held to be invalid, illegal or unenforceable in any respect,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Forty-Ninth Supplemental Indenture shall be governed by and construed in accordance with the laws of the State of New York. This Forty-Ninth Supplemental Indenture is subject to the provisions of the Trust Indenture Act that are required to be part of this Forty-Ninth Supplemental Indenture and shall, to the extent applicable, be governed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Forty-Ninth Supplemental Indenture may be executed in any number of counterparts manually, by facsimile or by electronic signature, and each of such counterparts so executed shall for all purposes be deemed to be an original, but all such counterparts shall together constitute one and the same instrument. The exchange of copies of this Forty-Ninth Supplemental Indenture and of signature pages by facsimile or PDF transmission or other electronically-imaged format (including, without limitation, DocuSign or Adobe Sign) transmission shall constitute effective execution and delivery of this Forty-Ninth Supplemental Indenture as to the parties hereto and may be used in lieu of the original Forty-Ninth Supplemental Indenture for all purposes. Signatures of the parties hereto transmitted by facsimile or PDF transmission or other electronically-imaged format (including, without limitation, DocuSign or Adobe Sign) shall be deemed to be their original signatures for all purposes. The words “execution,” “signed,” “signature,” and words of similar import in this Forty-Ninth Supplemental Indenture shall be deemed to include electronic or digital signatures or the keeping of records in electronic form, each of which shall be of the same effect, validity, and enforceability as manually executed signatures in wet ink or a paper-based recordkeeping system, as the case may be, to the fullest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 Any documents to be executed in connection with the Notes and the transactions contemplated thereby may be executed in the manner provided in this Section in the case of this Forty-Ninth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Forty-Ninth Supplemental Indenture to be duly executed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6559" w:type="dxa"/>
        <w:jc w:val="left"/>
        <w:tblInd w:w="0" w:type="dxa"/>
        <w:tblLayout w:type="fixed"/>
        <w:tblCellMar>
          <w:top w:w="0" w:type="dxa"/>
          <w:left w:w="0" w:type="dxa"/>
          <w:bottom w:w="0" w:type="dxa"/>
          <w:right w:w="0" w:type="dxa"/>
        </w:tblCellMar>
      </w:tblPr>
      <w:tblGrid>
        <w:gridCol w:w="75"/>
        <w:gridCol w:w="396"/>
        <w:gridCol w:w="675"/>
        <w:gridCol w:w="5413"/>
      </w:tblGrid>
      <w:tr>
        <w:trPr/>
        <w:tc>
          <w:tcPr>
            <w:tcW w:w="75" w:type="dxa"/>
            <w:tcBorders/>
            <w:vAlign w:val="center"/>
          </w:tcPr>
          <w:p>
            <w:pPr>
              <w:pStyle w:val="TableContents"/>
              <w:bidi w:val="0"/>
              <w:spacing w:before="0" w:after="283"/>
              <w:jc w:val="left"/>
              <w:rPr/>
            </w:pPr>
            <w:r>
              <w:rPr/>
              <w:t> </w:t>
            </w:r>
          </w:p>
        </w:tc>
        <w:tc>
          <w:tcPr>
            <w:tcW w:w="648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SIMON PROPERTY GROUP, L.P.</w:t>
            </w:r>
          </w:p>
        </w:tc>
      </w:tr>
      <w:tr>
        <w:trPr/>
        <w:tc>
          <w:tcPr>
            <w:tcW w:w="75" w:type="dxa"/>
            <w:tcBorders/>
            <w:vAlign w:val="center"/>
          </w:tcPr>
          <w:p>
            <w:pPr>
              <w:pStyle w:val="TableContents"/>
              <w:bidi w:val="0"/>
              <w:spacing w:before="0" w:after="283"/>
              <w:jc w:val="left"/>
              <w:rPr/>
            </w:pPr>
            <w:r>
              <w:rPr/>
              <w:t> </w:t>
            </w:r>
          </w:p>
        </w:tc>
        <w:tc>
          <w:tcPr>
            <w:tcW w:w="64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88" w:type="dxa"/>
            <w:gridSpan w:val="2"/>
            <w:tcBorders/>
            <w:vAlign w:val="center"/>
          </w:tcPr>
          <w:p>
            <w:pPr>
              <w:pStyle w:val="TableContents"/>
              <w:bidi w:val="0"/>
              <w:spacing w:before="0" w:after="283"/>
              <w:jc w:val="left"/>
              <w:rPr/>
            </w:pPr>
            <w:r>
              <w:rPr/>
              <w:t> </w:t>
            </w:r>
            <w:r>
              <w:rPr>
                <w:rFonts w:ascii="Times New Roman;Times;Serif" w:hAnsi="Times New Roman;Times;Serif"/>
                <w:sz w:val="20"/>
              </w:rPr>
              <w:t>Simon Property Group, Inc., its sole General Partner</w:t>
            </w:r>
          </w:p>
        </w:tc>
      </w:tr>
      <w:tr>
        <w:trPr/>
        <w:tc>
          <w:tcPr>
            <w:tcW w:w="75" w:type="dxa"/>
            <w:tcBorders/>
            <w:vAlign w:val="center"/>
          </w:tcPr>
          <w:p>
            <w:pPr>
              <w:pStyle w:val="TableContents"/>
              <w:bidi w:val="0"/>
              <w:spacing w:before="0" w:after="283"/>
              <w:jc w:val="left"/>
              <w:rPr/>
            </w:pPr>
            <w:r>
              <w:rPr/>
              <w:t> </w:t>
            </w:r>
          </w:p>
        </w:tc>
        <w:tc>
          <w:tcPr>
            <w:tcW w:w="64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8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J. McDade</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J. McDade</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r>
      <w:tr>
        <w:trPr/>
        <w:tc>
          <w:tcPr>
            <w:tcW w:w="75" w:type="dxa"/>
            <w:tcBorders/>
            <w:vAlign w:val="center"/>
          </w:tcPr>
          <w:p>
            <w:pPr>
              <w:pStyle w:val="TableContents"/>
              <w:bidi w:val="0"/>
              <w:spacing w:before="0" w:after="283"/>
              <w:jc w:val="left"/>
              <w:rPr/>
            </w:pPr>
            <w:r>
              <w:rPr/>
              <w:t> </w:t>
            </w:r>
          </w:p>
        </w:tc>
        <w:tc>
          <w:tcPr>
            <w:tcW w:w="64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648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THE BANK OF NEW YORK MELLON TRUST COMPANY, N.A.,</w:t>
            </w:r>
            <w:r>
              <w:rPr>
                <w:rFonts w:ascii="Times New Roman;Times;Serif" w:hAnsi="Times New Roman;Times;Serif"/>
                <w:sz w:val="20"/>
              </w:rPr>
              <w:t xml:space="preserve"> as Trustee</w:t>
            </w:r>
          </w:p>
        </w:tc>
      </w:tr>
      <w:tr>
        <w:trPr/>
        <w:tc>
          <w:tcPr>
            <w:tcW w:w="75" w:type="dxa"/>
            <w:tcBorders/>
            <w:vAlign w:val="center"/>
          </w:tcPr>
          <w:p>
            <w:pPr>
              <w:pStyle w:val="TableContents"/>
              <w:bidi w:val="0"/>
              <w:spacing w:before="0" w:after="283"/>
              <w:jc w:val="left"/>
              <w:rPr/>
            </w:pPr>
            <w:r>
              <w:rPr/>
              <w:t> </w:t>
            </w:r>
          </w:p>
        </w:tc>
        <w:tc>
          <w:tcPr>
            <w:tcW w:w="64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8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Terence Rawlins</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Terence Rawlins</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Supplemental Indentur</w:t>
      </w:r>
      <w:r>
        <w:rPr>
          <w:rFonts w:ascii="Times New Roman;Times;Serif" w:hAnsi="Times New Roman;Times;Serif"/>
          <w:b w:val="false"/>
          <w:i/>
          <w:caps w:val="false"/>
          <w:smallCaps w:val="false"/>
          <w:color w:val="363636"/>
          <w:sz w:val="20"/>
        </w:rPr>
        <w:t>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GLOBAL NOTE</w:t>
        <w:br/>
        <w:t>[FACE OF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AND UNTIL THIS CERTIFICATE IS EXCHANGED IN WHOLE OR IN PART FOR NOTES IN CERTIFICATED FORM, THIS CERTIFICATE MAY NOT BE TRANSFERRED EXCEPT AS A WHOLE BY DTC TO A NOMINEE THEREOF OR BY A NOMINEE THEREOF TO DTC OR ANOTHER NOMINEE OF DTC OR BY DTC OR ANY SUCH NOMINEE TO A SUCCESSOR OF DTC OR A NOMINEE OF SUCH SUCCESSOR.</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650"/>
        <w:gridCol w:w="1910"/>
      </w:tblGrid>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w:t>
            </w:r>
          </w:p>
        </w:tc>
        <w:tc>
          <w:tcPr>
            <w:tcW w:w="19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REGISTERED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 ]</w:t>
            </w:r>
          </w:p>
        </w:tc>
        <w:tc>
          <w:tcPr>
            <w:tcW w:w="19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PRINCIPAL AMOUNT</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[828807 EC7/828807 ED5]</w:t>
            </w:r>
          </w:p>
        </w:tc>
        <w:tc>
          <w:tcPr>
            <w:tcW w:w="1910" w:type="dxa"/>
            <w:tcBorders/>
            <w:vAlign w:val="center"/>
          </w:tcPr>
          <w:p>
            <w:pPr>
              <w:pStyle w:val="TableContents"/>
              <w:bidi w:val="0"/>
              <w:spacing w:before="0" w:after="283"/>
              <w:jc w:val="right"/>
              <w:rPr/>
            </w:pPr>
            <w:r>
              <w:rPr/>
              <w:t>             </w:t>
            </w:r>
            <w:r>
              <w:rPr>
                <w:rFonts w:ascii="Times New Roman;Times;Serif" w:hAnsi="Times New Roman;Times;Serif"/>
                <w:sz w:val="20"/>
              </w:rPr>
              <w:t>$[ ]</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ISIN NO. [US828807EC76/US828807ED59]</w:t>
            </w:r>
          </w:p>
        </w:tc>
        <w:tc>
          <w:tcPr>
            <w:tcW w:w="191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[5.250/5.650]% Note due [2032/2036]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an Indiana limited partnership (the “Issuer,” which term includes any successor under the Indenture (as defined below)), for value received, hereby promises to pay to Cede &amp; Co. or its registered assigns, the principal amount of [PRINCIPAL AMOUNT IN WORDS] dollars on [February 15, 2032/October 1, 2036] (the “Maturity Date”), unless earlier redeemed as described on the reverse hereof, and to pay interest on the outstanding principal amount hereof from and including September 16, 2026, semi-annually in arrears on [February 15 and August 15/April 1 and October 1] of each year (each, an “Interest Payment Date”), commencing on [February 15/April 1], 2027, or from the most recent Interest Payment Date to which interest has been paid or duly provided for, at the rate of [5.250/5.650]% per annum, until payment of said principal amount has been made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shall be paid to the Holder in whose name this Note (or one or more predecessor Notes) is registered in the Security Register applicable to this Note at the close of business on the “Record Date” for such payment, which shall be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immediately prior to such Interest Payment Date, regardless of whether such day is a Business Day (as defined below). Any interest not so punctually paid or duly provided for shall forthwith cease to be payable to the Holder on such Record Date, and may be paid to the Holder in whose name this Note (or one or more predecessor Notes) is registered at the close of business on a subsequent record date for the payment of such defaulted interest (which shall not be more than 15 calendar days and less than 10 calendar days prior to the date of the payment of such defaulted interest) established by notice given by mail by or on behalf of the Issuer to the Holders of the Notes not less than 10 calendar days preceding such subsequent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this Note on any Interest Payment Date or, if applicable, on the date of redemption shall be the amount of interest accrued from and including the immediately preceding Interest Payment Date (or from and including September 16, 2026, in the case of the initial period) to but excluding the applicable Interest Payment Date or date of redemption, as the case may be. If any date for the payment of principal of, or premium, if any, interest on, or any other amount with respect to, this Note (each, a “Payment Date”) falls on a day that is not a Business Day, the principal, premium, if any, or interest payable with respect to such Payment Date shall be made on the next succeeding Business Day with the same force and effect as if made on such Payment Date, and no interest shall accrue on the amount so payable for the period from and after such Payment Date to such next succeeding Business Day. “Business Day” means any day, other than a Saturday or a Sunday, that is neither a legal holiday nor a day on which banking institutions in The City of New York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this Note payable on the Maturity Date or the principal, premium, if any, and interest, if any, payable on any earlier date of redemption shall be paid against presentation and surrender of this Note at a corporate trust office of the Trustee, located initially at The Bank of New York Mellon Trust Company, N.A., c/o BNY Mellon Corporate Trust, 500 Ross Street, Suite 625, Pittsburgh, Pennsylvania 15262. The Issuer hereby initially designates the corporate trust office of the Trustee, located initially at The Bank of New York Mellon Trust Company, N.A., c/o BNY Mellon Corporate Trust, 500 Ross Street, Suite 625, Pittsburgh, Pennsylvania 15262 as the office to be maintained by it where Notes may be presented for payment, registration of transfer or exchange, and where notices to or demands upon the Issuer in respect of the Notes or the Indenture referred to on the reverse hereof may be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principal, premium, if any, and interest in respect of this Note shall be made by wire transfer of immediately available funds in such coin or currency of the United States of America as at the time of payment is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after the Trustee’s Certificate of Authentication.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entitled to the benefits of the Indenture or be valid or obligatory for any purpose until the Certificate of Authentication hereon shall have been signed by the Trustee under such Indenture by manual or pdf or other electronically imaged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Issuer has caused this instrument to be signed manually or by facsimile by its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75"/>
        <w:gridCol w:w="3185"/>
      </w:tblGrid>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SIMON PROPERTY GROUP, INC.</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75"/>
        <w:gridCol w:w="1120"/>
        <w:gridCol w:w="5425"/>
      </w:tblGrid>
      <w:tr>
        <w:trPr/>
        <w:tc>
          <w:tcPr>
            <w:tcW w:w="75" w:type="dxa"/>
            <w:tcBorders/>
            <w:vAlign w:val="center"/>
          </w:tcPr>
          <w:p>
            <w:pPr>
              <w:pStyle w:val="TableContents"/>
              <w:bidi w:val="0"/>
              <w:spacing w:before="0" w:after="283"/>
              <w:jc w:val="left"/>
              <w:rPr/>
            </w:pPr>
            <w:r>
              <w:rPr/>
              <w:t> </w:t>
            </w:r>
          </w:p>
        </w:tc>
        <w:tc>
          <w:tcPr>
            <w:tcW w:w="6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6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caps w:val="false"/>
                <w:smallCaps w:val="false"/>
              </w:rPr>
            </w:pPr>
            <w:r>
              <w:rPr>
                <w:caps w:val="false"/>
                <w:smallCaps w:val="false"/>
              </w:rPr>
              <w:t> </w:t>
            </w:r>
          </w:p>
        </w:tc>
        <w:tc>
          <w:tcPr>
            <w:tcW w:w="5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[5.250/5.650]% Note due [2032/2036]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debt securities of the Issuer (hereinafter called the “Securities”), issued or to be issued under and pursuant to an Indenture dated as of November 26, 1996 (herein called the “Indenture”), duly executed and delivered by the Issuer to The Bank of New York Mellon Trust Company, N.A. (as successor to The Chase Manhattan Bank), as Trustee (herein called the “Trustee,” which term includes any successor trustee under the Indenture with respect to the series of Securities of which this Note is a part), to which Indenture and all indentures supplemental thereto relating to this Note (including, without limitation, the Forty-Ninth Supplemental Indenture, dated as of September 16, 2026, between the Issuer and the Trustee) reference is hereby made for a description of the rights, limitations of rights, obligations, duties and immunities thereunder of the Trustee, the Issuer and the Holders of the Securities, and of the terms upon which the Securities are, and are to be, authenticated and delivered and for the definition of capitalized terms used hereby and not otherwise defined.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 or any indenture supplemental thereto. This Security is one of a series of debt securities under the Indenture designated as the Simon Property Group, L.P. [5.250/5.650]% Notes due [2032/2036], initially limited in aggregate principal amount to $[400,000,000/400,000,000]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with respect to the Notes shall have occurred and be continuing, the principal amount of the Notes and the Make-Whole Amount may be declared, and in certain cases shall automatically be, accelerated and thereupon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redeemed at any time at the option of the Issuer, in whole or from time to time in part, at a redemption price equal to the sum of (i) 100% of the principal amount of the Notes being redeemed plus accrued interest thereon to but excluding the Redemption Date and (ii) the Make-Whole Amount, if any, with respect to such Notes. If the Notes are redeemed on or after [January 15, 2032/July 1, 2036], the redemption price shall not include the Make-Whole Amount. Notice of any optional redemption shall be given to Holders at their addresses, as shown in the Security Register for the Notes, not more than 60 nor less than 10 days prior to the date fixed for redemption. The notice of redemption shall specify, among other items, the redemption price and the principal amount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Issuer and the Trustee, with the consent of the Holders of not less than a majority of the aggregate principal amount of the Securities at the time Outstanding of all series to be affected (voting as one class), evidenced as provided in the Indenture,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without the consent of the Holder of each Outstanding Security so affected, (i) change the Stated Maturity of the principal of, or premium, (if any) or any installment of principal of or interest on, any Security, or reduce the principal amount thereof or the rate or amount of interest thereon or any premium payable upon the redemption or acceleration thereof, or adversely affect any right of repayment at the option of the Holder of any Security, or change any Place of Payment where, or the currency or currencies, currency unit or units or composite currency or currencies in which, the principal of any Security or any premium or interest thereon is payable, or impair the right to institute suit for the enforcement of any such payment on or after the Stated Maturity thereof, or (ii) reduce the aforesaid percentage of Securities the Holders of which are required to consent to any such supplemental indenture, or (iii) reduce the percentage of Securities the Holders of which are required to consent to any waiver of compliance with certain provisions of the Indenture or any waiver of certain defaults and consequences thereunder or to reduce the quorum or voting requirements set forth in the Indenture, or (iv) effect certain other changes to the Indenture or any supplemental indenture or in the rights of Holders of the Securities. The Indenture also permits the Holders of a majority in principal amount of the Outstanding Securities of any series (or, in the case of certain defaults or Events of Default, all series of Securities), on behalf of the Holders of all the Securities of such series (or all of the Securities, as the case may be), to waive compliance by the Issuer with certain provisions of the Indenture and certain past defaults or Events of Default under the Indenture and their consequences, prior to any declaration accelerating the maturity of such Securities, or subject to certain conditions, rescind a declaration of acceleration and its consequences with respect to such Securities. Any such consent or waiver by the Holder of this Note (unless revoked as provided in the Indenture) shall be conclusive and binding upon such Holder and upon all future Holders of this Note and of any Note that may be issued in exchange or substitution hereof, irrespective of whether or not any notation thereof is made upon this Note or such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Issuer, which is absolute and unconditional, to pay the principal of, and premium, if any, and interest on, this Note in the manner,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Indenture to the contrary, no recourse shall be had, whether by levy or execution or otherwise, for the payment of any sums due under the Securities, including, without limitation, the principal, premium, if any, or interest payable under the Securities, or for the payment or performance of any obligation under, or for any claim based on, the Indenture or otherwise in respect thereof, against any partner of the Issuer, whether limited or general, including Simon Property Group, Inc. or such partner’s assets or against any principal, shareholder, officer, director, trustee or employee of such partner. It is expressly understood that the sole remedies under the Securities and the Indenture, or under any other document with respect to the Securities, against such parties with respect to such amounts, obligations or claims shall be against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issuable only in registered form without coupons in denominations of $2,000 and integral multiples of $1,000 in excess thereof. This Note may be exchanged for a like aggregate principal amount of Notes of the same series of other authorized denominations at a corporate trust office of the Trustee, located initially at The Bank of New York Mellon Trust Company, N.A., c/o BNY Mellon Corporate Trust, 500 Ross Street, Suite 625, Pittsburgh, Pennsylvania 15262, in the manner and subject to the limitations provided in the Indenture, but without the payment of any service charge, except for any tax or other governmental charge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presentment for registration of transfer of this Note at a corporate trust office of the Trustee, located initially at The Bank of New York Mellon Trust Company, N.A., c/o BNY Mellon Corporate Trust, 500 Ross Street, Suite 625, Pittsburgh, Pennsylvania 15262, one or more new Notes of the same series of authorized denominations in an equal aggregate principal amount shall be issued to the transferee in exchange therefor, subject to the limitations provided in the Indenture, without charge, except for any tax or other governmental charge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the Trustee and any authorized agent of the Issuer or the Trustee may deem and treat the Person in whose name this Note is registered as the absolute owner and Holder of this Note (whether or not this Note shall be overdue and notwithstanding any notation of ownership or other writing hereon), for the purpose of receiving payment of, or on account of, the principal hereof and any premium hereon and, subject to the provisions on the face hereof, interest hereon, and for all other purposes, and neither the Issuer nor the Trustee nor any authorized agent of the Issuer or the Trustee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including the validity hereof, and the Indenture shall be governed by and construed in accordance with the laws of the State of New York, and for all purposes shall be construed in accordance with the laws of such state, except as may otherwise be required by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which are not otherwise defined shall have the respective meanings assigned to them in the Indenture and the Forty-Ninth Supplemental Indenture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on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Custodian</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(Cust)____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 under Uniform Gifts to Minors Act</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(State)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as joint tenants with right of survivorship and not as tenants in common</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OF ASSIGNEE</w:t>
      </w:r>
    </w:p>
    <w:tbl>
      <w:tblPr>
        <w:tblW w:w="173" w:type="dxa"/>
        <w:jc w:val="left"/>
        <w:tblInd w:w="0" w:type="dxa"/>
        <w:tblLayout w:type="fixed"/>
        <w:tblCellMar>
          <w:top w:w="0" w:type="dxa"/>
          <w:left w:w="0" w:type="dxa"/>
          <w:bottom w:w="28" w:type="dxa"/>
          <w:right w:w="0" w:type="dxa"/>
        </w:tblCellMar>
      </w:tblPr>
      <w:tblGrid>
        <w:gridCol w:w="38"/>
        <w:gridCol w:w="60"/>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typewrite name and address, including postal zip code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all rights thereunder and does hereby irrevocably constitute and appoint___________________Attorney to transfer this Note on the books of the Trustee,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
        <w:gridCol w:w="60"/>
        <w:gridCol w:w="60"/>
        <w:gridCol w:w="9536"/>
      </w:tblGrid>
      <w:tr>
        <w:trPr/>
        <w:tc>
          <w:tcPr>
            <w:tcW w:w="5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6" w:type="dxa"/>
            <w:tcBorders/>
            <w:vAlign w:val="center"/>
          </w:tcPr>
          <w:p>
            <w:pPr>
              <w:pStyle w:val="TableContents"/>
              <w:bidi w:val="0"/>
              <w:spacing w:before="0" w:after="283"/>
              <w:jc w:val="left"/>
              <w:rPr/>
            </w:pPr>
            <w:r>
              <w:rPr/>
              <w:t> </w:t>
            </w:r>
          </w:p>
        </w:tc>
      </w:tr>
      <w:tr>
        <w:trPr/>
        <w:tc>
          <w:tcPr>
            <w:tcW w:w="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The signature(s) on this Assignment must correspond with the name(s) as written upon the face of this Note in every particular, without alteration or enlargement or any change whatsoever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CERTIFICATED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CERTIFICATED NOTE]</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650"/>
        <w:gridCol w:w="1910"/>
      </w:tblGrid>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w:t>
            </w:r>
          </w:p>
        </w:tc>
        <w:tc>
          <w:tcPr>
            <w:tcW w:w="19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REGISTERED</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 ]</w:t>
            </w:r>
          </w:p>
        </w:tc>
        <w:tc>
          <w:tcPr>
            <w:tcW w:w="19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PRINCIPAL AMOUNT</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[828807 EC7/828807 ED5]</w:t>
            </w:r>
          </w:p>
        </w:tc>
        <w:tc>
          <w:tcPr>
            <w:tcW w:w="1910" w:type="dxa"/>
            <w:tcBorders/>
            <w:vAlign w:val="center"/>
          </w:tcPr>
          <w:p>
            <w:pPr>
              <w:pStyle w:val="TableContents"/>
              <w:bidi w:val="0"/>
              <w:spacing w:before="0" w:after="283"/>
              <w:jc w:val="right"/>
              <w:rPr/>
            </w:pPr>
            <w:r>
              <w:rPr/>
              <w:t>             </w:t>
            </w:r>
            <w:r>
              <w:rPr>
                <w:rFonts w:ascii="Times New Roman;Times;Serif" w:hAnsi="Times New Roman;Times;Serif"/>
                <w:sz w:val="20"/>
              </w:rPr>
              <w:t>$[ ]</w:t>
            </w:r>
          </w:p>
        </w:tc>
      </w:tr>
      <w:tr>
        <w:trPr/>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ISIN NO. [US828807EC76/US828807ED59]</w:t>
            </w:r>
          </w:p>
        </w:tc>
        <w:tc>
          <w:tcPr>
            <w:tcW w:w="191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[5.250/5.650]% Note due [2032/2036]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L.P., an Indiana limited partnership (the “Issuer,” which term includes any successor under the Indenture (as defined below)), for value received, hereby promises to pay to Cede &amp; Co. or its registered assigns, the principal amount of [PRINCIPAL AMOUNT IN WORDS] dollars on [February 15, 2032/October 1, 2036] (the “Maturity Date”), unless earlier redeemed as described on the reverse hereof, and to pay interest on the outstanding principal amount hereof from and including September 16, 2026, semi-annually in arrears on [February 15 and August 15/April 1 and October 1] of each year (each, an “Interest Payment Date”), commencing on [February 15/April 1], 2027, or from the most recent Interest Payment Date to which interest has been paid or duly provided for, at the rate of [5.250/5.650]% per annum, until payment of said principal amount has been made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shall be paid to the Holder in whose name this Note (or one or more predecessor Notes) is registered in the Security Register applicable to this Note at the close of business on the “Record Date” for such payment, which shall be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immediately prior to such Interest Payment Date, regardless of whether such day is a Business Day (as defined below). Any interest not so punctually paid or duly provided for shall forthwith cease to be payable to the Holder on such Record Date, and may be paid to the Holder in whose name this Note (or one or more predecessor Notes) is registered at the close of business on a subsequent record date for the payment of such defaulted interest (which shall not be more than 15 calendar days and less than 10 calendar days prior to the date of the payment of such defaulted interest) established by notice given by mail by or on behalf of the Issuer to the Holders of the Notes not less than 10 calendar days preceding such subsequent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this Note on any Interest Payment Date or, if applicable, on the date of redemption shall be the amount of interest accrued from and including the immediately preceding Interest Payment Date (or from and including September 16, 2026, in the case of the initial period) to but excluding the applicable Interest Payment Date or date of redemption, as the case may be. If any date for the payment of principal of, or premium, if any, interest on, or any other amount with respect to, this Note (each, a “Payment Date”) falls on a day that is not a Business Day, the principal, premium, if any, or interest payable with respect to such Payment Date shall be made on the next succeeding Business Day with the same force and effect as if made on such Payment Date, and no interest shall accrue on the amount so payable for the period from and after such Payment Date to such next succeeding Business Day. “Business Day” means any day, other than a Saturday or a Sunday, that is neither a legal holiday nor a day on which banking institutions in The City of New York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this Note payable on the Maturity Date or the principal, premium, if any, and interest, if any, payable on any earlier date of redemption shall be paid against presentation and surrender of this Note at a corporate trust office of the Trustee, located initially at The Bank of New York Mellon Trust Company, N.A., c/o BNY Mellon Corporate Trust, 500 Ross Street, Suite 625, Pittsburgh, Pennsylvania 15262. The Issuer hereby initially designates the corporate trust office of the Trustee, located initially at The Bank of New York Mellon Trust Company, N.A., c/o BNY Mellon Corporate Trust, 500 Ross Street, Suite 625, Pittsburgh, Pennsylvania 15262 as the office to be maintained by it where Notes may be presented for payment, registration of transfer or exchange, and where notices to or demands upon the Issuer in respect of the Notes or the Indenture referred to on the reverse hereof may be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principal, premium, if any, and interest in respect of this Note shall be made by wire transfer of immediately available funds in such coin or currency of the United States of America as at the time of payment is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after the Trustee’s Certificate of Authentication.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entitled to the benefits of the Indenture or be valid or obligatory for any purpose until the Certificate of Authentication hereon shall have been signed by the Trustee under such Indenture by manual or pdf or other electronically imaged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Issuer has caused this instrument to be signed manually or by facsimile by its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75"/>
        <w:gridCol w:w="3185"/>
      </w:tblGrid>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SIMON PROPERTY GROUP, INC.</w:t>
            </w:r>
          </w:p>
        </w:tc>
      </w:tr>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75"/>
        <w:gridCol w:w="1120"/>
        <w:gridCol w:w="5425"/>
      </w:tblGrid>
      <w:tr>
        <w:trPr/>
        <w:tc>
          <w:tcPr>
            <w:tcW w:w="75" w:type="dxa"/>
            <w:tcBorders/>
            <w:vAlign w:val="center"/>
          </w:tcPr>
          <w:p>
            <w:pPr>
              <w:pStyle w:val="TableContents"/>
              <w:bidi w:val="0"/>
              <w:spacing w:before="0" w:after="283"/>
              <w:jc w:val="left"/>
              <w:rPr/>
            </w:pPr>
            <w:r>
              <w:rPr/>
              <w:t> </w:t>
            </w:r>
          </w:p>
        </w:tc>
        <w:tc>
          <w:tcPr>
            <w:tcW w:w="6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6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caps w:val="false"/>
                <w:smallCaps w:val="false"/>
              </w:rPr>
            </w:pPr>
            <w:r>
              <w:rPr>
                <w:caps w:val="false"/>
                <w:smallCaps w:val="false"/>
              </w:rPr>
              <w:t> </w:t>
            </w:r>
          </w:p>
        </w:tc>
        <w:tc>
          <w:tcPr>
            <w:tcW w:w="5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PROPERTY GROUP,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[5.250/5.650]% Note due [2032/2036]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debt securities of the Issuer (hereinafter called the “Securities”), issued or to be issued under and pursuant to an Indenture dated as of November 26, 1996 (herein called the “Indenture”), duly executed and delivered by the Issuer to The Bank of New York Mellon Trust Company, N.A. (as successor to The Chase Manhattan Bank), as Trustee (herein called the “Trustee,” which term includes any successor trustee under the Indenture with respect to the series of Securities of which this Note is a part), to which Indenture and all indentures supplemental thereto relating to this Note (including, without limitation, the Forty-Ninth Supplemental Indenture, dated as of September 16, 2026, between the Issuer and the Trustee) reference is hereby made for a description of the rights, limitations of rights, obligations, duties and immunities thereunder of the Trustee, the Issuer and the Holders of the Securities, and of the terms upon which the Securities are, and are to be, authenticated and delivered and for the definition of capitalized terms used hereby and not otherwise defined.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 or any indenture supplemental thereto. This Security is one of a series of debt securities under the Indenture designated as the Simon Property Group, L.P. [5.250/5.650]% Notes due [2032/2036], initially limited in aggregate principal amount to $[400,000,000/400,000,000]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with respect to the Notes shall have occurred and be continuing, the principal amount of the Notes and the Make-Whole Amount may be declared, and in certain cases shall automatically be, accelerated and thereupon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redeemed at any time at the option of the Issuer, in whole or from time to time in part, at a redemption price equal to the sum of (i) 100% of the principal amount of the Notes being redeemed plus accrued interest thereon to but excluding the Redemption Date and (ii) the Make-Whole Amount, if any, with respect to such Notes. If the Notes are redeemed on or after [January 15, 2032/July 1, 2036], the redemption price shall not include the Make-Whole Amount. Notice of any optional redemption shall be given to Holders at their addresses, as shown in the Security Register for the Notes, not more than 60 nor less than 10 days prior to the date fixed for redemption. The notice of redemption shall specify, among other items, the redemption price and the principal amount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Issuer and the Trustee, with the consent of the Holders of not less than a majority of the aggregate principal amount of the Securities at the time Outstanding of all series to be affected (voting as one class), evidenced as provided in the Indenture,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without the consent of the Holder of each Outstanding Security so affected, (i) change the Stated Maturity of the principal of, or premium, (if any) or any installment of principal of or interest on, any Security, or reduce the principal amount thereof or the rate or amount of interest thereon or any premium payable upon the redemption or acceleration thereof, or adversely affect any right of repayment at the option of the Holder of any Security, or change any Place of Payment where, or the currency or currencies, currency unit or units or composite currency or currencies in which, the principal of any Security or any premium or interest thereon is payable, or impair the right to institute suit for the enforcement of any such payment on or after the Stated Maturity thereof, or (ii) reduce the aforesaid percentage of Securities the Holders of which are required to consent to any such supplemental indenture, or (iii) reduce the percentage of Securities the Holders of which are required to consent to any waiver of compliance with certain provisions of the Indenture or any waiver of certain defaults and consequences thereunder or to reduce the quorum or voting requirements set forth in the Indenture, or (iv) effect certain other changes to the Indenture or any supplemental indenture or in the rights of Holders of the Securities. The Indenture also permits the Holders of a majority in principal amount of the Outstanding Securities of any series (or, in the case of certain defaults or Events of Default, all series of Securities), on behalf of the Holders of all the Securities of such series (or all of the Securities, as the case may be), to waive compliance by the Issuer with certain provisions of the Indenture and certain past defaults or Events of Default under the Indenture and their consequences, prior to any declaration accelerating the maturity of such Securities, or subject to certain conditions, rescind a declaration of acceleration and its consequences with respect to such Securities. Any such consent or waiver by the Holder of this Note (unless revoked as provided in the Indenture) shall be conclusive and binding upon such Holder and upon all future Holders of this Note and of any Note that may be issued in exchange or substitution hereof, irrespective of whether or not any notation thereof is made upon this Note or such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Issuer, which is absolute and unconditional, to pay the principal of, and premium, if any, and interest on, this Note in the manner,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Indenture to the contrary, no recourse shall be had, whether by levy or execution or otherwise, for the payment of any sums due under the Securities, including, without limitation, the principal, premium, if any, or interest payable under the Securities, or for the payment or performance of any obligation under, or for any claim based on, the Indenture or otherwise in respect thereof, against any partner of the Issuer, whether limited or general, including Simon Property Group, Inc. or such partner’s assets or against any principal, shareholder, officer, director, trustee or employee of such partner. It is expressly understood that the sole remedies under the Securities and the Indenture, or under any other document with respect to the Securities, against such parties with respect to such amounts, obligations or claims shall be against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issuable only in registered form without coupons in denominations of $2,000 and integral multiples of $1,000 in excess thereof. This Note may be exchanged for a like aggregate principal amount of Notes of the same series of other authorized denominations at a corporate trust office of the Trustee, located initially at The Bank of New York Mellon Trust Company, N.A., c/o BNY Mellon Corporate Trust, 500 Ross Street, Suite 625, Pittsburgh, Pennsylvania 15262, in the manner and subject to the limitations provided in the Indenture, but without the payment of any service charge, except for any tax or other governmental charge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presentment for registration of transfer of this Note at a corporate trust office of the Trustee, located initially at The Bank of New York Mellon Trust Company, N.A., c/o BNY Mellon Corporate Trust, 500 Ross Street, Suite 625, Pittsburgh, Pennsylvania 15262, one or more new Notes of the same series of authorized denominations in an equal aggregate principal amount shall be issued to the transferee in exchange therefor, subject to the limitations provided in the Indenture, without charge, except for any tax or other governmental charge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the Trustee and any authorized agent of the Issuer or the Trustee may deem and treat the Person in whose name this Note is registered as the absolute owner and Holder of this Note (whether or not this Note shall be overdue and notwithstanding any notation of ownership or other writing hereon), for the purpose of receiving payment of, or on account of, the principal hereof and any premium hereon and, subject to the provisions on the face hereof, interest hereon, and for all other purposes, and neither the Issuer nor the Trustee nor any authorized agent of the Issuer or the Trustee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including the validity hereof, and the Indenture shall be governed by and construed in accordance with the laws of the State of New York, and for all purposes shall be construed in accordance with the laws of such state, except as may otherwise be required by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which are not otherwise defined shall have the respective meanings assigned to them in the Indenture and the Forty-Ninth Supplemental Indenture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on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Custodian</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(Cust)____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 under Uniform Gifts to Minors Act</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(State)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as joint tenants with right of survivorship and not as tenants in common</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OF ASSIGNEE</w:t>
      </w:r>
    </w:p>
    <w:tbl>
      <w:tblPr>
        <w:tblW w:w="173" w:type="dxa"/>
        <w:jc w:val="left"/>
        <w:tblInd w:w="0" w:type="dxa"/>
        <w:tblLayout w:type="fixed"/>
        <w:tblCellMar>
          <w:top w:w="0" w:type="dxa"/>
          <w:left w:w="0" w:type="dxa"/>
          <w:bottom w:w="28" w:type="dxa"/>
          <w:right w:w="0" w:type="dxa"/>
        </w:tblCellMar>
      </w:tblPr>
      <w:tblGrid>
        <w:gridCol w:w="38"/>
        <w:gridCol w:w="60"/>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typewrite name and address, including postal zip code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all rights thereunder and does hereby irrevocably constitute and appoint___________________Attorney to transfer this Note on the books of the Trustee,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
        <w:gridCol w:w="60"/>
        <w:gridCol w:w="60"/>
        <w:gridCol w:w="9536"/>
      </w:tblGrid>
      <w:tr>
        <w:trPr/>
        <w:tc>
          <w:tcPr>
            <w:tcW w:w="5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6" w:type="dxa"/>
            <w:tcBorders/>
            <w:vAlign w:val="center"/>
          </w:tcPr>
          <w:p>
            <w:pPr>
              <w:pStyle w:val="TableContents"/>
              <w:bidi w:val="0"/>
              <w:spacing w:before="0" w:after="283"/>
              <w:jc w:val="left"/>
              <w:rPr/>
            </w:pPr>
            <w:r>
              <w:rPr/>
              <w:t> </w:t>
            </w:r>
          </w:p>
        </w:tc>
      </w:tr>
      <w:tr>
        <w:trPr/>
        <w:tc>
          <w:tcPr>
            <w:tcW w:w="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The signature(s) on this Assignment must correspond with the name(s) as written upon the face of this Note in every particular, without alteration or enlargement or any change whatsoever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B-8</w:t>
      </w:r>
    </w:p>
    <w:p>
      <w:pPr>
        <w:pStyle w:val="TextBody"/>
        <w:bidi w:val="0"/>
        <w:spacing w:before="0" w:after="283"/>
        <w:jc w:val="left"/>
        <w:rPr/>
      </w:pPr>
      <w:r>
        <w:rPr/>
        <w:t> </w:t>
      </w:r>
    </w:p>
    <w:p>
      <w:pPr>
        <w:pStyle w:val="TextBody"/>
        <w:bidi w:val="0"/>
        <w:jc w:val="left"/>
        <w:rPr/>
      </w:pPr>
      <w:bookmarkStart w:id="23" w:name="tm2625467d1_ex5-1.htm"/>
      <w:bookmarkStart w:id="24" w:name="kstm2625467d1_ex51"/>
      <w:bookmarkEnd w:id="23"/>
      <w:bookmarkEnd w:id="2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355 South Grand Avenue, Suite 100</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 California 90071-1560</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+1.213.485.1234 Fax: +1.213.891.8763</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www.lw.com</w:t>
            </w:r>
          </w:p>
        </w:tc>
      </w:tr>
    </w:tbl>
    <w:tbl>
      <w:tblPr>
        <w:tblW w:w="6250" w:type="dxa"/>
        <w:jc w:val="left"/>
        <w:tblInd w:w="0" w:type="dxa"/>
        <w:tblLayout w:type="fixed"/>
        <w:tblCellMar>
          <w:top w:w="0" w:type="dxa"/>
          <w:left w:w="0" w:type="dxa"/>
          <w:bottom w:w="0" w:type="dxa"/>
          <w:right w:w="0" w:type="dxa"/>
        </w:tblCellMar>
      </w:tblPr>
      <w:tblGrid>
        <w:gridCol w:w="3750"/>
        <w:gridCol w:w="1025"/>
        <w:gridCol w:w="1475"/>
      </w:tblGrid>
      <w:tr>
        <w:trPr/>
        <w:tc>
          <w:tcPr>
            <w:tcW w:w="3750" w:type="dxa"/>
            <w:tcBorders/>
            <w:vAlign w:val="center"/>
          </w:tcPr>
          <w:p>
            <w:pPr>
              <w:pStyle w:val="TableContents"/>
              <w:bidi w:val="0"/>
              <w:spacing w:before="0" w:after="283"/>
              <w:jc w:val="left"/>
              <w:rPr/>
            </w:pPr>
            <w:r>
              <w:rPr/>
              <w:t> </w:t>
            </w:r>
            <w:r>
              <w:rPr/>
              <w:drawing>
                <wp:inline distT="0" distB="0" distL="0" distR="0">
                  <wp:extent cx="23336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3625" cy="238125"/>
                          </a:xfrm>
                          <a:prstGeom prst="rect">
                            <a:avLst/>
                          </a:prstGeom>
                        </pic:spPr>
                      </pic:pic>
                    </a:graphicData>
                  </a:graphic>
                </wp:inline>
              </w:drawing>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FIRM / AFFILIATE OFFICES</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Milan</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Munich</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Brussels</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Orange County</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Paris</w:t>
            </w:r>
          </w:p>
        </w:tc>
      </w:tr>
      <w:tr>
        <w:trPr/>
        <w:tc>
          <w:tcPr>
            <w:tcW w:w="3750" w:type="dxa"/>
            <w:tcBorders/>
            <w:vAlign w:val="center"/>
          </w:tcPr>
          <w:p>
            <w:pPr>
              <w:pStyle w:val="TableContents"/>
              <w:bidi w:val="0"/>
              <w:spacing w:before="0" w:after="283"/>
              <w:jc w:val="left"/>
              <w:rPr/>
            </w:pPr>
            <w:r>
              <w:rPr/>
              <w:t>September 16, 2026</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Riyadh</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Düsseldorf</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Diego</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Frankfurt</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Francisco</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Hamburg</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Seoul</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Silicon Valley</w:t>
            </w:r>
          </w:p>
        </w:tc>
      </w:tr>
      <w:tr>
        <w:trPr/>
        <w:tc>
          <w:tcPr>
            <w:tcW w:w="375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Houston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3750" w:type="dxa"/>
            <w:tcBorders/>
            <w:vAlign w:val="center"/>
          </w:tcPr>
          <w:p>
            <w:pPr>
              <w:pStyle w:val="TableContents"/>
              <w:bidi w:val="0"/>
              <w:spacing w:before="0" w:after="283"/>
              <w:jc w:val="left"/>
              <w:rPr/>
            </w:pPr>
            <w:r>
              <w:rPr/>
              <w:t>Simon Property Group, L.P.</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London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w:t>
            </w:r>
          </w:p>
        </w:tc>
      </w:tr>
      <w:tr>
        <w:trPr/>
        <w:tc>
          <w:tcPr>
            <w:tcW w:w="3750" w:type="dxa"/>
            <w:tcBorders/>
            <w:vAlign w:val="center"/>
          </w:tcPr>
          <w:p>
            <w:pPr>
              <w:pStyle w:val="TableContents"/>
              <w:bidi w:val="0"/>
              <w:spacing w:before="0" w:after="283"/>
              <w:jc w:val="left"/>
              <w:rPr/>
            </w:pPr>
            <w:r>
              <w:rPr/>
              <w:t>225 West Washington Street</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Tokyo</w:t>
            </w:r>
          </w:p>
        </w:tc>
      </w:tr>
      <w:tr>
        <w:trPr/>
        <w:tc>
          <w:tcPr>
            <w:tcW w:w="3750" w:type="dxa"/>
            <w:tcBorders/>
            <w:vAlign w:val="center"/>
          </w:tcPr>
          <w:p>
            <w:pPr>
              <w:pStyle w:val="TableContents"/>
              <w:bidi w:val="0"/>
              <w:spacing w:before="0" w:after="283"/>
              <w:jc w:val="left"/>
              <w:rPr/>
            </w:pPr>
            <w:r>
              <w:rPr/>
              <w:t>Indianapolis, Indiana 46204</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Madrid</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864"/>
        <w:gridCol w:w="9157"/>
      </w:tblGrid>
      <w:tr>
        <w:trPr/>
        <w:tc>
          <w:tcPr>
            <w:tcW w:w="1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pPr>
            <w:r>
              <w:rPr/>
              <w:t>Re:</w:t>
            </w:r>
          </w:p>
        </w:tc>
        <w:tc>
          <w:tcPr>
            <w:tcW w:w="9157" w:type="dxa"/>
            <w:tcBorders/>
            <w:vAlign w:val="center"/>
          </w:tcPr>
          <w:p>
            <w:pPr>
              <w:pStyle w:val="TableContents"/>
              <w:bidi w:val="0"/>
              <w:spacing w:before="0" w:after="283"/>
              <w:jc w:val="left"/>
              <w:rPr>
                <w:u w:val="single"/>
              </w:rPr>
            </w:pPr>
            <w:r>
              <w:rPr>
                <w:u w:val="single"/>
              </w:rPr>
              <w:t>$400,000,000 5.250% Notes due 2032</w:t>
            </w:r>
          </w:p>
        </w:tc>
      </w:tr>
      <w:tr>
        <w:trPr/>
        <w:tc>
          <w:tcPr>
            <w:tcW w:w="184"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u w:val="single"/>
              </w:rPr>
            </w:pPr>
            <w:r>
              <w:rPr>
                <w:u w:val="single"/>
              </w:rPr>
              <w:t>$400,000,000 5.650% Notes due 2036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Simon Property Group, L.P., an Indiana limited partnership (the “</w:t>
      </w:r>
      <w:r>
        <w:rPr>
          <w:rFonts w:ascii="Times New Roman;Times;Serif" w:hAnsi="Times New Roman;Times;Serif"/>
          <w:b/>
          <w:i/>
          <w:caps w:val="false"/>
          <w:smallCaps w:val="false"/>
          <w:sz w:val="20"/>
        </w:rPr>
        <w:t>Operating Partnership</w:t>
      </w:r>
      <w:r>
        <w:rPr>
          <w:rFonts w:ascii="Times New Roman;Times;Serif" w:hAnsi="Times New Roman;Times;Serif"/>
          <w:b w:val="false"/>
          <w:i w:val="false"/>
          <w:caps w:val="false"/>
          <w:smallCaps w:val="false"/>
          <w:sz w:val="20"/>
        </w:rPr>
        <w:t>”), in connection with the issuance of $400,000,000 aggregate principal amount of the Operating Partnership’s 5.250% Notes due 2032 (the “</w:t>
      </w:r>
      <w:r>
        <w:rPr>
          <w:rFonts w:ascii="Times New Roman;Times;Serif" w:hAnsi="Times New Roman;Times;Serif"/>
          <w:b/>
          <w:i/>
          <w:caps w:val="false"/>
          <w:smallCaps w:val="false"/>
          <w:sz w:val="20"/>
        </w:rPr>
        <w:t>2032 Notes</w:t>
      </w:r>
      <w:r>
        <w:rPr>
          <w:rFonts w:ascii="Times New Roman;Times;Serif" w:hAnsi="Times New Roman;Times;Serif"/>
          <w:b w:val="false"/>
          <w:i w:val="false"/>
          <w:caps w:val="false"/>
          <w:smallCaps w:val="false"/>
          <w:sz w:val="20"/>
        </w:rPr>
        <w:t>”) and $400,000,000 aggregate principal amount of the Operating Partnership’s 5.650% Notes due 2036 (the “</w:t>
      </w:r>
      <w:r>
        <w:rPr>
          <w:rFonts w:ascii="Times New Roman;Times;Serif" w:hAnsi="Times New Roman;Times;Serif"/>
          <w:b/>
          <w:i/>
          <w:caps w:val="false"/>
          <w:smallCaps w:val="false"/>
          <w:sz w:val="20"/>
        </w:rPr>
        <w:t>2036 Notes</w:t>
      </w:r>
      <w:r>
        <w:rPr>
          <w:rFonts w:ascii="Times New Roman;Times;Serif" w:hAnsi="Times New Roman;Times;Serif"/>
          <w:b w:val="false"/>
          <w:i w:val="false"/>
          <w:caps w:val="false"/>
          <w:smallCaps w:val="false"/>
          <w:sz w:val="20"/>
        </w:rPr>
        <w:t>” and, together with the 2032 Notes,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under a base indenture, dated as of November 26, 1996, among Simon DeBartolo Group, L.P., Simon Property Group, L.P., a Delaware limited partnership that, effective December 31, 1997, was merged into Simon DeBartolo Group, L.P. (the merged entity being the Operating Partnership), and The Bank of New York Mellon Trust Company, N.A. (successor to The Chase Manhattan Bank),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as amended and supplemented by the Forty-Ninth Supplemental Indenture, dated as of September 16, 2026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in connection with the issuance of the Notes, and pursuant to a registration statement on Form S-3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initially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February 23, 2024 (Registration No. 333-277297-01) (as so filed and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 prospectus dated January 6, 2026, included in the Registration Statement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 final prospectus supplement dated September 9, 2026, filed with the Commission pursuant to Rule 424(b) under the Act on September 10, 2026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an underwriting agreement, dated as of September 9, 2026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among the Operating Partnership and the underwriters named therein. The Operating Partnership converted from a Delaware limited partnership to an Indiana limited partnership effective May 15, 2025.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09725"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09725" cy="171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16, 2026</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Operating Partnership and others as to factual matters without having independently verified such factual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the Notes will be legally valid and binding obligations of the Operating Partnership, enforceable against the Operating Partnership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are subject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effects of bankruptcy, insolvency, reorganization, preference, fraudulent transfer, moratorium or other similar laws relating to or affecting the rights or remedies of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invalidity under certain circumstances under law or court decisions of provisions providing for the indemnification or exculpation of, or contribution to, a party with respect to a liability where such indemnification, exculpation or contribution is contrary to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with respect to (i) any provision for liquidated damages, default interest, late charges, monetary penalties, make-whole premiums or other economic remedies to the extent such provisions are deemed to constitute a penalty, (ii) consents to, or restrictions upon, governing law, jurisdiction, venue, arbitration, remedies or judicial relief, (iii) waivers of rights or defenses contained in Section 514 of the Base Indenture, (iv) any provision requiring the payment of attorneys’ fees, where such payment is contrary to law or public policy, (v) any provision permitting, upon acceleration of the Notes, collection of that portion of the stated principal amount thereof which might be determined to constitute unearned interest thereon, (vi) advance waivers of claims, defenses, rights granted by law, or notice, opportunity for hearing, evidentiary requirements, statutes of limitation, trial by jury or at law, or other procedural rights, (vii) waivers of broadly or vaguely stated rights, (viii) provisions for exclusivity, election or cumulation of rights or remedies, (ix) provisions authorizing or validating conclusive or discretionary determinations, (x) grants of setoff rights, (xi) proxies, powers and trusts, (xii) provisions prohibiting, restricting or requiring consent to assignment or transfer of any right or property, and (xiii) the severability, if invalid, of provisions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09725"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09725" cy="171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16, 2026</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your consent, we have assumed (a) that the Indenture and the Notes (collectively,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 have been duly authorized, executed and delivered by the parties thereto, (b) except to the extent we have expressly opined as to such matters with respect to the Operating Partnership, that the Documents constitute legally valid and binding obligations of the parties thereto,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Operating Partnership’s Form 8-K, to be filed on or around September 16, 2026,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Latham &amp; Watkins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37855</Words>
  <Characters>201079</Characters>
  <CharactersWithSpaces>240487</CharactersWithSpaces>
  <Paragraphs>2242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