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2" w:lineRule="exact"/>
        <w:rPr>
          <w:sz w:val="24"/>
          <w:szCs w:val="24"/>
          <w:color w:val="auto"/>
        </w:rPr>
      </w:pPr>
    </w:p>
    <w:tbl>
      <w:tblPr>
        <w:tblLayout w:type="fixed"/>
        <w:tblInd w:w="880" w:type="dxa"/>
        <w:tblCellMar>
          <w:top w:w="0" w:type="dxa"/>
          <w:left w:w="0" w:type="dxa"/>
          <w:bottom w:w="0" w:type="dxa"/>
          <w:right w:w="0" w:type="dxa"/>
        </w:tblCellMar>
      </w:tblPr>
      <w:tr>
        <w:trPr>
          <w:trHeight w:val="673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This preliminary prospectus supplement is not an offer to sell these securities and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15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the offer or sale is not</w:t>
            </w:r>
          </w:p>
        </w:tc>
      </w:tr>
      <w:tr>
        <w:trPr>
          <w:trHeight w:val="4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where</w:t>
            </w:r>
          </w:p>
        </w:tc>
      </w:tr>
      <w:tr>
        <w:trPr>
          <w:trHeight w:val="401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supplement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 to buy these securities in any jurisdiction</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ind w:left="5100"/>
        <w:spacing w:after="0" w:line="236" w:lineRule="auto"/>
        <w:rPr>
          <w:sz w:val="20"/>
          <w:szCs w:val="20"/>
          <w:color w:val="auto"/>
        </w:rPr>
      </w:pPr>
      <w:r>
        <w:rPr>
          <w:rFonts w:ascii="Times New Roman" w:cs="Times New Roman" w:eastAsia="Times New Roman" w:hAnsi="Times New Roman"/>
          <w:sz w:val="17"/>
          <w:szCs w:val="17"/>
          <w:b w:val="1"/>
          <w:bCs w:val="1"/>
          <w:color w:val="auto"/>
        </w:rPr>
        <w:t> Registration Statement No: 333-277297-01​</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SUBJECT TO COMPLETION</w:t>
      </w:r>
    </w:p>
    <w:p>
      <w:pPr>
        <w:spacing w:after="0" w:line="6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PRELIMINARY PROSPECTUS SUPPLEMENT DATED JANUARY 6,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January 6, 2026)</w:t>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1717040</wp:posOffset>
            </wp:positionH>
            <wp:positionV relativeFrom="paragraph">
              <wp:posOffset>127000</wp:posOffset>
            </wp:positionV>
            <wp:extent cx="178308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SIMON PROPERTY GROUP, L.P.</w:t>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        % Notes due 2031</w:t>
      </w:r>
    </w:p>
    <w:p>
      <w:pPr>
        <w:spacing w:after="0" w:line="155" w:lineRule="exact"/>
        <w:rPr>
          <w:sz w:val="24"/>
          <w:szCs w:val="24"/>
          <w:color w:val="auto"/>
        </w:rPr>
      </w:pPr>
    </w:p>
    <w:p>
      <w:pPr>
        <w:ind w:right="259" w:firstLine="360"/>
        <w:spacing w:after="0" w:line="282" w:lineRule="auto"/>
        <w:rPr>
          <w:sz w:val="20"/>
          <w:szCs w:val="20"/>
          <w:color w:val="auto"/>
        </w:rPr>
      </w:pPr>
      <w:r>
        <w:rPr>
          <w:rFonts w:ascii="Times New Roman" w:cs="Times New Roman" w:eastAsia="Times New Roman" w:hAnsi="Times New Roman"/>
          <w:sz w:val="18"/>
          <w:szCs w:val="18"/>
          <w:color w:val="auto"/>
        </w:rPr>
        <w:t>We are offering $            aggregate principal amount of        % Notes due 2031 (the “notes”). We will pay interest on the notes on                     and                     of each year, commencing on                     , 2026.</w:t>
      </w:r>
    </w:p>
    <w:p>
      <w:pPr>
        <w:spacing w:after="0" w:line="81" w:lineRule="exact"/>
        <w:rPr>
          <w:sz w:val="24"/>
          <w:szCs w:val="24"/>
          <w:color w:val="auto"/>
        </w:rPr>
      </w:pPr>
    </w:p>
    <w:p>
      <w:pPr>
        <w:ind w:right="279" w:firstLine="360"/>
        <w:spacing w:after="0" w:line="257" w:lineRule="auto"/>
        <w:rPr>
          <w:sz w:val="20"/>
          <w:szCs w:val="20"/>
          <w:color w:val="auto"/>
        </w:rPr>
      </w:pPr>
      <w:r>
        <w:rPr>
          <w:rFonts w:ascii="Times New Roman" w:cs="Times New Roman" w:eastAsia="Times New Roman" w:hAnsi="Times New Roman"/>
          <w:sz w:val="18"/>
          <w:szCs w:val="18"/>
          <w:color w:val="auto"/>
        </w:rPr>
        <w:t>Unless earlier redeemed, the notes will mature on                     , 2031. We may redeem the notes prior to maturity, in whole or, from time to time, in part, at the redemption price described in this prospectus supplement under “</w:t>
      </w:r>
      <w:r>
        <w:rPr>
          <w:rFonts w:ascii="Times New Roman" w:cs="Times New Roman" w:eastAsia="Times New Roman" w:hAnsi="Times New Roman"/>
          <w:sz w:val="18"/>
          <w:szCs w:val="18"/>
          <w:i w:val="1"/>
          <w:iCs w:val="1"/>
          <w:color w:val="auto"/>
        </w:rPr>
        <w:t>Description of Notes — Optional Redemption</w:t>
      </w:r>
      <w:r>
        <w:rPr>
          <w:rFonts w:ascii="Times New Roman" w:cs="Times New Roman" w:eastAsia="Times New Roman" w:hAnsi="Times New Roman"/>
          <w:sz w:val="18"/>
          <w:szCs w:val="18"/>
          <w:color w:val="auto"/>
        </w:rPr>
        <w:t>.” If the notes are redeemed on 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after                      , 20      , the redemption price will not include the Make-Whole Amount (defined herein).</w:t>
      </w:r>
    </w:p>
    <w:p>
      <w:pPr>
        <w:spacing w:after="0" w:line="139" w:lineRule="exact"/>
        <w:rPr>
          <w:sz w:val="24"/>
          <w:szCs w:val="24"/>
          <w:color w:val="auto"/>
        </w:rPr>
      </w:pPr>
    </w:p>
    <w:p>
      <w:pPr>
        <w:ind w:right="339" w:firstLine="360"/>
        <w:spacing w:after="0" w:line="282" w:lineRule="auto"/>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with all of our other existing and future unsecured and unsubordinated indebtedness.</w:t>
      </w:r>
    </w:p>
    <w:p>
      <w:pPr>
        <w:spacing w:after="0" w:line="94" w:lineRule="exact"/>
        <w:rPr>
          <w:sz w:val="24"/>
          <w:szCs w:val="24"/>
          <w:color w:val="auto"/>
        </w:rPr>
      </w:pPr>
    </w:p>
    <w:p>
      <w:pPr>
        <w:ind w:right="279" w:firstLine="360"/>
        <w:spacing w:after="0" w:line="282" w:lineRule="auto"/>
        <w:rPr>
          <w:sz w:val="20"/>
          <w:szCs w:val="20"/>
          <w:color w:val="auto"/>
        </w:rPr>
      </w:pPr>
      <w:r>
        <w:rPr>
          <w:rFonts w:ascii="Times New Roman" w:cs="Times New Roman" w:eastAsia="Times New Roman" w:hAnsi="Times New Roman"/>
          <w:sz w:val="18"/>
          <w:szCs w:val="18"/>
          <w:color w:val="auto"/>
        </w:rPr>
        <w:t>You should read carefully this prospectus supplement and the accompanying prospectus and the other information incorporated herein and therein by reference before you decide to invest in any notes.</w:t>
      </w:r>
    </w:p>
    <w:p>
      <w:pPr>
        <w:spacing w:after="0" w:line="77" w:lineRule="exact"/>
        <w:rPr>
          <w:sz w:val="24"/>
          <w:szCs w:val="24"/>
          <w:color w:val="auto"/>
        </w:rPr>
      </w:pPr>
    </w:p>
    <w:p>
      <w:pPr>
        <w:ind w:right="219" w:firstLine="360"/>
        <w:spacing w:after="0" w:line="268" w:lineRule="auto"/>
        <w:rPr>
          <w:rFonts w:ascii="Times New Roman" w:cs="Times New Roman" w:eastAsia="Times New Roman" w:hAnsi="Times New Roman"/>
          <w:sz w:val="18"/>
          <w:szCs w:val="18"/>
          <w:b w:val="1"/>
          <w:bCs w:val="1"/>
          <w:color w:val="0000EE"/>
        </w:rPr>
      </w:pPr>
      <w:r>
        <w:rPr>
          <w:rFonts w:ascii="Times New Roman" w:cs="Times New Roman" w:eastAsia="Times New Roman" w:hAnsi="Times New Roman"/>
          <w:sz w:val="18"/>
          <w:szCs w:val="18"/>
          <w:b w:val="1"/>
          <w:bCs w:val="1"/>
          <w:color w:val="auto"/>
        </w:rPr>
        <w:t>Investing in the notes involves risks that are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section beginning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w:t>
      </w:r>
      <w:hyperlink r:id="rId9">
        <w:r>
          <w:rPr>
            <w:rFonts w:ascii="Times New Roman" w:cs="Times New Roman" w:eastAsia="Times New Roman" w:hAnsi="Times New Roman"/>
            <w:sz w:val="18"/>
            <w:szCs w:val="18"/>
            <w:b w:val="1"/>
            <w:bCs w:val="1"/>
            <w:color w:val="auto"/>
          </w:rPr>
          <w:t xml:space="preserve">of this prospectus supplement and page 11 of our Annual Report on </w:t>
        </w:r>
        <w:r>
          <w:rPr>
            <w:rFonts w:ascii="Times New Roman" w:cs="Times New Roman" w:eastAsia="Times New Roman" w:hAnsi="Times New Roman"/>
            <w:sz w:val="18"/>
            <w:szCs w:val="18"/>
            <w:b w:val="1"/>
            <w:bCs w:val="1"/>
            <w:u w:val="single" w:color="auto"/>
            <w:color w:val="0000EE"/>
          </w:rPr>
          <w:t>Form 10-K for the year ended</w:t>
        </w:r>
      </w:hyperlink>
      <w:r>
        <w:rPr>
          <w:rFonts w:ascii="Times New Roman" w:cs="Times New Roman" w:eastAsia="Times New Roman" w:hAnsi="Times New Roman"/>
          <w:sz w:val="18"/>
          <w:szCs w:val="18"/>
          <w:b w:val="1"/>
          <w:bCs w:val="1"/>
          <w:color w:val="auto"/>
        </w:rPr>
        <w:t xml:space="preserve"> </w:t>
      </w:r>
      <w:hyperlink r:id="rId9">
        <w:r>
          <w:rPr>
            <w:rFonts w:ascii="Times New Roman" w:cs="Times New Roman" w:eastAsia="Times New Roman" w:hAnsi="Times New Roman"/>
            <w:sz w:val="18"/>
            <w:szCs w:val="18"/>
            <w:b w:val="1"/>
            <w:bCs w:val="1"/>
            <w:u w:val="single" w:color="auto"/>
            <w:color w:val="0000EE"/>
          </w:rPr>
          <w:t>December 31, 2024</w:t>
        </w:r>
        <w:r>
          <w:rPr>
            <w:rFonts w:ascii="Times New Roman" w:cs="Times New Roman" w:eastAsia="Times New Roman" w:hAnsi="Times New Roman"/>
            <w:sz w:val="18"/>
            <w:szCs w:val="18"/>
            <w:b w:val="1"/>
            <w:bCs w:val="1"/>
            <w:color w:val="000000"/>
          </w:rPr>
          <w:t>, which is incorporated by reference herein</w:t>
        </w:r>
        <w:r>
          <w:rPr>
            <w:rFonts w:ascii="Times New Roman" w:cs="Times New Roman" w:eastAsia="Times New Roman" w:hAnsi="Times New Roman"/>
            <w:sz w:val="18"/>
            <w:szCs w:val="18"/>
            <w:color w:val="000000"/>
          </w:rPr>
          <w:t>.</w:t>
        </w:r>
      </w:hyperlink>
    </w:p>
    <w:p>
      <w:pPr>
        <w:spacing w:after="0" w:line="12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Public Offering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Underwriting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Proceeds before</w:t>
            </w:r>
          </w:p>
        </w:tc>
        <w:tc>
          <w:tcPr>
            <w:tcW w:w="40" w:type="dxa"/>
            <w:vAlign w:val="bottom"/>
          </w:tcPr>
          <w:p>
            <w:pPr>
              <w:spacing w:after="0"/>
              <w:rPr>
                <w:sz w:val="13"/>
                <w:szCs w:val="13"/>
                <w:color w:val="auto"/>
              </w:rPr>
            </w:pPr>
          </w:p>
        </w:tc>
      </w:tr>
      <w:tr>
        <w:trPr>
          <w:trHeight w:val="200"/>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Price</w:t>
            </w:r>
            <w:r>
              <w:rPr>
                <w:rFonts w:ascii="Times New Roman" w:cs="Times New Roman" w:eastAsia="Times New Roman" w:hAnsi="Times New Roman"/>
                <w:sz w:val="17"/>
                <w:szCs w:val="17"/>
                <w:b w:val="1"/>
                <w:bCs w:val="1"/>
                <w:color w:val="auto"/>
                <w:w w:val="90"/>
                <w:vertAlign w:val="superscript"/>
              </w:rPr>
              <w:t>(1)</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note</w:t>
            </w:r>
          </w:p>
        </w:tc>
        <w:tc>
          <w:tcPr>
            <w:tcW w:w="1820" w:type="dxa"/>
            <w:vAlign w:val="bottom"/>
            <w:tcBorders>
              <w:top w:val="single" w:sz="8" w:color="CCEEFF"/>
            </w:tcBorders>
            <w:shd w:val="clear" w:color="auto" w:fill="CCEEFF"/>
          </w:tcPr>
          <w:p>
            <w:pPr>
              <w:ind w:left="17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-285115</wp:posOffset>
            </wp:positionV>
            <wp:extent cx="137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-285115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125730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from                     , 2026 if settlement occurs after that date.</w:t>
      </w:r>
    </w:p>
    <w:p>
      <w:pPr>
        <w:spacing w:after="0" w:line="154" w:lineRule="exact"/>
        <w:rPr>
          <w:sz w:val="20"/>
          <w:szCs w:val="20"/>
          <w:color w:val="auto"/>
        </w:rPr>
      </w:pPr>
    </w:p>
    <w:p>
      <w:pPr>
        <w:ind w:right="27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or other securities commission has approved or disapproved of these securities or determined if this prospectus supplement or the accompanying prospectus is truthful or complete. Any representation to the contrary is a criminal offense</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right="219" w:firstLine="360"/>
        <w:spacing w:after="0" w:line="266" w:lineRule="auto"/>
        <w:rPr>
          <w:sz w:val="20"/>
          <w:szCs w:val="20"/>
          <w:color w:val="auto"/>
        </w:rPr>
      </w:pPr>
      <w:r>
        <w:rPr>
          <w:rFonts w:ascii="Times New Roman" w:cs="Times New Roman" w:eastAsia="Times New Roman" w:hAnsi="Times New Roman"/>
          <w:sz w:val="18"/>
          <w:szCs w:val="18"/>
          <w:color w:val="auto"/>
        </w:rPr>
        <w:t>The notes will be ready for delivery in book-entry only form through The Depository Trust Company for the accounts of its participants, including Clearstream Banking, S.A. and Euroclear Bank SA/NV, on or about                     , 2026.</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​BofA Securities​ ​ Deutsche Bank Securities​ ​ Goldman Sachs &amp; Co. LLC​ ​ RBC Capital Markets ​</w:t>
      </w:r>
    </w:p>
    <w:p>
      <w:pPr>
        <w:spacing w:after="0" w:line="1009" w:lineRule="exact"/>
        <w:rPr>
          <w:sz w:val="20"/>
          <w:szCs w:val="20"/>
          <w:color w:val="auto"/>
        </w:rPr>
      </w:pPr>
    </w:p>
    <w:p>
      <w:pPr>
        <w:sectPr>
          <w:pgSz w:w="11900" w:h="16838" w:orient="portrait"/>
          <w:cols w:equalWidth="0" w:num="2">
            <w:col w:w="1220" w:space="360"/>
            <w:col w:w="8299"/>
          </w:cols>
          <w:pgMar w:left="580" w:top="205" w:right="1440" w:bottom="1440" w:gutter="0" w:footer="0" w:header="0"/>
        </w:sectPr>
      </w:pPr>
    </w:p>
    <w:p>
      <w:pPr>
        <w:spacing w:after="0" w:line="7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2026</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WHO WE 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21"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02"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WE 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BEING OFFERED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DISCLOSURE OF COMMISSION POSITION ON INDEMNIFICATION FOR SECURITIES ACT</w:t>
      </w:r>
    </w:p>
    <w:p>
      <w:pPr>
        <w:spacing w:after="0" w:line="23" w:lineRule="exact"/>
        <w:rPr>
          <w:sz w:val="20"/>
          <w:szCs w:val="20"/>
          <w:color w:val="auto"/>
        </w:rPr>
      </w:pPr>
    </w:p>
    <w:p>
      <w:pPr>
        <w:ind w:left="1440" w:hanging="180"/>
        <w:spacing w:after="0"/>
        <w:tabs>
          <w:tab w:leader="none" w:pos="1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LIABILITIES</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INFORMATION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14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14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ectPr>
          <w:pgSz w:w="11900" w:h="16838" w:orient="portrait"/>
          <w:cols w:equalWidth="0" w:num="2">
            <w:col w:w="8780" w:space="340"/>
            <w:col w:w="759"/>
          </w:cols>
          <w:pgMar w:left="580" w:top="97" w:right="1440" w:bottom="1440" w:gutter="0" w:footer="0" w:header="0"/>
          <w:type w:val="continuous"/>
        </w:sect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or any free writing prospectus prepared by us and required to be filed with the Securities and Exchange Commission.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provide information to you about the notes in two separate documents that offer varying levels of detail:</w:t>
      </w:r>
    </w:p>
    <w:p>
      <w:pPr>
        <w:spacing w:after="0" w:line="54" w:lineRule="exact"/>
        <w:rPr>
          <w:sz w:val="20"/>
          <w:szCs w:val="20"/>
          <w:color w:val="auto"/>
        </w:rPr>
      </w:pPr>
    </w:p>
    <w:p>
      <w:pPr>
        <w:ind w:left="1800" w:right="4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prospectus, which provides general information, some of which may not apply to this offering or the terms of the notes;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supplement, which provides a summary of this offering and the principal terms of the notes.</w:t>
      </w:r>
    </w:p>
    <w:p>
      <w:pPr>
        <w:spacing w:after="0" w:line="94"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Generally, when we refer to “this prospectus,” we are referring to both documents combined. If information in this prospectus supplement is inconsistent with the accompanying prospectus, you should rely only on this prospectus supplement. The accompanying prospectus is dated as of January 6, 2026 and contains certain factual information regarding Simon Property and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6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this offering and the principal terms of the notes.</w:t>
      </w:r>
    </w:p>
    <w:p>
      <w:pPr>
        <w:spacing w:after="0" w:line="91" w:lineRule="exact"/>
        <w:rPr>
          <w:sz w:val="20"/>
          <w:szCs w:val="20"/>
          <w:color w:val="auto"/>
        </w:rPr>
      </w:pPr>
    </w:p>
    <w:p>
      <w:pPr>
        <w:ind w:left="1280" w:right="5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It does not contain all the information that is important to you. For a more complete understanding of this offering and the principal terms of the notes, we encourage you to read this entire prospectus supplement, the accompanying prospectus and the documents we refer to, or incorporate by reference, herein and therein. In this prospectus supplement, the “Operating Partnership” and the terms “we”, “us” and “our” refer to Simon Property Group, L.P. and its subsidiaries, unless the context specifies or contemplates otherwise, and “Simon Property” refers specifically to Simon Property Group, Inc.</w:t>
      </w:r>
    </w:p>
    <w:p>
      <w:pPr>
        <w:spacing w:after="0" w:line="18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148" w:lineRule="exact"/>
        <w:rPr>
          <w:sz w:val="20"/>
          <w:szCs w:val="20"/>
          <w:color w:val="auto"/>
        </w:rPr>
      </w:pPr>
    </w:p>
    <w:p>
      <w:pPr>
        <w:ind w:left="1280" w:right="519" w:firstLine="360"/>
        <w:spacing w:after="0" w:line="236" w:lineRule="auto"/>
        <w:rPr>
          <w:sz w:val="20"/>
          <w:szCs w:val="20"/>
          <w:color w:val="auto"/>
        </w:rPr>
      </w:pPr>
      <w:r>
        <w:rPr>
          <w:rFonts w:ascii="Times New Roman" w:cs="Times New Roman" w:eastAsia="Times New Roman" w:hAnsi="Times New Roman"/>
          <w:sz w:val="18"/>
          <w:szCs w:val="18"/>
          <w:color w:val="auto"/>
        </w:rPr>
        <w:t>Simon Property Group, L.P. owns, develops and manages premier shopping, dining, entertainment and mixed-use destinations, which consist primarily of malls, Premium Outlets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The Mills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sole general partner, Simon Property, operates as a self-administered and self-managed real estate investment trust, or REIT, under the Internal Revenue Code of 1986, as amended, or the Internal Revenue Code, for United States federal income tax purposes.</w:t>
      </w:r>
    </w:p>
    <w:p>
      <w:pPr>
        <w:spacing w:after="0" w:line="13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principal executive offices are located at 225 West Washington Street, Indianapolis, Indiana 46204.</w:t>
      </w:r>
    </w:p>
    <w:p>
      <w:pPr>
        <w:spacing w:after="0" w:line="156" w:lineRule="exact"/>
        <w:rPr>
          <w:sz w:val="20"/>
          <w:szCs w:val="20"/>
          <w:color w:val="auto"/>
        </w:rPr>
      </w:pPr>
    </w:p>
    <w:p>
      <w:pPr>
        <w:ind w:left="1280" w:right="619" w:firstLine="360"/>
        <w:spacing w:after="0" w:line="284" w:lineRule="auto"/>
        <w:rPr>
          <w:sz w:val="20"/>
          <w:szCs w:val="20"/>
          <w:color w:val="auto"/>
        </w:rPr>
      </w:pPr>
      <w:r>
        <w:rPr>
          <w:rFonts w:ascii="Times New Roman" w:cs="Times New Roman" w:eastAsia="Times New Roman" w:hAnsi="Times New Roman"/>
          <w:sz w:val="18"/>
          <w:szCs w:val="18"/>
          <w:color w:val="auto"/>
        </w:rPr>
        <w:t>Our telephone number is (317) 636-1600. For more information, please see the section entitled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w:t>
      </w:r>
      <w:r>
        <w:rPr>
          <w:rFonts w:ascii="Times New Roman" w:cs="Times New Roman" w:eastAsia="Times New Roman" w:hAnsi="Times New Roman"/>
          <w:sz w:val="18"/>
          <w:szCs w:val="18"/>
          <w:color w:val="auto"/>
        </w:rPr>
        <w:t>” in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8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the principal terms of the notes. A more detailed description is contained in this prospectus supplement under the section “Description of Notes,” together with the section “Description of Securities Being Offered” in the accompanying prospectus.</w:t>
      </w:r>
    </w:p>
    <w:p>
      <w:pPr>
        <w:spacing w:after="0" w:line="6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Simon Property Group, L.P.</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Notes Offered</w:t>
      </w:r>
      <w:r>
        <w:rPr>
          <w:sz w:val="20"/>
          <w:szCs w:val="20"/>
          <w:color w:val="auto"/>
        </w:rPr>
        <w:tab/>
      </w:r>
      <w:r>
        <w:rPr>
          <w:rFonts w:ascii="Times New Roman" w:cs="Times New Roman" w:eastAsia="Times New Roman" w:hAnsi="Times New Roman"/>
          <w:sz w:val="18"/>
          <w:szCs w:val="18"/>
          <w:color w:val="auto"/>
        </w:rPr>
        <w:t>$            aggregate principal amount of           % Notes due 2031.</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Maturity Date</w:t>
      </w:r>
      <w:r>
        <w:rPr>
          <w:sz w:val="20"/>
          <w:szCs w:val="20"/>
          <w:color w:val="auto"/>
        </w:rPr>
        <w:tab/>
      </w:r>
      <w:r>
        <w:rPr>
          <w:rFonts w:ascii="Times New Roman" w:cs="Times New Roman" w:eastAsia="Times New Roman" w:hAnsi="Times New Roman"/>
          <w:sz w:val="18"/>
          <w:szCs w:val="18"/>
          <w:color w:val="auto"/>
        </w:rPr>
        <w:t>Unless earlier redeemed, the notes will mature on</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 2031.</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8"/>
          <w:szCs w:val="18"/>
          <w:color w:val="auto"/>
        </w:rPr>
        <w:t>We may redeem some or all of the notes at any time and from time</w:t>
      </w:r>
    </w:p>
    <w:p>
      <w:pPr>
        <w:spacing w:after="0" w:line="27" w:lineRule="exact"/>
        <w:rPr>
          <w:sz w:val="20"/>
          <w:szCs w:val="20"/>
          <w:color w:val="auto"/>
        </w:rPr>
      </w:pPr>
    </w:p>
    <w:p>
      <w:pPr>
        <w:ind w:left="4300" w:right="599"/>
        <w:spacing w:after="0" w:line="253" w:lineRule="auto"/>
        <w:rPr>
          <w:sz w:val="20"/>
          <w:szCs w:val="20"/>
          <w:color w:val="auto"/>
        </w:rPr>
      </w:pPr>
      <w:r>
        <w:rPr>
          <w:rFonts w:ascii="Times New Roman" w:cs="Times New Roman" w:eastAsia="Times New Roman" w:hAnsi="Times New Roman"/>
          <w:sz w:val="18"/>
          <w:szCs w:val="18"/>
          <w:color w:val="auto"/>
        </w:rPr>
        <w:t>to time at the redemption price described under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 Optional Redemption</w:t>
      </w:r>
      <w:r>
        <w:rPr>
          <w:rFonts w:ascii="Times New Roman" w:cs="Times New Roman" w:eastAsia="Times New Roman" w:hAnsi="Times New Roman"/>
          <w:sz w:val="18"/>
          <w:szCs w:val="18"/>
          <w:color w:val="auto"/>
        </w:rPr>
        <w:t>.” If the notes are redeemed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 20    , the redemption price will not include the Make-Whole Amount (defined herein).</w:t>
      </w:r>
    </w:p>
    <w:p>
      <w:pPr>
        <w:spacing w:after="0" w:line="8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8"/>
          <w:szCs w:val="18"/>
          <w:color w:val="auto"/>
        </w:rPr>
        <w:t>                  and                 of each year, beginning                     ,</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2026.</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Ranking</w:t>
      </w:r>
      <w:r>
        <w:rPr>
          <w:sz w:val="20"/>
          <w:szCs w:val="20"/>
          <w:color w:val="auto"/>
        </w:rPr>
        <w:tab/>
      </w:r>
      <w:r>
        <w:rPr>
          <w:rFonts w:ascii="Times New Roman" w:cs="Times New Roman" w:eastAsia="Times New Roman" w:hAnsi="Times New Roman"/>
          <w:sz w:val="18"/>
          <w:szCs w:val="18"/>
          <w:color w:val="auto"/>
        </w:rPr>
        <w:t>The notes will be our unsecured and unsubordinated obligations and</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will rank equally with all of our other existing and future unsecured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and unsubordinated indebtedness. See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in this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139" w:lineRule="exact"/>
        <w:rPr>
          <w:sz w:val="20"/>
          <w:szCs w:val="20"/>
          <w:color w:val="auto"/>
        </w:rPr>
      </w:pPr>
    </w:p>
    <w:p>
      <w:pPr>
        <w:ind w:left="4300" w:right="419"/>
        <w:spacing w:after="0" w:line="252" w:lineRule="auto"/>
        <w:rPr>
          <w:sz w:val="20"/>
          <w:szCs w:val="20"/>
          <w:color w:val="auto"/>
        </w:rPr>
      </w:pPr>
      <w:r>
        <w:rPr>
          <w:rFonts w:ascii="Times New Roman" w:cs="Times New Roman" w:eastAsia="Times New Roman" w:hAnsi="Times New Roman"/>
          <w:sz w:val="18"/>
          <w:szCs w:val="18"/>
          <w:color w:val="auto"/>
        </w:rPr>
        <w:t>Assuming we had completed the offering of the notes on September 30, 2025, the notes would have been effectively subordinated to $5.3 billion of total consolidated mortgage debt outstanding on such date to the extent of the assets securing the same. At such date, our subsidiaries had no unsecured indebtedness, other than (i) €1.4999 billion (approximate USD equivalent of $1.7604 billion) of notes issued to fund certain of our European operations, (ii) $460.0 million borrowed under our $5.0 billion unsecured revolving credit facility relating to our operations in Puerto Rico, (iii) €500.0 million (approximate USD equivalent of $586.8 million) borrowed under our $3.5 billion unsecured revolving credit facility to fund our European operations, and (iv) a €350.0 million (approximate USD equivalent of $410.8 million) unsecured term loan to fund our European operations, each of which is guaranteed by us and reflected in our consolidated indebtedness.</w:t>
      </w:r>
    </w:p>
    <w:p>
      <w:pPr>
        <w:spacing w:after="0" w:line="8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expect to receive net proceeds from the sale of the notes, after</w:t>
      </w:r>
    </w:p>
    <w:p>
      <w:pPr>
        <w:spacing w:after="0" w:line="27" w:lineRule="exact"/>
        <w:rPr>
          <w:sz w:val="20"/>
          <w:szCs w:val="20"/>
          <w:color w:val="auto"/>
        </w:rPr>
      </w:pPr>
    </w:p>
    <w:p>
      <w:pPr>
        <w:ind w:left="4300" w:right="459"/>
        <w:spacing w:after="0" w:line="252" w:lineRule="auto"/>
        <w:rPr>
          <w:sz w:val="20"/>
          <w:szCs w:val="20"/>
          <w:color w:val="auto"/>
        </w:rPr>
      </w:pPr>
      <w:r>
        <w:rPr>
          <w:rFonts w:ascii="Times New Roman" w:cs="Times New Roman" w:eastAsia="Times New Roman" w:hAnsi="Times New Roman"/>
          <w:sz w:val="18"/>
          <w:szCs w:val="18"/>
          <w:color w:val="auto"/>
        </w:rPr>
        <w:t>deducting the underwriting discount and expenses payable by us, of approximately $            . We intend to use the net proceeds of this offering to fund the repayment of our $800 million outstanding principal amount of our 3.30% notes due 2026 (the “2026 Notes”), and to use any remaining net proceeds for general business purposes, including to repay other unsecured indebtedness.</w:t>
      </w:r>
    </w:p>
    <w:p>
      <w:pPr>
        <w:spacing w:after="0" w:line="1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w:t>
      </w:r>
    </w:p>
    <w:p>
      <w:pPr>
        <w:spacing w:after="0" w:line="11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Certain of the underwriters and affiliates of certain of the</w:t>
      </w:r>
    </w:p>
    <w:p>
      <w:pPr>
        <w:spacing w:after="0" w:line="27" w:lineRule="exact"/>
        <w:rPr>
          <w:sz w:val="20"/>
          <w:szCs w:val="20"/>
          <w:color w:val="auto"/>
        </w:rPr>
      </w:pPr>
    </w:p>
    <w:p>
      <w:pPr>
        <w:ind w:left="4300" w:right="459"/>
        <w:spacing w:after="0" w:line="253" w:lineRule="auto"/>
        <w:rPr>
          <w:sz w:val="20"/>
          <w:szCs w:val="20"/>
          <w:color w:val="auto"/>
        </w:rPr>
      </w:pPr>
      <w:r>
        <w:rPr>
          <w:rFonts w:ascii="Times New Roman" w:cs="Times New Roman" w:eastAsia="Times New Roman" w:hAnsi="Times New Roman"/>
          <w:sz w:val="18"/>
          <w:szCs w:val="18"/>
          <w:color w:val="auto"/>
        </w:rPr>
        <w:t>underwriters may be holders of our 2026 Notes. Upon the application of the net proceeds from this offering to repay our 2026 Notes, any such underwriter or its affiliates may receive more than 5% of the proceeds from this offering (not including the underwriting discount) See “</w:t>
      </w:r>
      <w:r>
        <w:rPr>
          <w:rFonts w:ascii="Times New Roman" w:cs="Times New Roman" w:eastAsia="Times New Roman" w:hAnsi="Times New Roman"/>
          <w:sz w:val="18"/>
          <w:szCs w:val="18"/>
          <w:i w:val="1"/>
          <w:iCs w:val="1"/>
          <w:color w:val="auto"/>
        </w:rPr>
        <w:t>Underwriting (Conflicts of Interest)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Covenants</w:t>
      </w:r>
      <w:r>
        <w:rPr>
          <w:sz w:val="20"/>
          <w:szCs w:val="20"/>
          <w:color w:val="auto"/>
        </w:rPr>
        <w:tab/>
      </w:r>
      <w:r>
        <w:rPr>
          <w:rFonts w:ascii="Times New Roman" w:cs="Times New Roman" w:eastAsia="Times New Roman" w:hAnsi="Times New Roman"/>
          <w:sz w:val="18"/>
          <w:szCs w:val="18"/>
          <w:color w:val="auto"/>
        </w:rPr>
        <w:t>The indenture contains various covenants applicable to the notes,</w:t>
      </w:r>
    </w:p>
    <w:p>
      <w:pPr>
        <w:spacing w:after="0" w:line="27" w:lineRule="exact"/>
        <w:rPr>
          <w:sz w:val="20"/>
          <w:szCs w:val="20"/>
          <w:color w:val="auto"/>
        </w:rPr>
      </w:pPr>
    </w:p>
    <w:p>
      <w:pPr>
        <w:ind w:left="4300" w:right="479"/>
        <w:spacing w:after="0" w:line="253" w:lineRule="auto"/>
        <w:rPr>
          <w:sz w:val="20"/>
          <w:szCs w:val="20"/>
          <w:color w:val="auto"/>
        </w:rPr>
      </w:pPr>
      <w:r>
        <w:rPr>
          <w:rFonts w:ascii="Times New Roman" w:cs="Times New Roman" w:eastAsia="Times New Roman" w:hAnsi="Times New Roman"/>
          <w:sz w:val="18"/>
          <w:szCs w:val="18"/>
          <w:color w:val="auto"/>
        </w:rPr>
        <w:t>including covenants with respect to limitations on the incurrence of debt. These covenants are subject to a number of important qualifications and exceptions. See “</w:t>
      </w:r>
      <w:r>
        <w:rPr>
          <w:rFonts w:ascii="Times New Roman" w:cs="Times New Roman" w:eastAsia="Times New Roman" w:hAnsi="Times New Roman"/>
          <w:sz w:val="18"/>
          <w:szCs w:val="18"/>
          <w:i w:val="1"/>
          <w:iCs w:val="1"/>
          <w:color w:val="auto"/>
        </w:rPr>
        <w:t>Description of Notes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in this prospectus supplement.</w:t>
      </w:r>
    </w:p>
    <w:p>
      <w:pPr>
        <w:spacing w:after="0" w:line="8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Minimum Denominations</w:t>
      </w:r>
      <w:r>
        <w:rPr>
          <w:sz w:val="20"/>
          <w:szCs w:val="20"/>
          <w:color w:val="auto"/>
        </w:rPr>
        <w:tab/>
      </w:r>
      <w:r>
        <w:rPr>
          <w:rFonts w:ascii="Times New Roman" w:cs="Times New Roman" w:eastAsia="Times New Roman" w:hAnsi="Times New Roman"/>
          <w:sz w:val="18"/>
          <w:szCs w:val="18"/>
          <w:color w:val="auto"/>
        </w:rPr>
        <w:t>The notes will be issued and may be transferred only in minimum</w:t>
      </w:r>
    </w:p>
    <w:p>
      <w:pPr>
        <w:spacing w:after="0" w:line="27" w:lineRule="exact"/>
        <w:rPr>
          <w:sz w:val="20"/>
          <w:szCs w:val="20"/>
          <w:color w:val="auto"/>
        </w:rPr>
      </w:pPr>
    </w:p>
    <w:p>
      <w:pPr>
        <w:ind w:left="4300" w:right="499"/>
        <w:spacing w:after="0" w:line="260" w:lineRule="auto"/>
        <w:rPr>
          <w:sz w:val="20"/>
          <w:szCs w:val="20"/>
          <w:color w:val="auto"/>
        </w:rPr>
      </w:pPr>
      <w:r>
        <w:rPr>
          <w:rFonts w:ascii="Times New Roman" w:cs="Times New Roman" w:eastAsia="Times New Roman" w:hAnsi="Times New Roman"/>
          <w:sz w:val="18"/>
          <w:szCs w:val="18"/>
          <w:color w:val="auto"/>
        </w:rPr>
        <w:t>denominations of $2,000 and integral multiples of $1,000 in excess thereof.</w:t>
      </w:r>
    </w:p>
    <w:p>
      <w:pPr>
        <w:spacing w:after="0" w:line="73"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Form</w:t>
      </w:r>
      <w:r>
        <w:rPr>
          <w:sz w:val="20"/>
          <w:szCs w:val="20"/>
          <w:color w:val="auto"/>
        </w:rPr>
        <w:tab/>
      </w:r>
      <w:r>
        <w:rPr>
          <w:rFonts w:ascii="Times New Roman" w:cs="Times New Roman" w:eastAsia="Times New Roman" w:hAnsi="Times New Roman"/>
          <w:sz w:val="18"/>
          <w:szCs w:val="18"/>
          <w:color w:val="auto"/>
        </w:rPr>
        <w:t>Book-entry only through the facilities of The Depository Trust</w:t>
      </w:r>
    </w:p>
    <w:p>
      <w:pPr>
        <w:spacing w:after="0" w:line="27" w:lineRule="exact"/>
        <w:rPr>
          <w:sz w:val="20"/>
          <w:szCs w:val="20"/>
          <w:color w:val="auto"/>
        </w:rPr>
      </w:pPr>
    </w:p>
    <w:p>
      <w:pPr>
        <w:ind w:left="4300" w:right="459"/>
        <w:spacing w:after="0" w:line="255" w:lineRule="auto"/>
        <w:rPr>
          <w:sz w:val="20"/>
          <w:szCs w:val="20"/>
          <w:color w:val="auto"/>
        </w:rPr>
      </w:pPr>
      <w:r>
        <w:rPr>
          <w:rFonts w:ascii="Times New Roman" w:cs="Times New Roman" w:eastAsia="Times New Roman" w:hAnsi="Times New Roman"/>
          <w:sz w:val="18"/>
          <w:szCs w:val="18"/>
          <w:color w:val="auto"/>
        </w:rPr>
        <w:t>Company for the accounts of its participants, including Clearstream Banking, S.A. (“Clearstream”), and Euroclear Bank SA/NV (“Euroclear”).</w:t>
      </w:r>
    </w:p>
    <w:p>
      <w:pPr>
        <w:spacing w:after="0" w:line="76"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the other</w:t>
      </w:r>
    </w:p>
    <w:p>
      <w:pPr>
        <w:spacing w:after="0" w:line="29" w:lineRule="exact"/>
        <w:rPr>
          <w:sz w:val="20"/>
          <w:szCs w:val="20"/>
          <w:color w:val="auto"/>
        </w:rPr>
      </w:pPr>
    </w:p>
    <w:p>
      <w:pPr>
        <w:ind w:left="4300" w:right="519"/>
        <w:spacing w:after="0" w:line="253" w:lineRule="auto"/>
        <w:rPr>
          <w:sz w:val="20"/>
          <w:szCs w:val="20"/>
          <w:color w:val="auto"/>
        </w:rPr>
      </w:pPr>
      <w:r>
        <w:rPr>
          <w:rFonts w:ascii="Times New Roman" w:cs="Times New Roman" w:eastAsia="Times New Roman" w:hAnsi="Times New Roman"/>
          <w:sz w:val="18"/>
          <w:szCs w:val="18"/>
          <w:color w:val="auto"/>
        </w:rPr>
        <w:t>information included in or incorporated by reference into this prospectus supplement and the accompanying prospectus for a discussion of factors you should carefully consider before deciding to invest in the notes.</w:t>
      </w:r>
    </w:p>
    <w:p>
      <w:pPr>
        <w:spacing w:after="0" w:line="8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Governing Law</w:t>
      </w:r>
      <w:r>
        <w:rPr>
          <w:sz w:val="20"/>
          <w:szCs w:val="20"/>
          <w:color w:val="auto"/>
        </w:rPr>
        <w:tab/>
      </w:r>
      <w:r>
        <w:rPr>
          <w:rFonts w:ascii="Times New Roman" w:cs="Times New Roman" w:eastAsia="Times New Roman" w:hAnsi="Times New Roman"/>
          <w:sz w:val="18"/>
          <w:szCs w:val="18"/>
          <w:color w:val="auto"/>
        </w:rPr>
        <w:t>State of New York.</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Trustee</w:t>
      </w:r>
      <w:r>
        <w:rPr>
          <w:sz w:val="20"/>
          <w:szCs w:val="20"/>
          <w:color w:val="auto"/>
        </w:rPr>
        <w:tab/>
      </w:r>
      <w:r>
        <w:rPr>
          <w:rFonts w:ascii="Times New Roman" w:cs="Times New Roman" w:eastAsia="Times New Roman" w:hAnsi="Times New Roman"/>
          <w:sz w:val="18"/>
          <w:szCs w:val="18"/>
          <w:color w:val="auto"/>
        </w:rPr>
        <w:t>The Bank of New York Mellon Trust Company, N.A.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Your investment in the notes involves certain risks. In consultation with your own financial, tax, accounting and legal advisers, you should carefully consider, among other matters, the risk factors set forth below as well as the risk factors discussed in our most recent annual report on Form 10-K, which is incorporated by reference into this prospectus supplement and the accompanying prospectus, before deciding whether to make an investment in the notes. The realization of any of the matters referenced in such risk factors could have a material adverse effect on our business, financial condition, liquidity, results of operations and prospects.</w:t>
      </w:r>
    </w:p>
    <w:p>
      <w:pPr>
        <w:spacing w:after="0" w:line="200" w:lineRule="exact"/>
        <w:rPr>
          <w:sz w:val="20"/>
          <w:szCs w:val="20"/>
          <w:color w:val="auto"/>
        </w:rPr>
      </w:pPr>
    </w:p>
    <w:p>
      <w:pPr>
        <w:spacing w:after="0" w:line="201"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color w:val="auto"/>
        </w:rPr>
        <w:t>The notes are effectively subordinated to all our existing and future secured debt and the liabilities and any preferred equity of our subsidiaries.</w:t>
      </w:r>
    </w:p>
    <w:p>
      <w:pPr>
        <w:spacing w:after="0" w:line="91"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The notes are not secured by any of our assets and therefore are effectively subordinated to all our existing and future secured debt. If we become insolvent or are liquidated, or if payment of any of our secured debt is accelerated, the holders of that secured debt will be entitled to exercise the remedies available to secured lenders under applicable law, including the ability to foreclose on and sell the assets securing such debt to satisfy such debt. In any such case, our remaining assets may be insufficient to repay the notes.</w:t>
      </w:r>
    </w:p>
    <w:p>
      <w:pPr>
        <w:spacing w:after="0" w:line="32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Because we operate a significant portion of our business through subsidiaries, we derive revenues from, and hold assets through, those subsidiaries. In general, these subsidiaries are separate and distinct legal entities. These subsidiaries will have no obligation to pay any amounts due on our debt securities, including the notes, or to provide us with funds for our payment obligations, whether by dividends, distributions, loans or otherwise. Our right to receive any assets of any subsidiary in the event of a bankruptcy or liquidation of the subsidiary, and therefore the right of our creditors to participate in those assets, will be effectively subordinated to the claims of that subsidiary’s creditors, including trade creditors, and any preferred equity holders of that subsidiary, in each case to the extent that we are not recognized as a creditor of such subsidiary. In addition, even where we are recognized as a creditor of a subsidiary, our rights as a creditor with respect to certain amounts are subordinated to other indebtedness of that subsidiary, including secured indebtedness to the extent of the assets securing such indebtedness.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Assuming we had completed the offering of the notes on September 30, 2025, the notes would have been effectively subordinated to $5.3 billion of total consolidated mortgage debt outstanding on such date to the extent of the assets securing the same. At such date, our subsidiaries had no unsecured indebtedness, other than (i) €1.4999 billion (approximate USD equivalent of $1.7604 billion) of notes issued to fund certain of our European operations, (ii) $460.0 million borrowed under our $5.0 billion unsecured revolving credit facility relating to our operations in Puerto Rico, (iii) €500.0 million (approximate USD equivalent of $586.8 million) borrowed under our $3.5 billion unsecured revolving credit facility to fund our European operations, and (iv) a €350.0 million (approximate USD equivalent of $410.8 million) unsecured term loan to fund our European operations, each of which is guaranteed by us and reflected in our consolidated indebtedness.</w:t>
      </w:r>
    </w:p>
    <w:p>
      <w:pPr>
        <w:spacing w:after="0" w:line="400"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color w:val="auto"/>
        </w:rPr>
        <w:t>The notes restrict, but do not eliminate, our ability to incur additional debt or take other action that could negatively impact holders of the notes.</w:t>
      </w:r>
    </w:p>
    <w:p>
      <w:pPr>
        <w:spacing w:after="0" w:line="8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Subject to specified limitations in the indenture and as described under “</w:t>
      </w:r>
      <w:r>
        <w:rPr>
          <w:rFonts w:ascii="Times New Roman" w:cs="Times New Roman" w:eastAsia="Times New Roman" w:hAnsi="Times New Roman"/>
          <w:sz w:val="18"/>
          <w:szCs w:val="18"/>
          <w:i w:val="1"/>
          <w:iCs w:val="1"/>
          <w:color w:val="auto"/>
        </w:rPr>
        <w:t>Description of Notes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 — Limitation on Debt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Notes — Covenants — Merger, Consolidation or Sale</w:t>
      </w:r>
      <w:r>
        <w:rPr>
          <w:rFonts w:ascii="Times New Roman" w:cs="Times New Roman" w:eastAsia="Times New Roman" w:hAnsi="Times New Roman"/>
          <w:sz w:val="18"/>
          <w:szCs w:val="18"/>
          <w:color w:val="auto"/>
        </w:rPr>
        <w:t>” in this prospectus supplement, the indenture does not contain any provisions that would limit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or the ability of our subsidiaries to incur indebtedness or that would give holders of the notes protection in the event of: a highly leveraged or similar transaction involving us or any of our affiliates; a change of control; or a reorganization, restructuring, merger or similar transaction involving us or any of our affiliates that may adversely affect the holders of the notes. Restrictions on the ownership and transfer of the shares of common stock of Simon Property designed to preserve its qualification as a REIT, however, may prevent or hinder a change of control.</w:t>
      </w:r>
    </w:p>
    <w:p>
      <w:pPr>
        <w:spacing w:after="0" w:line="200" w:lineRule="exact"/>
        <w:rPr>
          <w:sz w:val="20"/>
          <w:szCs w:val="20"/>
          <w:color w:val="auto"/>
        </w:rPr>
      </w:pPr>
    </w:p>
    <w:p>
      <w:pPr>
        <w:spacing w:after="0" w:line="2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There is no current public market for the notes.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notes are a new issue of securities for which there is currently no trading market. We do not intend to apply for listing of the notes on any securities exchange or for inclusion of the notes in any automated quotation system. We cannot guarantee:</w:t>
      </w:r>
    </w:p>
    <w:p>
      <w:pPr>
        <w:spacing w:after="0" w:line="68"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trading market for the notes will develop or be maintained;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trading market that may develop for the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ability to sell your notes when desired or at all;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you would be able to sell your notes.</w:t>
      </w:r>
    </w:p>
    <w:p>
      <w:pPr>
        <w:spacing w:after="0" w:line="15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Liquidity of any trading market for, and future market prices of, the notes will depend on many factors, including:</w:t>
      </w:r>
    </w:p>
    <w:p>
      <w:pPr>
        <w:spacing w:after="0" w:line="54"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cash flows;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or outlook changes;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w:t>
      </w:r>
    </w:p>
    <w:p>
      <w:pPr>
        <w:spacing w:after="0" w:line="14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62" w:lineRule="exact"/>
        <w:rPr>
          <w:sz w:val="20"/>
          <w:szCs w:val="20"/>
          <w:color w:val="auto"/>
        </w:rPr>
      </w:pPr>
    </w:p>
    <w:p>
      <w:pPr>
        <w:ind w:left="1260" w:right="459" w:firstLine="360"/>
        <w:spacing w:after="0" w:line="233" w:lineRule="auto"/>
        <w:rPr>
          <w:sz w:val="20"/>
          <w:szCs w:val="20"/>
          <w:color w:val="auto"/>
        </w:rPr>
      </w:pPr>
      <w:r>
        <w:rPr>
          <w:rFonts w:ascii="Times New Roman" w:cs="Times New Roman" w:eastAsia="Times New Roman" w:hAnsi="Times New Roman"/>
          <w:sz w:val="18"/>
          <w:szCs w:val="18"/>
          <w:color w:val="auto"/>
        </w:rPr>
        <w:t>We own, develop and manage premier shopping, dining, entertainment and mixed-use destinations, which consist primarily of malls, Premium Outlets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The Mills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operate as a majority-owned Indiana operating partnership subsidiary of Simon Property, which has elected to be treated as a REIT under the Internal Revenue Code for United States federal income tax purposes.</w:t>
      </w:r>
    </w:p>
    <w:p>
      <w:pPr>
        <w:spacing w:after="0" w:line="13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As of September 30, 2025, we owned 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w:t>
      </w:r>
    </w:p>
    <w:p>
      <w:pPr>
        <w:spacing w:after="0" w:line="1" w:lineRule="exact"/>
        <w:rPr>
          <w:sz w:val="20"/>
          <w:szCs w:val="20"/>
          <w:color w:val="auto"/>
        </w:rPr>
      </w:pPr>
    </w:p>
    <w:p>
      <w:pPr>
        <w:jc w:val="both"/>
        <w:ind w:left="1260" w:right="559"/>
        <w:spacing w:after="0" w:line="253" w:lineRule="auto"/>
        <w:rPr>
          <w:sz w:val="20"/>
          <w:szCs w:val="20"/>
          <w:color w:val="auto"/>
        </w:rPr>
      </w:pPr>
      <w:r>
        <w:rPr>
          <w:rFonts w:ascii="Times New Roman" w:cs="Times New Roman" w:eastAsia="Times New Roman" w:hAnsi="Times New Roman"/>
          <w:sz w:val="18"/>
          <w:szCs w:val="18"/>
          <w:color w:val="auto"/>
        </w:rPr>
        <w:t>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Simon Property is our sole general partner. Our principal executive offices are located at 225 West Washington Street, Indianapolis, Indiana 46204. Our telephone number is (317) 636-1600. Our Internet address is www.simon.com. The information contained in our website or connected to it is not a part of, or incorporated by reference into, this prospectus supplement, the accompanying prospectus or any registration statement of which it forms a part.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want to find more information about us and Simon Property, please see the sections entitled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Information We File with the SEC</w:t>
      </w:r>
      <w:r>
        <w:rPr>
          <w:rFonts w:ascii="Times New Roman" w:cs="Times New Roman" w:eastAsia="Times New Roman" w:hAnsi="Times New Roman"/>
          <w:sz w:val="18"/>
          <w:szCs w:val="18"/>
          <w:color w:val="auto"/>
        </w:rPr>
        <w:t>”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We expect to receive net proceeds from the sale of the notes, after deducting the underwriting discount and expenses payable by us, of approximately $            million. We intend to use the net proceeds of this offering to fund the repayment of our $800 million outstanding principal amount of our 3.30% notes due 2026, and to use any remaining net proceeds for general business purposes, including to repay other unsecured indebtedness.</w:t>
      </w:r>
    </w:p>
    <w:p>
      <w:pPr>
        <w:spacing w:after="0" w:line="335"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Certain of the underwriters and affiliates of certain of the underwriters may be holders of our 2026 Notes. Upon the application of the net proceeds of this offering to repay our 2026 Notes, any such underwriter or its affiliates may receive a portion of the proceeds of this offering (not including the underwriting discount). See “</w:t>
      </w:r>
      <w:r>
        <w:rPr>
          <w:rFonts w:ascii="Times New Roman" w:cs="Times New Roman" w:eastAsia="Times New Roman" w:hAnsi="Times New Roman"/>
          <w:sz w:val="18"/>
          <w:szCs w:val="18"/>
          <w:i w:val="1"/>
          <w:iCs w:val="1"/>
          <w:color w:val="auto"/>
        </w:rPr>
        <w:t>Underwriting (Conflicts of Interest) — Conflicts of Interest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notes are a new series of debt securities to be issued under an indenture dated as of November 26, 1996, between us and The Bank of New York Mellon Trust Company, N.A. (as successor to The Chase Manhattan Bank), as trustee (the “Trustee”), as heretofore supplemented, and to be supplemented as of                    , 2026 (the “Indenture”). The terms of the notes include those provisions contained in the Indenture and those made part of the Indenture by reference to the Trust Indenture Act of 1939, as amended. We have summarized selected terms and provisions of the Indenture and the Trust Indenture Act below.</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of specified provisions of the Indenture and the notes does not purport to be complete and is subject to, and qualified in its entirety by reference to, the actual provisions of the Indenture, including the definitions contained in the Indenture of some of the terms used below, and the notes. If you would like more information on any of these provisions, you should read the relevant sections of the Indenture. Copies of the Indenture are available from us upon request.</w:t>
      </w:r>
    </w:p>
    <w:p>
      <w:pPr>
        <w:spacing w:after="0" w:line="100" w:lineRule="exact"/>
        <w:rPr>
          <w:sz w:val="20"/>
          <w:szCs w:val="20"/>
          <w:color w:val="auto"/>
        </w:rPr>
      </w:pPr>
    </w:p>
    <w:p>
      <w:pPr>
        <w:ind w:left="1260" w:right="97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notes initially will be limited to an aggregate principal amount of $            . See “—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Issuances</w:t>
      </w:r>
      <w:r>
        <w:rPr>
          <w:rFonts w:ascii="Times New Roman" w:cs="Times New Roman" w:eastAsia="Times New Roman" w:hAnsi="Times New Roman"/>
          <w:sz w:val="18"/>
          <w:szCs w:val="18"/>
          <w:color w:val="auto"/>
        </w:rPr>
        <w:t>” below.</w:t>
      </w:r>
    </w:p>
    <w:p>
      <w:pPr>
        <w:spacing w:after="0" w:line="93"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The notes will be our direct, unsecured and unsubordinated obligations and will rank equally with all our other unsecured and unsubordinated indebtedness from time to time outstanding. The notes will be effectively subordinated to the claims of mortgage lenders holding secured indebtedness, as to the specific property securing each lender’s mortgage, and to claims of creditors and future holders of preferred equity, if any, of our subsidiaries to the extent of the assets of those subsidiaries. Assuming we had completed the offering of the notes on September 30, 2025, the notes would have been effectively subordinated to</w:t>
      </w:r>
    </w:p>
    <w:p>
      <w:pPr>
        <w:spacing w:after="0" w:line="5"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$5.3 billion of total consolidated mortgage debt outstanding on such date to the extent of the assets securing the same. At such date, our subsidiaries had no unsecured indebtedness, other than (i) €1.4999 billion (approximate USD equivalent of $1.7604 billion) of notes issued to fund certain of our European operations,</w:t>
      </w:r>
    </w:p>
    <w:p>
      <w:pPr>
        <w:spacing w:after="0" w:line="1" w:lineRule="exact"/>
        <w:rPr>
          <w:sz w:val="20"/>
          <w:szCs w:val="20"/>
          <w:color w:val="auto"/>
        </w:rPr>
      </w:pPr>
    </w:p>
    <w:p>
      <w:pPr>
        <w:ind w:left="1260" w:right="439"/>
        <w:spacing w:after="0" w:line="251" w:lineRule="auto"/>
        <w:tabs>
          <w:tab w:leader="none" w:pos="15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$460.0 million borrowed under our $5.0 billion unsecured revolving credit facility relating to our operations in Puerto Rico, (iii) €500.0 million (approximate USD equivalent of $586.8 million) borrowed under our $3.5 billion unsecured revolving credit facility to fund our European operations, and (iv) a €350.0 million (approximate USD equivalent of $410.8 million) unsecured term loan to fund our European operations, each of which is guaranteed by us and reflected in our consolidated indebtedness. Subject to specified limitations in the Indenture and as described below under “—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Indenture permits us and our subsidiaries to incur additional secured and unsecured indebtedness and to issue preferred equity. None of our partners has any obligation to pay any amounts due on the notes.</w:t>
      </w:r>
    </w:p>
    <w:p>
      <w:pPr>
        <w:spacing w:after="0" w:line="126"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entire principal amount of the notes will mature and become payable, together with accrued and unpaid interest, on            , 2031 (the “Maturity Date”), unless the notes are redeemed earlier as described below under “—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The notes will not be subject to, or entitled to the benefit of, any sinking fund provisions and will not be convertible into or exchangeable for any of our equity interests. The notes will be issued in minimum denominations of $2,000 and integral multiples of $1,000 in excess thereof.</w:t>
      </w:r>
    </w:p>
    <w:p>
      <w:pPr>
        <w:spacing w:after="0" w:line="321"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color w:val="auto"/>
        </w:rPr>
        <w:t xml:space="preserve">Except as described below under “— </w:t>
      </w:r>
      <w:r>
        <w:rPr>
          <w:rFonts w:ascii="Times New Roman" w:cs="Times New Roman" w:eastAsia="Times New Roman" w:hAnsi="Times New Roman"/>
          <w:sz w:val="18"/>
          <w:szCs w:val="18"/>
          <w:i w:val="1"/>
          <w:iCs w:val="1"/>
          <w:color w:val="auto"/>
        </w:rPr>
        <w:t>Covenants — Limitation on Debt</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Covenants —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or Sale</w:t>
      </w:r>
      <w:r>
        <w:rPr>
          <w:rFonts w:ascii="Times New Roman" w:cs="Times New Roman" w:eastAsia="Times New Roman" w:hAnsi="Times New Roman"/>
          <w:sz w:val="18"/>
          <w:szCs w:val="18"/>
          <w:color w:val="auto"/>
        </w:rPr>
        <w:t>,” the Indenture does not contain any provisions that would limit our ability or</w:t>
      </w:r>
    </w:p>
    <w:p>
      <w:pPr>
        <w:ind w:left="1260" w:right="499"/>
        <w:spacing w:after="0" w:line="260" w:lineRule="auto"/>
        <w:rPr>
          <w:sz w:val="20"/>
          <w:szCs w:val="20"/>
          <w:color w:val="auto"/>
        </w:rPr>
      </w:pPr>
      <w:r>
        <w:rPr>
          <w:rFonts w:ascii="Times New Roman" w:cs="Times New Roman" w:eastAsia="Times New Roman" w:hAnsi="Times New Roman"/>
          <w:sz w:val="18"/>
          <w:szCs w:val="18"/>
          <w:color w:val="auto"/>
        </w:rPr>
        <w:t>the ability of our subsidiaries to incur indebtedness or that would give holders of the notes protection in the event of:</w:t>
      </w:r>
    </w:p>
    <w:p>
      <w:pPr>
        <w:spacing w:after="0" w:line="73"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or similar transaction involving us or any of our affiliates;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restructuring, merger or similar transaction involving us or any of our affiliates that may adversely affect the holders of the notes.</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Restrictions on the ownership and transfer of the shares of common stock of Simon Property designed to preserve its qualification as a REIT, however, may prevent or hinder a change of control.</w:t>
      </w:r>
    </w:p>
    <w:p>
      <w:pPr>
        <w:spacing w:after="0" w:line="200" w:lineRule="exact"/>
        <w:rPr>
          <w:sz w:val="20"/>
          <w:szCs w:val="20"/>
          <w:color w:val="auto"/>
        </w:rPr>
      </w:pPr>
    </w:p>
    <w:p>
      <w:pPr>
        <w:spacing w:after="0" w:line="2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notes will bear interest at            % per year, from                   , 2026 or from the immediately preceding interest payment date to which interest has been paid. Interest on the notes is payable semi-annually in arrears on        and           , commencing                 , 2026 (each, an “Interest Payment Date”). Interest on an Interest Payment Date will be paid to the persons, or “holders”, in whose names the notes are registered on the security register at the close of business on the regular record date. The regular record date will be the fifteenth calendar day, whether or not a Business Day (as defined below), immediately preceding the related Interest Payment Date. Interest on the notes will be computed on the basis of a 360-day year of twelve 30-day months. The principal of each note payable at maturity or the principal, premium, if any, and interest, if any, payable upon earlier redemption will be paid against presentation and surrender of the note at a corporate trust office of the Trustee, located initially at The Bank of New York Mellon Trust Company, N.A., c/o BNY Mellon Corporate Trust, 500 Ross Street, Suite 625, Pittsburgh, Pennsylvania 15262, in the coin or currency of the United States of America that at the time of payment is legal tender for payment of public and private debts.</w:t>
      </w:r>
    </w:p>
    <w:p>
      <w:pPr>
        <w:spacing w:after="0" w:line="3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any Interest Payment Date, the Maturity Date or any earlier date of redemption falls on a day that is not a Business Day, the required payment will be made on the next Business Day as if it were made on the date the payment was due and no interest will accrue on the amount so payable for the period from and after that Interest Payment Date, the Maturity Date or that date of redemption, as the case may be. For purposes of the notes, “Business Day” means any day, other than a Saturday or Sunday, that is neither a legal holiday nor a day on which banking institutions in The City of New York are authorized or required by law, regulation or executive order to close.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may, from time to time, without the consent of or notice to existing note holders, create and issue further notes having the same terms and conditions as the notes in all respects, except for the issue date, issue price and, to the extent applicable, the first payment of interest. Additional notes issued in this manner will be consolidated with, and will form a single series of debt securities with, the previously outstanding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additional notes will not be fungible with the previously outstanding notes for U.S. federal income tax purposes, such additional notes will have a separate CUSIP number.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48"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We may redeem the notes at our option at any time, in whole or, from time to time, in part, at a redemption price (the “Redemption Price”) equal to the sum of:</w:t>
      </w:r>
    </w:p>
    <w:p>
      <w:pPr>
        <w:spacing w:after="0" w:line="40" w:lineRule="exact"/>
        <w:rPr>
          <w:sz w:val="20"/>
          <w:szCs w:val="20"/>
          <w:color w:val="auto"/>
        </w:rPr>
      </w:pPr>
    </w:p>
    <w:p>
      <w:pPr>
        <w:ind w:left="1800" w:right="12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being redeemed plus accrued interest on the notes to the redemption date;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as defined below, if any, with respect to the notes.</w:t>
      </w:r>
    </w:p>
    <w:p>
      <w:pPr>
        <w:spacing w:after="0" w:line="14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the notes are redeemed on or after                     , 20    (one month prior to their Maturity Date) (the “Par Call Date”), the Redemption Price will not include the Make-Whole Amount.</w:t>
      </w:r>
    </w:p>
    <w:p>
      <w:pPr>
        <w:spacing w:after="0" w:line="81"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an Interest Payment Date falling on or prior to a redemption date will be payable on such Interest Payment Date to the holders thereof as of the close of business on the relevant record date.</w:t>
      </w:r>
    </w:p>
    <w:p>
      <w:pPr>
        <w:spacing w:after="0" w:line="109"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If we have given notice of redemption as provided in the Indenture and have made funds available on the redemption date referred to in the notice for the redemption, the notes called for redemption will cease to bear interest on the redemption date and the holders of those notes from and after the redemption date will be entitled to receive only the payment of the Redemption Price upon surrender of the notes in accordance with the notice.</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give notice of any optional redemption of the notes to holders of those notes, at their addresses, as shown in the security register for the notes, not more than 60 nor less than 10 days prior to the redemption date. The notice of redemption will specify, among other items, the Redemption Price and the principal amount of the notes held by the holder to be redeemed.</w:t>
      </w:r>
    </w:p>
    <w:p>
      <w:pPr>
        <w:spacing w:after="0" w:line="3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we choose to redeem less than all of the notes, we will notify the Trustee at least five Business Days prior to giving notice of redemption, or a shorter period as may be satisfactory to the Trustee, of the aggregate principal amount of notes to be redeemed and their redemption date. The Trustee will select, on a pro rata basis to the extent practicable or by lot or by such other manner it deems fair and appropriate (and in such manner that complies with the requirements of the depositary, if applicable), the notes to be redeemed in part.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this prospectus supplement:</w:t>
      </w:r>
    </w:p>
    <w:p>
      <w:pPr>
        <w:spacing w:after="0" w:line="15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“Make-Whole Amount” means, in connection with any optional redemption or accelerated payment of the notes before the Par Call Date, the excess, if any, of:</w:t>
      </w:r>
    </w:p>
    <w:p>
      <w:pPr>
        <w:spacing w:after="0" w:line="54" w:lineRule="exact"/>
        <w:rPr>
          <w:sz w:val="20"/>
          <w:szCs w:val="20"/>
          <w:color w:val="auto"/>
        </w:rPr>
      </w:pPr>
    </w:p>
    <w:p>
      <w:pPr>
        <w:ind w:left="1800" w:right="539" w:hanging="180"/>
        <w:spacing w:after="0" w:line="255"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present value as of the date of redemption or accelerated payment of each dollar of principal being redeemed or accelerated and the amount of interest, calculated by us, excluding interest accrued to the date of redemption or accelerated payment, that would have been payable in respect of each dollar assuming the notes matured on the Par Call Date (determined by discounting, on a semiannual basis, the principal and interest at the Reinvestment Rate from the respective dates on which the principal and interest would have been payable assuming the notes matured on the Par Call Date), over the aggregate principal amount of the notes being redeemed or accelerated.</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“Reinvestment Rate” means the Treasury Rate (defined below), plus        %.</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date notice of the redemption or accelerated payment is given,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w:t>
      </w:r>
    </w:p>
    <w:p>
      <w:pPr>
        <w:spacing w:after="0" w:line="340" w:lineRule="exact"/>
        <w:rPr>
          <w:sz w:val="20"/>
          <w:szCs w:val="20"/>
          <w:color w:val="auto"/>
        </w:rPr>
      </w:pPr>
    </w:p>
    <w:p>
      <w:pPr>
        <w:ind w:left="1620" w:right="439" w:firstLine="360"/>
        <w:spacing w:after="0" w:line="253" w:lineRule="auto"/>
        <w:tabs>
          <w:tab w:leader="none" w:pos="2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date of redemption or accelerated payment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on the third Business Day preceding the date notice of the redemption or accelerated payment 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given H.15 TCM or any successor designation or publication is no longer published, we shall calculate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Treasury Rate based on the rate per annum equal to the semi-annual equivalent yield to maturity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11:00 a.m., New York City time, on the second Business Day preceding such notice of the redemption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accelerated payment of the United States Treasury security maturing on, or with a maturity that is closest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Par Call Date. If there is no United States Treasury security maturing on the Par Call Date but there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two or more United States Treasury securities with a maturity date equally distant from the Par Call Date,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 with a maturity date preceding the Par Call Date and one with a maturity date following the Par Call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we shall select the United States Treasury security with a maturity date preceding the Par Call Date. If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two or more United States Treasury securities maturing on the Par Call Date or two or more United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States Treasury securities meeting the criteria of the preceding sentence, we shall select from among these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two or more United States Treasury securities the United States Treasury security that is trading closest to</w:t>
      </w:r>
    </w:p>
    <w:p>
      <w:pPr>
        <w:spacing w:after="0" w:line="9" w:lineRule="exact"/>
        <w:rPr>
          <w:sz w:val="20"/>
          <w:szCs w:val="20"/>
          <w:color w:val="auto"/>
        </w:rPr>
      </w:pPr>
    </w:p>
    <w:p>
      <w:pPr>
        <w:ind w:left="1260" w:right="879"/>
        <w:spacing w:after="0" w:line="255" w:lineRule="auto"/>
        <w:rPr>
          <w:sz w:val="20"/>
          <w:szCs w:val="20"/>
          <w:color w:val="auto"/>
        </w:rPr>
      </w:pPr>
      <w:r>
        <w:rPr>
          <w:rFonts w:ascii="Times New Roman" w:cs="Times New Roman" w:eastAsia="Times New Roman" w:hAnsi="Times New Roman"/>
          <w:sz w:val="18"/>
          <w:szCs w:val="18"/>
          <w:color w:val="auto"/>
        </w:rPr>
        <w:t>par based upon the average of the bid and asked prices for such United States Treasury securities at 11:00 a.m., New York City time. In determining the Treasury Rate in accordance with the terms of this paragraph,</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Guarantee by Predecessor Operating Partnership</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covenants and related definitions will apply to the notes:</w:t>
      </w:r>
    </w:p>
    <w:p>
      <w:pPr>
        <w:spacing w:after="0" w:line="156" w:lineRule="exact"/>
        <w:rPr>
          <w:sz w:val="20"/>
          <w:szCs w:val="20"/>
          <w:color w:val="auto"/>
        </w:rPr>
      </w:pPr>
    </w:p>
    <w:p>
      <w:pPr>
        <w:ind w:left="1620"/>
        <w:spacing w:after="0"/>
        <w:tabs>
          <w:tab w:leader="none" w:pos="3220" w:val="left"/>
        </w:tabs>
        <w:rPr>
          <w:sz w:val="20"/>
          <w:szCs w:val="20"/>
          <w:color w:val="auto"/>
        </w:rPr>
      </w:pPr>
      <w:r>
        <w:rPr>
          <w:rFonts w:ascii="Times New Roman" w:cs="Times New Roman" w:eastAsia="Times New Roman" w:hAnsi="Times New Roman"/>
          <w:sz w:val="18"/>
          <w:szCs w:val="18"/>
          <w:i w:val="1"/>
          <w:iCs w:val="1"/>
          <w:color w:val="auto"/>
        </w:rPr>
        <w:t>Limitation on Debt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As of each Reporting Date, our Debt will not exceed 65% of Total Assets.</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Limitation on Secured Debt</w:t>
      </w:r>
      <w:r>
        <w:rPr>
          <w:rFonts w:ascii="Times New Roman" w:cs="Times New Roman" w:eastAsia="Times New Roman" w:hAnsi="Times New Roman"/>
          <w:sz w:val="18"/>
          <w:szCs w:val="18"/>
          <w:color w:val="auto"/>
        </w:rPr>
        <w:t>. As of each Reporting Date, our Secured Debt will not exceed 50%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Assets.</w:t>
      </w:r>
    </w:p>
    <w:p>
      <w:pPr>
        <w:spacing w:after="0" w:line="91" w:lineRule="exact"/>
        <w:rPr>
          <w:sz w:val="20"/>
          <w:szCs w:val="20"/>
          <w:color w:val="auto"/>
        </w:rPr>
      </w:pPr>
    </w:p>
    <w:p>
      <w:pPr>
        <w:jc w:val="both"/>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Fixed Charge Coverage Ratio. </w:t>
      </w:r>
      <w:r>
        <w:rPr>
          <w:rFonts w:ascii="Times New Roman" w:cs="Times New Roman" w:eastAsia="Times New Roman" w:hAnsi="Times New Roman"/>
          <w:sz w:val="18"/>
          <w:szCs w:val="18"/>
          <w:color w:val="auto"/>
        </w:rPr>
        <w:t>For the four consecutive quarters ending on each Reporting Date,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Annualized EBITDA (as defined below) to Annualized Interest Expense (as defined below) will be at least 1.50 to 1.00.</w:t>
      </w:r>
    </w:p>
    <w:p>
      <w:pPr>
        <w:spacing w:after="0" w:line="99" w:lineRule="exact"/>
        <w:rPr>
          <w:sz w:val="20"/>
          <w:szCs w:val="20"/>
          <w:color w:val="auto"/>
        </w:rPr>
      </w:pPr>
    </w:p>
    <w:p>
      <w:pPr>
        <w:ind w:left="1260" w:right="6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Maintenance of Total Unencumbered Assets. </w:t>
      </w:r>
      <w:r>
        <w:rPr>
          <w:rFonts w:ascii="Times New Roman" w:cs="Times New Roman" w:eastAsia="Times New Roman" w:hAnsi="Times New Roman"/>
          <w:sz w:val="18"/>
          <w:szCs w:val="18"/>
          <w:color w:val="auto"/>
        </w:rPr>
        <w:t>As of each Reporting Date, our Unencumbered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less than 125% of our outstanding Unsecured Debt.</w:t>
      </w:r>
    </w:p>
    <w:p>
      <w:pPr>
        <w:spacing w:after="0" w:line="91" w:lineRule="exact"/>
        <w:rPr>
          <w:sz w:val="20"/>
          <w:szCs w:val="20"/>
          <w:color w:val="auto"/>
        </w:rPr>
      </w:pPr>
    </w:p>
    <w:p>
      <w:pPr>
        <w:ind w:left="1260" w:right="5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Merger, Consolidation or Sale. </w:t>
      </w:r>
      <w:r>
        <w:rPr>
          <w:rFonts w:ascii="Times New Roman" w:cs="Times New Roman" w:eastAsia="Times New Roman" w:hAnsi="Times New Roman"/>
          <w:sz w:val="18"/>
          <w:szCs w:val="18"/>
          <w:color w:val="auto"/>
        </w:rPr>
        <w:t>We may consolidate with, or sell, lease or convey all or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assets to, or merge with or into, any other entity, provided that:</w:t>
      </w:r>
    </w:p>
    <w:p>
      <w:pPr>
        <w:spacing w:after="0" w:line="53" w:lineRule="exact"/>
        <w:rPr>
          <w:sz w:val="20"/>
          <w:szCs w:val="20"/>
          <w:color w:val="auto"/>
        </w:rPr>
      </w:pPr>
    </w:p>
    <w:p>
      <w:pPr>
        <w:ind w:left="1800" w:right="4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will be the continuing entity or the successor entity will be an entity organized and existing under U.S. laws and the successor entity expressly assumes payment of the principal of, premium,</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and any interest on all of the Securities (as defined under the Indenture) and the due and punctual performance and observance of all of the covenants and conditions contained in the Indenture;</w:t>
      </w:r>
    </w:p>
    <w:p>
      <w:pPr>
        <w:spacing w:after="0" w:line="54"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and treating any indebtedness which becomes our obligation or the obligation of a Subsidiary (as defined below) as a result thereof as having been incurred by us or that Subsidiary at the time of the transaction, no Event of Default, and no event which, after notice or the lapse of time, or both, would become an Event of Default, will have occurred and be continuing; and</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is delivered to the Trustee.</w:t>
      </w:r>
    </w:p>
    <w:p>
      <w:pPr>
        <w:spacing w:after="0" w:line="15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Existence. </w:t>
      </w:r>
      <w:r>
        <w:rPr>
          <w:rFonts w:ascii="Times New Roman" w:cs="Times New Roman" w:eastAsia="Times New Roman" w:hAnsi="Times New Roman"/>
          <w:sz w:val="18"/>
          <w:szCs w:val="18"/>
          <w:color w:val="auto"/>
        </w:rPr>
        <w:t>Except as described under “—</w:t>
      </w:r>
      <w:r>
        <w:rPr>
          <w:rFonts w:ascii="Times New Roman" w:cs="Times New Roman" w:eastAsia="Times New Roman" w:hAnsi="Times New Roman"/>
          <w:sz w:val="18"/>
          <w:szCs w:val="18"/>
          <w:i w:val="1"/>
          <w:iCs w:val="1"/>
          <w:color w:val="auto"/>
        </w:rPr>
        <w:t xml:space="preserve"> Merger, Consolidation or Sale</w:t>
      </w:r>
      <w:r>
        <w:rPr>
          <w:rFonts w:ascii="Times New Roman" w:cs="Times New Roman" w:eastAsia="Times New Roman" w:hAnsi="Times New Roman"/>
          <w:sz w:val="18"/>
          <w:szCs w:val="18"/>
          <w:color w:val="auto"/>
        </w:rPr>
        <w:t>,” above, we will do 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notes.</w:t>
      </w:r>
    </w:p>
    <w:p>
      <w:pPr>
        <w:spacing w:after="0" w:line="32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w:t>
      </w:r>
    </w:p>
    <w:p>
      <w:pPr>
        <w:spacing w:after="0" w:line="112"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We will, and will cause each of our Subsidiaries to, keep in force insurance policies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insurable properties. The insurance policies will be issued by financially sound and reputable companies</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protecting against loss or damage at least equal to the property’s then full insurable value (subject to reasonable deductibles determined by us).</w:t>
      </w:r>
    </w:p>
    <w:p>
      <w:pPr>
        <w:spacing w:after="0" w:line="79" w:lineRule="exact"/>
        <w:rPr>
          <w:sz w:val="20"/>
          <w:szCs w:val="20"/>
          <w:color w:val="auto"/>
        </w:rPr>
      </w:pPr>
    </w:p>
    <w:p>
      <w:pPr>
        <w:ind w:left="1260" w:right="8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same become delinquent:</w:t>
      </w:r>
    </w:p>
    <w:p>
      <w:pPr>
        <w:spacing w:after="0" w:line="53" w:lineRule="exact"/>
        <w:rPr>
          <w:sz w:val="20"/>
          <w:szCs w:val="20"/>
          <w:color w:val="auto"/>
        </w:rPr>
      </w:pPr>
    </w:p>
    <w:p>
      <w:pPr>
        <w:ind w:left="1800" w:right="7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any Subsidiary or upon our income, profits or property or upon any Subsidiary’s income, profits or property;</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 or the property of any Subsidiary;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however, any tax, assessment, charge or claim whose amount, applicability or validity is being contested in good faith by appropriate proceedings.</w:t>
      </w:r>
    </w:p>
    <w:p>
      <w:pPr>
        <w:spacing w:after="0" w:line="9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as amended (the “Exchange Act”), and to the extent permitted under the Exchange Act, we will file with the Securities and Exchange Commission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w:t>
      </w:r>
    </w:p>
    <w:p>
      <w:pPr>
        <w:spacing w:after="0" w:line="287" w:lineRule="exact"/>
        <w:rPr>
          <w:sz w:val="20"/>
          <w:szCs w:val="20"/>
          <w:color w:val="auto"/>
        </w:rPr>
      </w:pPr>
    </w:p>
    <w:p>
      <w:pPr>
        <w:ind w:left="1800" w:right="5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copies of the Financial Information by mail to all holders of Securities (as their names and addresses appear in the security register) without cost to the holders,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copies of the Financial Information with the Trustee.</w:t>
      </w:r>
    </w:p>
    <w:p>
      <w:pPr>
        <w:spacing w:after="0" w:line="14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we are not permitted to file these documents with the Securities and Exchange Commission under the Exchange Act, we will supply copies of the documents to any prospective holder promptly upon written request.</w:t>
      </w:r>
    </w:p>
    <w:p>
      <w:pPr>
        <w:spacing w:after="0" w:line="31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availability of the foregoing materials on the Securities and Exchange Commission’s website or on our website shall be deemed to satisfy the foregoing delivery obligations.</w:t>
      </w:r>
    </w:p>
    <w:p>
      <w:pPr>
        <w:spacing w:after="0" w:line="93" w:lineRule="exact"/>
        <w:rPr>
          <w:sz w:val="20"/>
          <w:szCs w:val="20"/>
          <w:color w:val="auto"/>
        </w:rPr>
      </w:pPr>
    </w:p>
    <w:p>
      <w:pPr>
        <w:ind w:left="1260" w:right="6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As used in this “Description of Notes,” the following defined terms have the meanings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p>
      <w:pPr>
        <w:spacing w:after="0" w:line="93"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“Annualized EBITDA” means, for the four consecutive quarters ending on each Reporting Date, the Operating Partnership’s Pro Rata Share of earnings before interest, taxes, depreciation and amortization (“EBITDA”),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w:t>
      </w:r>
    </w:p>
    <w:p>
      <w:pPr>
        <w:spacing w:after="0" w:line="3" w:lineRule="exact"/>
        <w:rPr>
          <w:sz w:val="20"/>
          <w:szCs w:val="20"/>
          <w:color w:val="auto"/>
        </w:rPr>
      </w:pPr>
    </w:p>
    <w:p>
      <w:pPr>
        <w:ind w:left="1260" w:right="659"/>
        <w:spacing w:after="0" w:line="242" w:lineRule="auto"/>
        <w:tabs>
          <w:tab w:leader="none" w:pos="14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“Annualized Interest Expense”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assumption that (i) any interest expense related to indebtedness incurred since the first day of such four-quarter period is computed as if such indebtedness had been incurred as of the beginning of such period, and</w:t>
      </w:r>
    </w:p>
    <w:p>
      <w:pPr>
        <w:spacing w:after="0" w:line="5" w:lineRule="exact"/>
        <w:rPr>
          <w:sz w:val="20"/>
          <w:szCs w:val="20"/>
          <w:color w:val="auto"/>
        </w:rPr>
      </w:pPr>
    </w:p>
    <w:p>
      <w:pPr>
        <w:ind w:left="1260" w:right="679"/>
        <w:spacing w:after="0"/>
        <w:tabs>
          <w:tab w:leader="none" w:pos="15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“Capitalization Rate” means 7.00%.</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“Capitalized Value” means, as of any date, Annualized EBITDA divided by the Capitalization Rate.</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“Debt”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 (iii) 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w:t>
      </w:r>
    </w:p>
    <w:p>
      <w:pPr>
        <w:spacing w:after="0" w:line="10" w:lineRule="exact"/>
        <w:rPr>
          <w:sz w:val="20"/>
          <w:szCs w:val="20"/>
          <w:color w:val="auto"/>
        </w:rPr>
      </w:pPr>
    </w:p>
    <w:p>
      <w:pPr>
        <w:ind w:left="1260" w:right="719"/>
        <w:spacing w:after="0"/>
        <w:tabs>
          <w:tab w:leader="none" w:pos="1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(or, in the case of any such obligation made jointly with another Person, the Operating Partnership’s or Subsidiary’s allocable portion of such obligation based on its ownership interest in the related real estate assets);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Debt excludes (a) Intercompany Debt and (b) in the case of clause (iv) above, operating lease liabilities on the Operating Partnership’s balance sheet in accordance with generally accepted accounting principles.</w:t>
      </w:r>
    </w:p>
    <w:p>
      <w:pPr>
        <w:spacing w:after="0" w:line="12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“Intercompany Debt” means Debt to which the only parties are the Operating Partnership, Simon Property and any of our and Simon Property’s Subsidiaries or affiliates, but only so long as that Debt is held solely by any of the Operating Partnership, Simon Property and any Subsidiary or affiliate and, provided that, in the case of Debt owed by the Operating Partnership to any Subsidiary or affiliate, the Debt is subordinated in right of payment to the holders of the notes.</w:t>
      </w:r>
    </w:p>
    <w:p>
      <w:pPr>
        <w:spacing w:after="0" w:line="110"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“Pro Rata Share”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“Reporting Date” means March 31, June 30, September 30 and December 31 of each year.</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“Secured Debt” means Debt secured by any mortgage, lien, pledge, encumbrance or security interest of any kind upon any of our property or the property of any Subsidiary.</w:t>
      </w:r>
    </w:p>
    <w:p>
      <w:pPr>
        <w:spacing w:after="0" w:line="95"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“Stabilized Asset” means (i) with respect to an acquisition of an asset, such asset becomes stabilized when the Operating Partnership or its Subsidiaries or an unconsolidated joint venture in which the Operating Partnership or any Subsidiary has an interest has owned the asset as of at least six (6) Reporting Dates, and (ii) with respect to a new construction or development asset, such asset becomes stabilized four Reporting Dates after the earlier of (a) six (6) Reporting Dates after substantial completion of construction or development or (b) the first Reporting Date on which the asset is at least 90% leased.</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“Subsidiary” means a corporation, partnership, joint venture, limited liability company or other entity, a majority of the outstanding voting stock, partnership interests or membership interests, as the case may be, of which is owned or controlled, directly or indirectly, by the Operating Partnership or by one or more other Subsidiaries of the Operating Partnership and, for the purposes of this definition, “voting stock” means stock having voting power for the election of directors, or trustees, as the case may be, whether at all times or only so long as no senior class of stock has such voting power by reason of any contingency.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Assets” means, as of any Reporting Date, the sum of (i) for Stabilized Assets, Capitalized Value;</w:t>
      </w:r>
    </w:p>
    <w:p>
      <w:pPr>
        <w:spacing w:after="0" w:line="16" w:lineRule="exact"/>
        <w:rPr>
          <w:sz w:val="20"/>
          <w:szCs w:val="20"/>
          <w:color w:val="auto"/>
        </w:rPr>
      </w:pPr>
    </w:p>
    <w:p>
      <w:pPr>
        <w:ind w:left="1260" w:right="539"/>
        <w:spacing w:after="0"/>
        <w:tabs>
          <w:tab w:leader="none" w:pos="1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Total Assets excludes right-of-use assets associated with operating leases in accordance with generally accepted accounting principles.</w:t>
      </w:r>
    </w:p>
    <w:p>
      <w:pPr>
        <w:spacing w:after="0" w:line="120" w:lineRule="exact"/>
        <w:rPr>
          <w:sz w:val="20"/>
          <w:szCs w:val="20"/>
          <w:color w:val="auto"/>
        </w:rPr>
      </w:pPr>
    </w:p>
    <w:p>
      <w:pPr>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“Unencumbered Annualized EBITDA” means Annualized EBITDA less any portion thereof attributable to assets serving as collateral for Secured Debt.</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“Unencumbered Assets” as of any Reporting Date means our Total Assets as of such date multiplied by a fraction, the numerator of which is Unencumbered Annualized EBITDA and the denominator of which is Annualized EBITDA.</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“Unsecured Debt” means Debt that is not secured by any mortgage, lien, pledge, encumbrance or security interest of any kind.</w:t>
      </w:r>
    </w:p>
    <w:p>
      <w:pPr>
        <w:spacing w:after="0" w:line="95"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Compliance with the covenants described in this prospectus supplement and with respect to the notes generally may not be waived by us, or by the Trustee, unless the holders of at least a majority in principal amount of all outstanding notes consent to the waiver.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6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Modifications and amendments of the Indenture may be made only with the consent of the holders of not less than a majority in principal amount of all Outstanding Securities (as defined in the Indenture) affected by the modification or amendment (voting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modification or amendment may, without the consent of the holder of each Outstanding Security affected thereby:</w:t>
      </w:r>
    </w:p>
    <w:p>
      <w:pPr>
        <w:spacing w:after="0" w:line="282"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interest on, any Security (as defined in the Indenture);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the rate or amount of interest on, or any premium payable on redemption or acceleration of the Security, or change the manner in which interest on the Security is calculated except as contemplated therein,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Security;</w:t>
      </w:r>
    </w:p>
    <w:p>
      <w:pPr>
        <w:spacing w:after="0" w:line="79"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or premium, if any, or interest on any Security;</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after the stated maturity of any Security;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above-stated percentage in principal amount of Outstanding Securities, the consent of whose holders is necessary to modify or amend the Indenture, or to waive compliance with specified provisions of the Indenture or specified defaults and consequences thereunder or to reduce the quorum or voting requirements set forth in the Indenture; or</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Security.</w:t>
      </w:r>
    </w:p>
    <w:p>
      <w:pPr>
        <w:spacing w:after="0" w:line="11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Modifications and amendments of the Indenture may be permitted to be made by us and the Trustee without the consent of any holder of Outstanding Securities for any of the following purposes:</w:t>
      </w:r>
    </w:p>
    <w:p>
      <w:pPr>
        <w:spacing w:after="0" w:line="54"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the Indenture;</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any series of Securities or to surrender any right or power conferred upon us in the Indenture;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any series of Securities;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facilitate the issuance of or to liberalize certain terms of Securities in bearer form, or to permit or facilitate the issuance of Securities in uncertificated form, provided that the action shall not adversely affect the interests of the holders of Securities of any series in any material respect;</w:t>
      </w:r>
    </w:p>
    <w:p>
      <w:pPr>
        <w:spacing w:after="0" w:line="71"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the Indenture, provided that any change or elimination shall become effective only when the Outstanding Securities are not entitled to the benefit of that provision;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Securities of any series;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under the Indenture by a successor Trustee or facilitate the administration of the trust under the Indenture by more than one Trustee;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provided that the action is not inconsistent with the provisions of the Indenture and will not adversely affect the interests of holders of Securities of any series in any material respect;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the extent necessary to permit or facilitate defeasance and discharge of Securities, provided that the action will not adversely affect the interests of the holders of the Securities of any series in any material respect; or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terms of the Indenture or the notes of a series to the description thereof contained in any prospectus, prospectus supplement or other offering document relating to the offer and sale of those notes.</w:t>
      </w:r>
    </w:p>
    <w:p>
      <w:pPr>
        <w:spacing w:after="0" w:line="9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Indenture provides that in determining whether the holders of the requisite principal amount of a series of Outstanding Securities have given any request, demand, authorization, direction, notice, consent or waiver thereunder or whether a quorum is present at a meeting of holders of those Securities, (1) 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Security denominated in a foreign currency that shall be deemed Outstanding shall be the U.S. dollar equivalent, determined on the issue date for that Security, of the principal amount (or, in the case of an Original Issue Discount Security, the U.S. dollar equivalent on the issue date of such note of the amount determined as provided in (1) above) of that Security, (3) the principal amount of an Indexed Security (as defined in the Indenture)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Subsidiary or affiliate of the Operating Partnership or of such other obligor shall be disregarded.</w:t>
      </w:r>
    </w:p>
    <w:p>
      <w:pPr>
        <w:spacing w:after="0" w:line="347"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Indenture contains provisions of convening meetings of the holders of Securities of a series issuable, in whole or in part, as bearer securities. A meeting will be permitted to be called at any time by the Trustee, and also, upon request, by us or the holders of at least 10% in principal amount of the Outstanding Securities of such series, in any such case upon notice given as provided in the Indenture. Except for any consent that must be given by the holder of each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Securities of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as referred to above, any resolution with respect to any request, demand, authorization, direction, notice, consent, waiver or other action that may be made, given or taken by the holders of a specified percentage in principal amount of the Outstanding Securities of a series may be adopted at a meeting at which a quorum is present by the affirmative vote of the holders of such specified percentage in principal amount of the Outstanding Securities of that series. Any resolution passed or decision taken at any meeting of holders of Securities of any series duly held in accordance with the Indenture will be binding on all holders of Securities of that series whether or not present or represented at the meeting. The quorum at any meeting called to adopt a resolution, and at any reconvened meeting, will be persons holding or representing a majority in principal amount of the Outstanding Securities of a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action is to be taken at such meeting with respect to any request, demand, authorization, direction, notice, consent, waiver or other action which may be made, given or taken by the holders of not less than a specified percentage in principal amount of the Outstanding Securities of a series, then with respect to such action (and only such action) the persons holding or representing such specified percentage in principal amount of the Outstanding Securities of such series will constitute a quorum.</w:t>
      </w:r>
    </w:p>
    <w:p>
      <w:pPr>
        <w:spacing w:after="0" w:line="35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provisions, the Indenture provides that if any action is to be taken at a meeting of holders of Securities of any series with respect to any request, demand, authorization, direction,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notice, consent, waiver or other action that the Indenture expressly provides may be made, given or taken by the holders of a specified percentage in principal amount of all Outstanding Securities affected thereby, or the holders of that series and any other series:</w:t>
      </w:r>
    </w:p>
    <w:p>
      <w:pPr>
        <w:spacing w:after="0" w:line="81"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minimum quorum requirement for the meeting; and</w:t>
      </w:r>
    </w:p>
    <w:p>
      <w:pPr>
        <w:spacing w:after="0" w:line="144"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term “Event of Default,” when used in this prospectus supplement with respect to the notes, means any one of the following events:</w:t>
      </w:r>
    </w:p>
    <w:p>
      <w:pPr>
        <w:spacing w:after="0" w:line="94" w:lineRule="exact"/>
        <w:rPr>
          <w:sz w:val="20"/>
          <w:szCs w:val="20"/>
          <w:color w:val="auto"/>
        </w:rPr>
      </w:pPr>
    </w:p>
    <w:p>
      <w:pPr>
        <w:ind w:left="1620" w:right="1079" w:firstLine="360"/>
        <w:spacing w:after="0" w:line="282"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the notes when the interest becomes due and payable, and continuance of the default for a period of 30 days;</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note when it becomes due and payable at its Maturity Date or by declaration of acceleration, notice of redemption or otherwise;</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56"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in the Indenture (other than a covenant added to the Indenture solely for the benefit of another series of Securities issued under the Indenture) and continuance of the default or breach for a period of 90 days after there has been given, by registered or certified mail, to us by the Trustee, or to us and the Trustee by the holders of at least 25% in principal amount of the outstanding notes, a written notice specifying the default or breach and requiring it to be remedied and stating that the notice is a “Notice of Default” under the Indenture;</w:t>
      </w:r>
    </w:p>
    <w:p>
      <w:pPr>
        <w:spacing w:after="0" w:line="119"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 aggregate principal amount exceeding $50 million of any of our recourse indebtedness (however evidenced) or any recourse indebtedness of any Subsidiary which we have guaranteed or for which we are responsible or liable after the expiration of any applicable grace period with 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30 days after there has been given, by registered or certified mail, to us by the Trustee, or to us and the Trustee by the holders of at least 25% in principal amount of the outstanding notes, a written notice specifying the default and requiring us to cause the indebtedness to be discharged or cause the acceleration to be rescinded or annulled and stating that the notice is a “Notice of Default” under the Indenture; or</w:t>
      </w:r>
    </w:p>
    <w:p>
      <w:pPr>
        <w:spacing w:after="0" w:line="329" w:lineRule="exact"/>
        <w:rPr>
          <w:rFonts w:ascii="Times New Roman" w:cs="Times New Roman" w:eastAsia="Times New Roman" w:hAnsi="Times New Roman"/>
          <w:sz w:val="18"/>
          <w:szCs w:val="18"/>
          <w:color w:val="auto"/>
        </w:rPr>
      </w:pPr>
    </w:p>
    <w:p>
      <w:pPr>
        <w:ind w:left="1620" w:right="1379" w:firstLine="360"/>
        <w:spacing w:after="0" w:line="282"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events of bankruptcy, insolvency or reorganization affecting us or certain Subsidiaries or any of their respective properties.</w:t>
      </w:r>
    </w:p>
    <w:p>
      <w:pPr>
        <w:spacing w:after="0" w:line="94"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under the Indenture with respect to the outstanding notes occurs and is continuing, then in every such case the Trustee or the holders of not less than 25% of the principal amount of the outstanding notes may declare the principal amount and premium or Make-Whole Amount, if any, and accrued interest on all the notes to be due and payable immediately by written notice thereof to us and to the Trustee, if given by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an Event of Default as described in</w:t>
      </w:r>
    </w:p>
    <w:p>
      <w:pPr>
        <w:spacing w:after="0" w:line="3" w:lineRule="exact"/>
        <w:rPr>
          <w:sz w:val="20"/>
          <w:szCs w:val="20"/>
          <w:color w:val="auto"/>
        </w:rPr>
      </w:pPr>
    </w:p>
    <w:p>
      <w:pPr>
        <w:ind w:left="1260" w:right="479"/>
        <w:spacing w:after="0" w:line="253" w:lineRule="auto"/>
        <w:tabs>
          <w:tab w:leader="none" w:pos="15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acceleration is automatic. However, at any time after a declaration of acceleration with respect to the notes has been made, but before a judgment or decree for payment of the money due has been obtained by the Trustee, the holders of a majority in principal amount of the outstanding notes may, by written notice to us and the Trustee, rescind and annul the declaration and its consequences if:</w:t>
      </w:r>
    </w:p>
    <w:p>
      <w:pPr>
        <w:spacing w:after="0" w:line="94"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Trustee all required payments of the principal of, and premium or Make-Whole Amount, if any, and interest on the notes, plus specified fees, expenses, disbursement and advances of the Trustee; and</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the notes, other than the non-payment of principal of, or premium or Make-Whole Amount, if any, or interest on the notes which has become due solely by the declaration of acceleration, have been cured or waived as provided in the Indenture.</w:t>
      </w:r>
    </w:p>
    <w:p>
      <w:pPr>
        <w:spacing w:after="0" w:line="10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notes may waive any past default with respect to the notes and its consequences, except a default:</w:t>
      </w:r>
    </w:p>
    <w:p>
      <w:pPr>
        <w:spacing w:after="0" w:line="54" w:lineRule="exact"/>
        <w:rPr>
          <w:sz w:val="20"/>
          <w:szCs w:val="20"/>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payable on any note;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Indenture that cannot be modified or amended without the consent of the holder of each note.</w:t>
      </w:r>
    </w:p>
    <w:p>
      <w:pPr>
        <w:spacing w:after="0" w:line="9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Trustee will be required to give notice to the holders of the notes within 90 days of the occurrence of a default with respect to the notes under the Indenture unless the default has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Trustee may withhold notice to the holders of the notes of any default,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 in the payment of the principal of, or premium or Make-Whole Amount, if any, or interest on any notes, if and so long as specified responsible officers of the Trustee determine in good faith that the withholding of the notice is in the interest of the holders;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 Event of Default as described in (3) above, the Trustee will not give notice to such holders until at least 90 days after the occurrence thereof.</w:t>
      </w:r>
    </w:p>
    <w:p>
      <w:pPr>
        <w:spacing w:after="0" w:line="32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Indenture provides that no holder of notes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notes, as well as an offer of indemnity reasonably satisfactory to it. This provision will not prevent, however, any holder of notes from instituting suit for the payment of the principal of, and premium or Make-Whole Amount, if any, and interest on the notes on the respective due date thereof.</w:t>
      </w:r>
    </w:p>
    <w:p>
      <w:pPr>
        <w:spacing w:after="0" w:line="32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Subject to the provisions in the Indenture relating to its duties in case of default, the Trustee is under no obligation to exercise any of its rights or powers under the Indenture at the request or direction of any holders of notes then outstanding under the Indenture, unless such holders have offered to the Trustee reasonable security or indemnity. The holders of a majority in principal amount of the outstanding notes have the right to direct the time, method and place of conducting any proceeding for any remedy available to the Trustee or exercising any trust or power conferred upon the Trustee in respect of the notes. However, the Trustee may refuse to follow any direction which is in conflict with any law or the Indenture, which may involve the Trustee in personal liability or which may be unduly prejudicial to the holders of notes not joining therein and the Trustee may take any other action it deems proper not inconsistent with the direction given.</w:t>
      </w:r>
    </w:p>
    <w:p>
      <w:pPr>
        <w:spacing w:after="0" w:line="328"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permitted under the Indenture to discharge specific obligations to the holders of the notes of or within a series that have not already been delivered to the Trustee for cancellation by irrevocably depositing with the Trustee, in trust, funds in U.S. dollars in an amount sufficient to pay the entire indebtedness on such notes in respect of principal, and premium, if any, and interest to the date of the deposit, if such notes have become due and payable, or to the Maturity Date or redemption date, as the case may be.</w:t>
      </w:r>
    </w:p>
    <w:p>
      <w:pPr>
        <w:spacing w:after="0" w:line="11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The Indenture also provides that upon the irrevocable deposit by us with the Trustee, in trust, of an amount, in U.S. dollars at stated maturity, or Government Obligations, or both, applicable to such notes which through the scheduled payment of principal and interest in accordance with their terms will provide money in an amount sufficient without reinvestment to pay the principal of, and premium, if any, and interest on such notes on the scheduled due dates therefor, we may elect either:</w:t>
      </w:r>
    </w:p>
    <w:p>
      <w:pPr>
        <w:spacing w:after="0" w:line="73" w:lineRule="exact"/>
        <w:rPr>
          <w:sz w:val="20"/>
          <w:szCs w:val="20"/>
          <w:color w:val="auto"/>
        </w:rPr>
      </w:pPr>
    </w:p>
    <w:p>
      <w:pPr>
        <w:ind w:left="1800" w:right="77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the notes of or within a series other than the obligations to register the transfer or exchange of such notes, to replace temporary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82" w:lineRule="auto"/>
        <w:rPr>
          <w:sz w:val="20"/>
          <w:szCs w:val="20"/>
          <w:color w:val="auto"/>
        </w:rPr>
      </w:pPr>
      <w:r>
        <w:rPr>
          <w:rFonts w:ascii="Times New Roman" w:cs="Times New Roman" w:eastAsia="Times New Roman" w:hAnsi="Times New Roman"/>
          <w:sz w:val="18"/>
          <w:szCs w:val="18"/>
          <w:color w:val="auto"/>
        </w:rPr>
        <w:t>or mutilated, destroyed, lost or stolen notes, to maintain an office or agency in respect of such notes and to hold moneys for payment in trust (“defeasance”); or</w:t>
      </w:r>
    </w:p>
    <w:p>
      <w:pPr>
        <w:spacing w:after="0" w:line="38" w:lineRule="exact"/>
        <w:rPr>
          <w:sz w:val="20"/>
          <w:szCs w:val="20"/>
          <w:color w:val="auto"/>
        </w:rPr>
      </w:pPr>
    </w:p>
    <w:p>
      <w:pPr>
        <w:ind w:left="1800" w:right="45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released from our obligations under the covenants described above under “—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xml:space="preserve">,” with the exception of the covenant described in “— </w:t>
      </w:r>
      <w:r>
        <w:rPr>
          <w:rFonts w:ascii="Times New Roman" w:cs="Times New Roman" w:eastAsia="Times New Roman" w:hAnsi="Times New Roman"/>
          <w:sz w:val="18"/>
          <w:szCs w:val="18"/>
          <w:i w:val="1"/>
          <w:iCs w:val="1"/>
          <w:color w:val="auto"/>
        </w:rPr>
        <w:t>Covenants — Merger, Consolidation or Sale</w:t>
      </w:r>
      <w:r>
        <w:rPr>
          <w:rFonts w:ascii="Times New Roman" w:cs="Times New Roman" w:eastAsia="Times New Roman" w:hAnsi="Times New Roman"/>
          <w:sz w:val="18"/>
          <w:szCs w:val="18"/>
          <w:color w:val="auto"/>
        </w:rPr>
        <w:t>,” with respect to the notes of or within a series, and any omission to comply with these obligations shall not constitute an Event of Default with respect to such notes (“covenant defeasance”).</w:t>
      </w:r>
    </w:p>
    <w:p>
      <w:pPr>
        <w:spacing w:after="0" w:line="99"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Securities Being Offered — Discharge, Defeasance and Covenant Defeasance</w:t>
      </w:r>
      <w:r>
        <w:rPr>
          <w:rFonts w:ascii="Times New Roman" w:cs="Times New Roman" w:eastAsia="Times New Roman" w:hAnsi="Times New Roman"/>
          <w:sz w:val="18"/>
          <w:szCs w:val="18"/>
          <w:color w:val="auto"/>
        </w:rPr>
        <w:t>” in the accompanying prospectus.</w:t>
      </w:r>
    </w:p>
    <w:p>
      <w:pPr>
        <w:spacing w:after="0" w:line="7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 trust may only be established if, among other things, we have delivered to the Trustee an opinion of counsel, as specified in the Indenture, to the effect that the holders of the notes of or within a series will not recognize income, gain or loss for United States federal income tax purposes as a result of the defeasance or covenant defeasance and will be subject to United States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(“IRS”) or a change in applicable United States federal income tax law occurring after the date of the Indenture.</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“Government Obligations” means securities that are:</w:t>
      </w:r>
    </w:p>
    <w:p>
      <w:pPr>
        <w:spacing w:after="0" w:line="158" w:lineRule="exact"/>
        <w:rPr>
          <w:sz w:val="20"/>
          <w:szCs w:val="20"/>
          <w:color w:val="auto"/>
        </w:rPr>
      </w:pPr>
    </w:p>
    <w:p>
      <w:pPr>
        <w:ind w:left="1620" w:right="559" w:firstLine="360"/>
        <w:spacing w:after="0" w:line="282" w:lineRule="auto"/>
        <w:tabs>
          <w:tab w:leader="none" w:pos="23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payment of which its full faith and credit is pledged; or</w:t>
      </w:r>
    </w:p>
    <w:p>
      <w:pPr>
        <w:spacing w:after="0" w:line="94" w:lineRule="exact"/>
        <w:rPr>
          <w:rFonts w:ascii="Times New Roman" w:cs="Times New Roman" w:eastAsia="Times New Roman" w:hAnsi="Times New Roman"/>
          <w:sz w:val="18"/>
          <w:szCs w:val="18"/>
          <w:color w:val="auto"/>
        </w:rPr>
      </w:pPr>
    </w:p>
    <w:p>
      <w:pPr>
        <w:jc w:val="both"/>
        <w:ind w:left="1620" w:right="459" w:firstLine="360"/>
        <w:spacing w:after="0" w:line="266" w:lineRule="auto"/>
        <w:tabs>
          <w:tab w:leader="none" w:pos="23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of America, the payment of which is unconditionally guaranteed as a full faith and credit obligation by the United States of America;</w:t>
      </w:r>
    </w:p>
    <w:p>
      <w:pPr>
        <w:spacing w:after="0" w:line="95"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 xml:space="preserve">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w:t>
      </w:r>
    </w:p>
    <w:p>
      <w:pPr>
        <w:spacing w:after="0" w:line="121"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If we effect covenant defeasance with respect to the notes and the notes are declared due and payable because of the occurrence of any Event of Default other than the Event of Default described in clause</w:t>
      </w:r>
    </w:p>
    <w:p>
      <w:pPr>
        <w:ind w:left="1260" w:right="439"/>
        <w:spacing w:after="0" w:line="252" w:lineRule="auto"/>
        <w:tabs>
          <w:tab w:leader="none" w:pos="152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“Events of Default, Notice and Waiver” with respect to the related covenants, which covenants would no longer be applicable to such notes as a result of the covenant defeasance, the amount in U.S. dollars, and Government Obligations on deposit with the Trustee, will be sufficient to pay amounts due on the notes at the time of their stated maturity but may not be sufficient to pay amounts due on the notes at the time of the acceleration resulting from such Event of Default. We would remain liable, however, to make payment of the amounts due at the time of acceleration.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Indenture is governed by, and construed in accordance with, the laws of the State of New York, and once issued the notes will be as well.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and Form</w:t>
      </w:r>
    </w:p>
    <w:p>
      <w:pPr>
        <w:spacing w:after="0" w:line="14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The notes will be represented initially by one or more permanent notes in registered, global form without interest coupons (the “global notes”). These global notes will be deposited upon issuance with the Trustee as custodian for The Depository Trust Company (the “depositary”) in New York, New York, and registered in the name of the depositary or its nominee, in each case for credit to an account of a direct or indirect participant as described below. Except as set forth below, the global notes may be transferred, in whole and not in part, only to the depositary, a nominee of the depositary or to a successor of the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depositary or its nominee. Beneficial interests in the global notes may not be exchanged for notes in certificated form except in the limited circumstances described below. The Trustee will act as registrar.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Procedures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Depository Trust Company. </w:t>
      </w:r>
      <w:r>
        <w:rPr>
          <w:rFonts w:ascii="Times New Roman" w:cs="Times New Roman" w:eastAsia="Times New Roman" w:hAnsi="Times New Roman"/>
          <w:sz w:val="18"/>
          <w:szCs w:val="18"/>
          <w:color w:val="auto"/>
        </w:rPr>
        <w:t>The depositary has advised us that it is a limited-purpose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created to hold securities for its participating organizations (collectively, the “participants”) and to facilitate the clearance and settlement of transactions in those securities between participants through electronic book-entry changes in accounts of participants. The participants include securities brokers and dealers, banks, trust companies, clearing corporations and certain other organizations. Access to the depositary’s system is also available to other entities such as banks, brokers, dealers and trust companies that clear through or maintain a custodial relationship with a participant, either directly or indirectly (collectively, “indirect participants”). Persons who are not participants may beneficially own securities held by or on behalf of the depositary only through participants or indirect participants. The ownership interest and transfer of ownership interest of each actual purchaser of each security held by or on behalf of the depositary are recorded on the records of the participants and indirect participants.</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also has advised us that pursuant to procedures established by it:</w:t>
      </w:r>
    </w:p>
    <w:p>
      <w:pPr>
        <w:spacing w:after="0" w:line="117" w:lineRule="exact"/>
        <w:rPr>
          <w:sz w:val="20"/>
          <w:szCs w:val="20"/>
          <w:color w:val="auto"/>
        </w:rPr>
      </w:pPr>
    </w:p>
    <w:p>
      <w:pPr>
        <w:ind w:left="1800" w:right="4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the depositary will credit the accounts of participants designated by the underwriters with portions of the principal amount of global notes;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interests in the global notes will be shown on, and the transfer of ownership thereof will be effected only through, records maintained by the depositary with respect to participants or by participants and the indirect participants with respect to other owners of beneficial interest in the global notes.</w:t>
      </w:r>
    </w:p>
    <w:p>
      <w:pPr>
        <w:spacing w:after="0" w:line="3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laws of some states require that certain persons take physical delivery in definitive form of securities that they own. Consequently, the ability to transfer beneficial interest in a global note to such persons may be limited to that extent. Because the depositary can act only on behalf of participants, which in turn act on behalf of indirect participants and certain banks, the ability of a person having a beneficial interest in a global note to pledge such interest to persons or entities that do not participate in the depositary system, or otherwise take actions in respect of such interests, may be affected by the lack of physical certificate evidencing such interests.</w:t>
      </w:r>
    </w:p>
    <w:p>
      <w:pPr>
        <w:spacing w:after="0" w:line="32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0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Payments in respect of the principal of and premium and interest on a global note registered in the name of the depositary or its nominee will be payable by the paying agent to the depositary or its nominee in its capacity as the registered holder of a global note under the Indenture. Under the terms of the Indenture, we and the Trustee will treat the persons in whose names the global notes are registered as the owners thereof for the purpose of receiving such payments and for any and all other purposes whatsoever.</w:t>
      </w:r>
    </w:p>
    <w:p>
      <w:pPr>
        <w:spacing w:after="0" w:line="116"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Consequently, neither we, the Trustee nor any agent of us or the Trustee have or will have any responsibility or liability for:</w:t>
      </w:r>
    </w:p>
    <w:p>
      <w:pPr>
        <w:spacing w:after="0" w:line="54" w:lineRule="exact"/>
        <w:rPr>
          <w:sz w:val="20"/>
          <w:szCs w:val="20"/>
          <w:color w:val="auto"/>
        </w:rPr>
      </w:pPr>
    </w:p>
    <w:p>
      <w:pPr>
        <w:ind w:left="1800" w:right="49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the depositary’s records or any participant’s or indirect participant’s records relating to or payments made on account of beneficial ownership interests in the global notes, or for maintaining, supervising or reviewing any of the depositary’s records or any participant’s or indirect participant’s records relating to the beneficial ownership interests in the global notes; or</w:t>
      </w:r>
    </w:p>
    <w:p>
      <w:pPr>
        <w:spacing w:after="0" w:line="7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the depositary or any of its participants or indirect participants.</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depositary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holdings in principal amount of beneficial interests in the relevant security such as the global notes as shown on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records of the depositary. Payments by participants and the indirect participants to the beneficial owners of notes will be governed by standing instructions and customary practices and will not be the responsibility of the depositary, the Trustee or us. Neither we nor the Trustee will be liable for any delay by the depositary or its participants in identifying the beneficial owners of the notes, and we and the Trustee may rely conclusively on and will be protected in relying on instructions from the depositary or its nominee as the registered owner of the global notes for all purposes.</w:t>
      </w:r>
    </w:p>
    <w:p>
      <w:pPr>
        <w:spacing w:after="0" w:line="11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less than all of the global notes of a series is being redeemed, the depositary’s current practice is to determine by lot the amount of the interest of each participant in such global notes to be redeemed.</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Interests in the global notes will trade in the depositary’s same-day funds settlement system, and secondary market trading activity in such interest will, therefore, settle in immediately available funds, subject in all cases to the rules and procedures of the depositary and its participants. Transfers between participants in the depositary will be effective in accordance with the depositary’s procedures and will be settled in same-day funds.</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depositary has advised us that it will take any action permitted to be taken by a holder of notes only at the direction of one or more participants to whose account the interests in the global notes are credited and only in respect of such portion of the aggregate principal amount of the notes as to which such participant or participants has or have given direction.</w:t>
      </w:r>
    </w:p>
    <w:p>
      <w:pPr>
        <w:spacing w:after="0" w:line="106"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Clearstream. </w:t>
      </w:r>
      <w:r>
        <w:rPr>
          <w:rFonts w:ascii="Times New Roman" w:cs="Times New Roman" w:eastAsia="Times New Roman" w:hAnsi="Times New Roman"/>
          <w:sz w:val="18"/>
          <w:szCs w:val="18"/>
          <w:color w:val="auto"/>
        </w:rPr>
        <w:t>Clearstream is incorporated under the laws of Luxembourg as a professional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32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the depositary for Clearstream.</w:t>
      </w:r>
    </w:p>
    <w:p>
      <w:pPr>
        <w:spacing w:after="0" w:line="105"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Euroclear. </w:t>
      </w:r>
      <w:r>
        <w:rPr>
          <w:rFonts w:ascii="Times New Roman" w:cs="Times New Roman" w:eastAsia="Times New Roman" w:hAnsi="Times New Roman"/>
          <w:sz w:val="18"/>
          <w:szCs w:val="18"/>
          <w:color w:val="auto"/>
        </w:rPr>
        <w:t>Euroclear was created in 1968 to hold securities for participants of Euroclear (“Euroclear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and to clear and settle transactions between Euroclear Participants through simultaneous electronic book -entry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“Euroclear Operator”), under contract with Euroclear plc, a U.K. corporation. All operations are conducted by the Euroclear Operator, and all Euroclear securities clearance accounts and Euroclear cash accounts are accounts with the Euroclear Operator, not Euroclear plc. Euroclear plc establishes policy for Euroclear on behalf of Euroclear Participants. Euroclear Participants include banks (including central banks), securities brokers and dealers and other professional financial intermediaries and may include the underwriters or other affiliates.</w:t>
      </w:r>
    </w:p>
    <w:p>
      <w:pPr>
        <w:spacing w:after="0" w:line="33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Indirect access to Euroclear is also available to other firms that clear through or maintain a custodial relationship with a Euroclear Participant, either directly or indirectly.</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Euroclear Operator is regulated and examined by the Belgian Banking and Finance Commission.</w:t>
      </w:r>
    </w:p>
    <w:p>
      <w:pPr>
        <w:spacing w:after="0" w:line="15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Links have been established among the depositary, Clearstream and Euroclear to facilitate the initial issuance of the notes sold outside the United States and cross-market transfers of the notes associated with secondary market trading.</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Although the depositary, Clearstream and Euroclear have agreed to the procedures provided below in order to facilitate transfers, they are under no obligation to perform these procedures, and these procedures may be modified or discontinued at any time.</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Clearstream and Euroclear will record the ownership interests of their participants in much the same way as the depositary, and the depositary will record the total ownership of each of the U.S. agents of Clearstream and Euroclear, as participants in the depositary. When notes are to be transferred from the account of a depositary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notes against payment. After settlement, Clearstream or Euroclear will credit its participant’s account. Credit for the notes will appear on the next day (European time).</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Because settlement is taking place during New York business hours, depositary participants will be able to employ their usual procedures for sending notes to the relevant U.S. agent acting for the benefit of Clearstream or Euroclear participants. The sale proceeds will be available to the depositary seller on the settlement date. As a result, to the depositary participant, a cross-market transaction will settle no differently than a trade between two depositary participants.</w:t>
      </w:r>
    </w:p>
    <w:p>
      <w:pPr>
        <w:spacing w:after="0" w:line="10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When a Clearstream or Euroclear participant wishes to transfer notes to a depositary participant, the seller will be required to send instructions to Clearstream or Euroclear through a participant at least one business day prior to settlement. In these cases, Clearstream or Euroclear will instruct its U.S. agent to transfer these notes against payment for them. The payment will then be reflected in the account of the Clearstream or Euroclear participant the following day, with the proceeds back-valued to the value date, which would be the preceding day, when settlement occurs in New York. If settlement is not completed on the intended value date, that is, the trade fails, proceeds credited to the Clearstream or Euroclear participant’s account will instead be valued as of the actual settlement date.</w:t>
      </w:r>
    </w:p>
    <w:p>
      <w:pPr>
        <w:spacing w:after="0" w:line="12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w:t>
      </w:r>
    </w:p>
    <w:p>
      <w:pPr>
        <w:spacing w:after="0" w:line="12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information in this section concerning the depositary, Clearstream and Euroclear and their book-entry systems has been obtained from sources that we believe to be reliable, but neither we nor any underwriter takes any responsibility for the accuracy or completeness thereof. None of us, the underwriters or the Trustee will have any responsibility for the performance by the depositary, Clearstream and Euroclear or their respective participants or indirect participants of their respective obligations under the rules and procedures governing their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Book-Entry Notes for Certificated Notes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of the same series:</w:t>
      </w:r>
    </w:p>
    <w:p>
      <w:pPr>
        <w:spacing w:after="0" w:line="117"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w:t>
      </w:r>
    </w:p>
    <w:p>
      <w:pPr>
        <w:spacing w:after="0" w:line="117" w:lineRule="exact"/>
        <w:rPr>
          <w:rFonts w:ascii="Times New Roman" w:cs="Times New Roman" w:eastAsia="Times New Roman" w:hAnsi="Times New Roman"/>
          <w:sz w:val="18"/>
          <w:szCs w:val="18"/>
          <w:color w:val="auto"/>
        </w:rPr>
      </w:pPr>
    </w:p>
    <w:p>
      <w:pPr>
        <w:ind w:left="1980" w:right="979" w:hanging="180"/>
        <w:spacing w:after="0" w:line="282" w:lineRule="auto"/>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notifies us that it is unwilling or unable to continue as depositary for the global note and we thereupon fail to appoint a successor depositary within 90 days after this notice; or</w:t>
      </w:r>
    </w:p>
    <w:p>
      <w:pPr>
        <w:spacing w:after="0" w:line="53" w:lineRule="exact"/>
        <w:rPr>
          <w:rFonts w:ascii="Times New Roman" w:cs="Times New Roman" w:eastAsia="Times New Roman" w:hAnsi="Times New Roman"/>
          <w:sz w:val="18"/>
          <w:szCs w:val="18"/>
          <w:color w:val="auto"/>
        </w:rPr>
      </w:pPr>
    </w:p>
    <w:p>
      <w:pPr>
        <w:ind w:left="1980" w:hanging="180"/>
        <w:spacing w:after="0"/>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a clearing agency registered under the Exchange Act;</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continuance of an Event of Default under the Indenture in respect of the notes;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at our option and subject to the procedures of the depositary, notify the Trustee in writing that we elect to cause issuance of such notes in certificated form.</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addition, beneficial interests in a global note may be exchanged for certificated notes of the same series upon request but only upon at least 30 days’ prior written notice given to the Trustee by or on behalf of the depositary in accordance with customary procedures. In all cases, certificated notes delivered in exchange for any global note or beneficial interest therein will be registered in names, and issued of the same series in any approved denominations, requested by or on behalf of the depositary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BofA Securities, Inc., Deutsche Bank Securities Inc., Goldman Sachs &amp; Co. LLC and RBC Capital Markets, LLC are acting as representatives of the underwriters named below. Subject to the terms and conditions stated in the underwriting agreement dated the date of this prospectus supplement, each underwriter named below has severally and not jointly agreed to purchase, and we have agreed to sell to that underwriter, the principal amount of the notes set forth opposite the underwriter’s name.</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20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Amount of Notes </w:t>
            </w:r>
            <w:r>
              <w:rPr>
                <w:rFonts w:ascii="Times New Roman" w:cs="Times New Roman" w:eastAsia="Times New Roman" w:hAnsi="Times New Roman"/>
                <w:sz w:val="24"/>
                <w:szCs w:val="24"/>
                <w:b w:val="1"/>
                <w:bCs w:val="1"/>
                <w:color w:val="auto"/>
                <w:vertAlign w:val="subscript"/>
              </w:rPr>
              <w:t>​</w:t>
            </w:r>
          </w:p>
        </w:tc>
      </w:tr>
      <w:tr>
        <w:trPr>
          <w:trHeight w:val="25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98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98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98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right w:val="single" w:sz="8" w:color="CCEEFF"/>
            </w:tcBorders>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-882650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w:t>
      </w:r>
    </w:p>
    <w:p>
      <w:pPr>
        <w:spacing w:after="0" w:line="11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or to contribute to payments the underwriters may be required to make in respect of those liabilities.</w:t>
      </w:r>
    </w:p>
    <w:p>
      <w:pPr>
        <w:spacing w:after="0" w:line="95"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set forth on the cover page of this prospectus supplement. After the initial offering, the underwriters may change the public offering price and other selling terms for the notes.</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have agreed to provide to the underwriters in connection with this offering (expressed as a percentage of the principal amount of the notes).</w:t>
      </w:r>
    </w:p>
    <w:tbl>
      <w:tblPr>
        <w:tblLayout w:type="fixed"/>
        <w:tblInd w:w="1620" w:type="dxa"/>
        <w:tblCellMar>
          <w:top w:w="0" w:type="dxa"/>
          <w:left w:w="0" w:type="dxa"/>
          <w:bottom w:w="0" w:type="dxa"/>
          <w:right w:w="0" w:type="dxa"/>
        </w:tblCellMar>
      </w:tblPr>
      <w:tr>
        <w:trPr>
          <w:trHeight w:val="364"/>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Paid by Us </w:t>
            </w:r>
            <w:r>
              <w:rPr>
                <w:rFonts w:ascii="Times New Roman" w:cs="Times New Roman" w:eastAsia="Times New Roman" w:hAnsi="Times New Roman"/>
                <w:sz w:val="28"/>
                <w:szCs w:val="28"/>
                <w:b w:val="1"/>
                <w:bCs w:val="1"/>
                <w:color w:val="auto"/>
                <w:vertAlign w:val="subscript"/>
              </w:rPr>
              <w:t>​</w:t>
            </w:r>
          </w:p>
        </w:tc>
      </w:tr>
      <w:tr>
        <w:trPr>
          <w:trHeight w:val="263"/>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3200" w:type="dxa"/>
            <w:vAlign w:val="bottom"/>
            <w:tcBorders>
              <w:top w:val="single" w:sz="8" w:color="CCEEFF"/>
            </w:tcBorders>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tcBorders>
            <w:shd w:val="clear" w:color="auto" w:fill="CCEEFF"/>
          </w:tcPr>
          <w:p>
            <w:pPr>
              <w:ind w:lef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311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2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expenses of this offering, excluding the underwriting discount, are estimated at approximately $            and will be paid by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this offering. However, they are under no obligation to do so and may discontinue any market-making activities at any time without any notice. We cannot assure you that an active public trading market for the notes will develop or be maintained or be liquid. If an active public trading market for the notes does not develop or is not maintained, the market price and liquidity of the notes may be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the notes to be purchased by the underwriters in this offering, which creates a syndicate short position. Syndicate covering transactions involve purchases of notes in the open market after the distribution of the notes has been completed in order to cover syndicate short positions. Stabilizing transactions consist of certain bids or purchases of notes made for the purpose of preventing or retarding a decline in the market price of the notes while the offering of the notes is in progress.</w:t>
      </w:r>
    </w:p>
    <w:p>
      <w:pPr>
        <w:spacing w:after="0" w:line="12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9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Any of these activities may have the effect of raising or maintaining the market price of the notes or preventing or retarding a decline in the market price of the notes. As a result, the price of the notes may be higher than the price that might otherwise exist in the open market in the absence of these transactions. The underwriters may conduct these transactions in the over-the-counter market or otherwise. If the underwriters commence any of these transactions, they may discontinue them at any time without notice.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Extended Settlement</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delivery of the notes will be made against payment therefor on or about the settlement date specified on the cover page of this prospectus supplement, which will be the            business day following the date of pricing of the notes (such settlement cycle being referred to herein as “T+  ”). Under Rule 15c6-1 under the Exchange Act,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in T+  , to specify an alternate settlement cycle at the time of any such trade to prevent a failed settlement. Purchasers of the notes who wish to trade the notes prior to such date should consult their advisors.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Certain of the underwriters and affiliates of certain of the underwriters may be holders of our 2026 Notes. Because we intend to use the net proceeds of this offering to repay our 2026 Notes, any such underwriter or its affiliates may receive more than 5% of the proceeds of this offering (not including the underwriting discount). In such event, such underwriters(s) would have a “conflict of interest” pursuant to FINRA Rule 5121 and, in compliance with FINRA Rule 5121, will not confirm sales to accounts in which it exercises discretionary authority without the prior written consent of the customer. However, because the notes are investment grade rated, no “qualified independent underwriter” is required to be appointed in connection with this offering.</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have performed, and expect in the future to perform, investment banking and advisory services for which they have received, and may continue to receive, customary fees and expenses, and affiliates of the underwriters have performed, and expect in the future to perform, commercial lending services, for us and our affiliates from time to time.</w:t>
      </w:r>
    </w:p>
    <w:p>
      <w:pPr>
        <w:spacing w:after="0" w:line="12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Affiliates of certain of the underwriters are lenders under various financial arrangements extended to us or our affiliates, including our $5.0 billion senior unsecured revolving credit facility and our $3.5 billion unsecured revolving credit facility.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the future trading price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of the notes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such purchaser’s province or territory. Such purchaser should refer to any applicable provisions of the securities legislation of the purchaser’s province or territory for particulars of these rights or consult with a legal advisor.</w:t>
      </w:r>
    </w:p>
    <w:p>
      <w:pPr>
        <w:spacing w:after="0" w:line="325"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and any related free writing prospectus is a prospectus for the purposes of Regulation (EU) 2017/ 1129, as amended (the “Prospectus 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Simon Property Group, L.P. nor the underwriters have authorized, nor do they authorize, the making of any offer of notes in the EEA other than to EEA Qualified Investors.</w:t>
      </w:r>
    </w:p>
    <w:p>
      <w:pPr>
        <w:spacing w:after="0" w:line="325" w:lineRule="exact"/>
        <w:rPr>
          <w:sz w:val="20"/>
          <w:szCs w:val="20"/>
          <w:color w:val="auto"/>
        </w:rPr>
      </w:pPr>
    </w:p>
    <w:p>
      <w:pPr>
        <w:jc w:val="both"/>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PROHIBITION OF SALES TO EEA RETAIL INVESTORS</w:t>
      </w:r>
      <w:r>
        <w:rPr>
          <w:rFonts w:ascii="Times New Roman" w:cs="Times New Roman" w:eastAsia="Times New Roman" w:hAnsi="Times New Roman"/>
          <w:sz w:val="18"/>
          <w:szCs w:val="18"/>
          <w:color w:val="auto"/>
        </w:rPr>
        <w:t> — The notes are not intended to be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or otherwise made 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w:t>
      </w:r>
    </w:p>
    <w:p>
      <w:pPr>
        <w:spacing w:after="0" w:line="2" w:lineRule="exact"/>
        <w:rPr>
          <w:sz w:val="20"/>
          <w:szCs w:val="20"/>
          <w:color w:val="auto"/>
        </w:rPr>
      </w:pPr>
    </w:p>
    <w:p>
      <w:pPr>
        <w:ind w:left="1260" w:right="559"/>
        <w:spacing w:after="0" w:line="258" w:lineRule="auto"/>
        <w:tabs>
          <w:tab w:leader="none" w:pos="15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where that customer would not qualify as a professional client as defined in point (10) of Article 4(1) of MiFID II; or</w:t>
      </w: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 EEA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and any related free writing prospectus is a prospectus for the purposes of Regulation (EU) 2017/1129 as it forms part of domestic law in the United Kingdom (the “UK Prospectus Regulation”). This prospectus supplement, the accompanying prospectus and any related free writing prospectus have been prepared on the basis that any offer of notes in the United Kingdom will only be made to a legal entity which is a qualified investor under the UK Prospectus Regulation (each, a “UK Qualified Investor”) .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Simon Property Group, L.P. nor the underwriters have authorized, nor do they authorize, the making of any offer of notes in the United Kingdom other than to UK Qualified Investors.</w:t>
      </w:r>
    </w:p>
    <w:p>
      <w:pPr>
        <w:spacing w:after="0" w:line="322" w:lineRule="exact"/>
        <w:rPr>
          <w:sz w:val="20"/>
          <w:szCs w:val="20"/>
          <w:color w:val="auto"/>
        </w:rPr>
      </w:pPr>
    </w:p>
    <w:p>
      <w:pPr>
        <w:ind w:left="1260" w:right="53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PROHIBITION OF SALES TO UNITED KINGDOM RETAIL INVESTORS — </w:t>
      </w:r>
      <w:r>
        <w:rPr>
          <w:rFonts w:ascii="Times New Roman" w:cs="Times New Roman" w:eastAsia="Times New Roman" w:hAnsi="Times New Roman"/>
          <w:sz w:val="18"/>
          <w:szCs w:val="18"/>
          <w:color w:val="auto"/>
        </w:rPr>
        <w:t>The notes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be offered, sold or otherwise made available to and should not be offered, sold or otherwise made available to any retail investor in the United Kingdom. For these purposes, (a) a “retail investor” means a person who is one (or more) of: (i) a retail client, as defined in point (8) of Article 2 of Regulation (EU) No 2017/565 as it forms part of domestic law in the United Kingdom; or (ii) a customer within the meaning of the provisions of the United Kingdom’s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of the United Kingdom; or (iii) not a UK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in the United Kingdom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337"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notes in, from or otherwise involving the United Kingdom.</w:t>
      </w:r>
    </w:p>
    <w:p>
      <w:pPr>
        <w:spacing w:after="0" w:line="9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Simon Property Group, L.P.</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Promotion Order”)), (ii) fall within Article 49(2)(a) to (d) of the Financial Promotion Order,</w:t>
      </w:r>
    </w:p>
    <w:p>
      <w:pPr>
        <w:spacing w:after="0" w:line="27" w:lineRule="exact"/>
        <w:rPr>
          <w:sz w:val="20"/>
          <w:szCs w:val="20"/>
          <w:color w:val="auto"/>
        </w:rPr>
      </w:pPr>
    </w:p>
    <w:p>
      <w:pPr>
        <w:ind w:left="1260" w:right="519"/>
        <w:spacing w:after="0" w:line="241" w:lineRule="auto"/>
        <w:tabs>
          <w:tab w:leader="none" w:pos="15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outside the United Kingdom, or (iv) are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France</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Neither this prospectus supplement or any other offering material relating to the notes described in this prospectus supplement nor the accompanying prospectus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notes have not been offered or sold, and will not be offered or sold, directly or indirectly, to the public in France. Neither this prospectus supplement or any other offering material relating to the notes nor the accompanying prospectus has been or will be:</w:t>
      </w:r>
    </w:p>
    <w:p>
      <w:pPr>
        <w:spacing w:after="0" w:line="271"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02" w:lineRule="exact"/>
        <w:rPr>
          <w:sz w:val="20"/>
          <w:szCs w:val="20"/>
          <w:color w:val="auto"/>
        </w:rPr>
      </w:pPr>
    </w:p>
    <w:p>
      <w:pPr>
        <w:ind w:left="1800" w:right="51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restreint d’investisseurs</w:t>
      </w:r>
      <w:r>
        <w:rPr>
          <w:rFonts w:ascii="Times New Roman" w:cs="Times New Roman" w:eastAsia="Times New Roman" w:hAnsi="Times New Roman"/>
          <w:sz w:val="18"/>
          <w:szCs w:val="18"/>
          <w:color w:val="auto"/>
        </w:rPr>
        <w:t>), in each case investing for their own account, all as defined in,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articles L.411-2, D.411-1, D.411-2, D.734-1, D.744-1, D.754-1 and D.764-1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26"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L.411-2-II-1°-or-2°-or 3° of the French Code </w:t>
      </w:r>
      <w:r>
        <w:rPr>
          <w:rFonts w:ascii="Times New Roman" w:cs="Times New Roman" w:eastAsia="Times New Roman" w:hAnsi="Times New Roman"/>
          <w:sz w:val="18"/>
          <w:szCs w:val="18"/>
          <w:i w:val="1"/>
          <w:iCs w:val="1"/>
          <w:color w:val="auto"/>
        </w:rPr>
        <w:t xml:space="preserve">monétaire et financier </w:t>
      </w:r>
      <w:r>
        <w:rPr>
          <w:rFonts w:ascii="Times New Roman" w:cs="Times New Roman" w:eastAsia="Times New Roman" w:hAnsi="Times New Roman"/>
          <w:sz w:val="18"/>
          <w:szCs w:val="18"/>
          <w:color w:val="auto"/>
        </w:rPr>
        <w:t>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the 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appel public à l’épargne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(i) to “professional investors” as defined in the Securities and Futures Ordinance (Cap. 571) of Hong Kong (the “SFO”) and any rules made under the SFO, or (ii) in other circumstances which do not result in the document being a “prospectus” within the meaning of the Companies (Winding Up and Miscellaneous Provisions) Ordinance (Cap. 32) of Hong Kong (the “C(WUMP)O”) or which do not constitute an offer to the public within the meaning of the C(WUMP)O; and 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under the SFO.</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has been or will be registered as a prospectus under the Securities and Futures Act 2001 (the “SFA”) by the Monetary Authority of Singapore,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and the offer of the notes in Singapore is made primarily pursuant to the exemptions under Section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3" w:lineRule="exact"/>
        <w:rPr>
          <w:sz w:val="20"/>
          <w:szCs w:val="20"/>
          <w:color w:val="auto"/>
        </w:rPr>
      </w:pPr>
    </w:p>
    <w:p>
      <w:pPr>
        <w:ind w:left="1260" w:right="559"/>
        <w:spacing w:after="0"/>
        <w:tabs>
          <w:tab w:leader="none" w:pos="14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w:t>
      </w:r>
    </w:p>
    <w:p>
      <w:pPr>
        <w:ind w:left="1260" w:right="819"/>
        <w:spacing w:after="0" w:line="243" w:lineRule="auto"/>
        <w:tabs>
          <w:tab w:leader="none" w:pos="15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exemption or provision of the SFA.</w:t>
      </w:r>
    </w:p>
    <w:p>
      <w:pPr>
        <w:spacing w:after="0" w:line="11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the notes are subscribed for or acquired pursuant to an offer made in reliance on Section 275 of the SFA by a Relevant Person which is:</w:t>
      </w:r>
    </w:p>
    <w:p>
      <w:pPr>
        <w:spacing w:after="0" w:line="81" w:lineRule="exact"/>
        <w:rPr>
          <w:sz w:val="20"/>
          <w:szCs w:val="20"/>
          <w:color w:val="auto"/>
        </w:rPr>
      </w:pPr>
    </w:p>
    <w:p>
      <w:pPr>
        <w:ind w:left="1620" w:right="439" w:firstLine="360"/>
        <w:spacing w:after="0" w:line="250" w:lineRule="auto"/>
        <w:tabs>
          <w:tab w:leader="none" w:pos="23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w:t>
      </w:r>
    </w:p>
    <w:p>
      <w:pPr>
        <w:spacing w:after="0" w:line="96" w:lineRule="exact"/>
        <w:rPr>
          <w:rFonts w:ascii="Times New Roman" w:cs="Times New Roman" w:eastAsia="Times New Roman" w:hAnsi="Times New Roman"/>
          <w:sz w:val="18"/>
          <w:szCs w:val="18"/>
          <w:color w:val="auto"/>
        </w:rPr>
      </w:pPr>
    </w:p>
    <w:p>
      <w:pPr>
        <w:ind w:left="1980" w:right="679" w:firstLine="360"/>
        <w:spacing w:after="0" w:line="258" w:lineRule="auto"/>
        <w:tabs>
          <w:tab w:leader="none" w:pos="27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101"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Singapore SFA Product Classification — 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the Dubai Financial Services Authority or any other relevant licensing authority in the United Arab Emirates.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Markets Rules (MKT) Module of the Dubai Financial Services Authority (“DFSA”). This prospectus supplement and the accompanying prospectus are intended for distribution only to persons who meet the Professional Client criteria set out in Rule 2.3 of the Conduct of Business Module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or therein and has no responsibility for this prospectus supplement and the accompanying prospectus. The securities to which this prospectus supplement and the accompanying prospectus relate may be illiquid and/or subject to restrictions on their resale. Prospective purchasers of the notes offered hereby should conduct their own due diligence on the notes. If you do not understand the contents of this prospectus supplement and the accompanying prospectus, you should consult an authorized financial advisor.</w:t>
      </w:r>
    </w:p>
    <w:p>
      <w:pPr>
        <w:spacing w:after="0" w:line="12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relation to their use in the Dubai International Financial Centre,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Dubai International Financial Centre.</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validity of the notes and certain U.S. federal income tax matters will be passed upon for us by Latham &amp; Watkins LLP, Los Angeles, California. Barnes &amp; Thornburg LLP, Indianapolis, Indiana, will act as special Indiana counsel for us in this offering. Sidley Austin LLP, New York, New York, will act as counsel to the underwriters in this offering.</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Ernst &amp; Young LLP, independent registered public accounting firm, has audited the consolidated financial statements and schedule of Simon Property Group, L.P., included in its Annual Report on </w:t>
      </w:r>
      <w:hyperlink r:id="rId9">
        <w:r>
          <w:rPr>
            <w:rFonts w:ascii="Times New Roman" w:cs="Times New Roman" w:eastAsia="Times New Roman" w:hAnsi="Times New Roman"/>
            <w:sz w:val="18"/>
            <w:szCs w:val="18"/>
            <w:u w:val="single" w:color="auto"/>
            <w:color w:val="0000EE"/>
          </w:rPr>
          <w:t>Form 10-K for the year ended December 31,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effectiveness of Simon Property Group, L.P.’s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internal control over financial reporting as of December 31, 2024, as set forth in their reports, which are incorporated by reference in this prospectus supplement and elsewhere in the registration statement. These financial statements and schedule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131445</wp:posOffset>
            </wp:positionV>
            <wp:extent cx="2117090" cy="840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1170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32"/>
          <w:szCs w:val="32"/>
          <w:b w:val="1"/>
          <w:bCs w:val="1"/>
          <w:color w:val="auto"/>
        </w:rPr>
        <w:t>SIMON PROPERTY GROUP, L.P.</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under a “shelf” registration or continuous offering process. We may offer the non-convertible debt securities described in this prospectus in one or more offerings. The debt securities will be our direct unsecured obligations and will rank equally with all of our other unsecured and unsubordinated indebtedness. We may offer the debt securities separately or together, in separate series and in amounts, at prices and on terms described in one or more supplements to this prospectus and other offering material.</w:t>
      </w:r>
    </w:p>
    <w:p>
      <w:pPr>
        <w:spacing w:after="0" w:line="12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may offer and sell these debt securities to or through one or more underwriters, dealers and agents, or directly to purchasers, on a continuous or delayed basis.</w:t>
      </w:r>
    </w:p>
    <w:p>
      <w:pPr>
        <w:spacing w:after="0" w:line="9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debt securities. The specific terms of any debt securities to be offered, and any other information relating to a specific offering, will be set forth in a post-effective amendment to the registration statement of which this prospectus is a part, in a supplement to this prospectus or in other offering material related to the debt securities or may be set forth in one or more documents incorporated by reference in this prospectus.</w:t>
      </w:r>
    </w:p>
    <w:p>
      <w:pPr>
        <w:spacing w:after="0" w:line="116"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 should read carefully both this prospectus and any prospectus supplement or other offering material before you make a decision to invest. This prospectus may be used to offer and sell debt securities only if accompanied by a prospectus supplement.</w:t>
      </w:r>
    </w:p>
    <w:p>
      <w:pPr>
        <w:spacing w:after="0" w:line="91" w:lineRule="exact"/>
        <w:rPr>
          <w:sz w:val="20"/>
          <w:szCs w:val="20"/>
          <w:color w:val="auto"/>
        </w:rPr>
      </w:pPr>
    </w:p>
    <w:p>
      <w:pPr>
        <w:jc w:val="both"/>
        <w:ind w:left="1260" w:right="9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39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The date of this prospectus is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2884805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WE 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BEING OFFERED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DISCLOSURE OF COMMISSION POSITION ON INDEMNIFICATION FOR SECURITIES ACT</w:t>
      </w:r>
    </w:p>
    <w:p>
      <w:pPr>
        <w:spacing w:after="0" w:line="23" w:lineRule="exact"/>
        <w:rPr>
          <w:sz w:val="20"/>
          <w:szCs w:val="20"/>
          <w:color w:val="auto"/>
        </w:rPr>
      </w:pPr>
    </w:p>
    <w:p>
      <w:pPr>
        <w:ind w:left="1440" w:hanging="180"/>
        <w:spacing w:after="0"/>
        <w:tabs>
          <w:tab w:leader="none" w:pos="1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LIABILITIES</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INFORMATION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14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14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780" w:space="340"/>
            <w:col w:w="75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08" w:lineRule="exact"/>
        <w:rPr>
          <w:sz w:val="20"/>
          <w:szCs w:val="20"/>
          <w:color w:val="auto"/>
        </w:rPr>
      </w:pPr>
    </w:p>
    <w:p>
      <w:pPr>
        <w:ind w:left="1260" w:right="419" w:firstLine="360"/>
        <w:spacing w:after="0" w:line="23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and any other offering material may also add to, update or change information contained in the prospectus or in documents we have incorporated by reference into this prospectus and, accordingly, to the extent inconsistent, information in or incorporated by reference in this prospectus is superseded by the information in the prospectus supplement and any other offering material related to such securities.</w:t>
      </w:r>
    </w:p>
    <w:p>
      <w:pPr>
        <w:spacing w:after="0" w:line="80"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from that contained or incorporated by reference in this prospectus.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securities.</w:t>
      </w:r>
    </w:p>
    <w:p>
      <w:pPr>
        <w:spacing w:after="0" w:line="18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file annual, quarterly and current reports and proxy statements and other information with the Securities and Exchange Commission, or the SEC. Our SEC filings are also available over the Internet at the SEC’s website at http://www.sec.gov.</w:t>
      </w:r>
    </w:p>
    <w:p>
      <w:pPr>
        <w:spacing w:after="0" w:line="5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We have filed a registration statement on Form S-3 with the SEC covering the securities that may be sold under this prospectus. For further information on us, our affiliates and the securities being offered,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w:t>
      </w:r>
    </w:p>
    <w:p>
      <w:pPr>
        <w:spacing w:after="0" w:line="37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0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We are a majority-owned operating partnership subsidiary of Simon Property Group, Inc. (“Simon Property”), which has elected to be treated as a real estate investment trust, or REIT, for U.S. federal income tax purposes. Simon Property’s common stock is listed on the New York Stock Exchange under the symbol “SPG.”</w:t>
      </w:r>
    </w:p>
    <w:p>
      <w:pPr>
        <w:spacing w:after="0" w:line="270" w:lineRule="exact"/>
        <w:rPr>
          <w:sz w:val="20"/>
          <w:szCs w:val="20"/>
          <w:color w:val="auto"/>
        </w:rPr>
      </w:pPr>
    </w:p>
    <w:p>
      <w:pPr>
        <w:ind w:left="1260" w:right="519" w:firstLine="360"/>
        <w:spacing w:after="0" w:line="208" w:lineRule="auto"/>
        <w:rPr>
          <w:sz w:val="20"/>
          <w:szCs w:val="20"/>
          <w:color w:val="auto"/>
        </w:rPr>
      </w:pPr>
      <w:r>
        <w:rPr>
          <w:rFonts w:ascii="Times New Roman" w:cs="Times New Roman" w:eastAsia="Times New Roman" w:hAnsi="Times New Roman"/>
          <w:sz w:val="18"/>
          <w:szCs w:val="18"/>
          <w:color w:val="auto"/>
        </w:rPr>
        <w:t>We own, develop and manage premier shopping, dining, entertainment and mixed-use destinations, which consist primarily of malls, Premium Outlets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The Mills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of September 30, 2025, we owned</w:t>
      </w:r>
    </w:p>
    <w:p>
      <w:pPr>
        <w:ind w:left="1260" w:right="499"/>
        <w:spacing w:after="0"/>
        <w:rPr>
          <w:sz w:val="20"/>
          <w:szCs w:val="20"/>
          <w:color w:val="auto"/>
        </w:rPr>
      </w:pPr>
      <w:r>
        <w:rPr>
          <w:rFonts w:ascii="Times New Roman" w:cs="Times New Roman" w:eastAsia="Times New Roman" w:hAnsi="Times New Roman"/>
          <w:sz w:val="18"/>
          <w:szCs w:val="18"/>
          <w:color w:val="auto"/>
        </w:rPr>
        <w:t>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 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w:t>
      </w:r>
    </w:p>
    <w:p>
      <w:pPr>
        <w:spacing w:after="0" w:line="187"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We were formed on November 18, 1993 as a Delaware limited partnership. Simon Property is our sole general partner. Our principal executive offices are located at 225 West Washington Street, Indianapolis, Indiana 46204. Our telephone number is (317) 636-1600. Our Internet website address is www.simon.com. The information in our website is not a part of, or incorporated by reference into, this prospectus.</w:t>
      </w:r>
    </w:p>
    <w:p>
      <w:pPr>
        <w:spacing w:after="0" w:line="63"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If you want to find more information about us, please see the sections entitled “Where You Can Find More Information” and “Incorporation of Information We File with the SEC” in this prospectus.</w:t>
      </w:r>
    </w:p>
    <w:p>
      <w:pPr>
        <w:spacing w:after="0" w:line="54" w:lineRule="exact"/>
        <w:rPr>
          <w:sz w:val="20"/>
          <w:szCs w:val="20"/>
          <w:color w:val="auto"/>
        </w:rPr>
      </w:pPr>
    </w:p>
    <w:p>
      <w:pPr>
        <w:ind w:left="1260" w:right="639" w:firstLine="360"/>
        <w:spacing w:after="0" w:line="242" w:lineRule="auto"/>
        <w:rPr>
          <w:sz w:val="20"/>
          <w:szCs w:val="20"/>
          <w:color w:val="auto"/>
        </w:rPr>
      </w:pPr>
      <w:r>
        <w:rPr>
          <w:rFonts w:ascii="Times New Roman" w:cs="Times New Roman" w:eastAsia="Times New Roman" w:hAnsi="Times New Roman"/>
          <w:sz w:val="18"/>
          <w:szCs w:val="18"/>
          <w:color w:val="auto"/>
        </w:rPr>
        <w:t>In this prospectus, the “Operating Partnership” and the terms “we,” “us” and “our” refer to Simon Property Group, L.P. and its subsidiaries. “Simon Property” refers specifically to our sole general partner, Simon Property Group, Inc.</w:t>
      </w:r>
    </w:p>
    <w:p>
      <w:pPr>
        <w:spacing w:after="0" w:line="3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expect to use the net proceeds from the sale of debt securities for general business purposes, unless otherwise specified in the prospectus supplement relating to a specific offering. Our general business purposes may include repaying debt, financing capital commitments and financing future acquisitions. If we decide to use the net proceeds from an offering in some other way, we will describe the use of the net proceeds in the prospectus supplement for that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SECURITIES BEING OFFERED</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securities offered by this prospectus will be debt securities issued under an Indenture dated as of November 26, 1996, or the Indenture, among us, The Bank of New York Mellon Trust Company, N.A. (as successor to The Chase Manhattan Bank), as trustee, and a former affiliate, as guarantor. The former affiliate was subsequently merged into the Operating Partnership.</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used in this prospectus, “debt securities” means the debt securities that we issue and that the trustee authenticates under the Indenture. Capitalized terms used but not defined under this prospectus have the meanings given to them in the Indenture.</w:t>
      </w:r>
    </w:p>
    <w:p>
      <w:pPr>
        <w:spacing w:after="0" w:line="9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have summarized material terms and provisions of the Indenture below. The following summary is not complete and is subject to, and qualified in its entirety by reference to, all provisions of the Indenture. We have included references to section numbers of the Indenture so that you can easily locate the summarized provisions. If you would like more information on any of these provisions, you should read the relevant sections of the Indenture. We have included a copy of the Indenture as an exhibit to our registration statement relating to the debt securities. See “Where You Can Find More Information.”</w:t>
      </w:r>
    </w:p>
    <w:p>
      <w:pPr>
        <w:spacing w:after="0" w:line="12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debt securities will not be convertible into or exchangeable for any capital stock of Simon Property or any equity interest in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the Debt Securities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we may issue under it. We may issue debt securities from time to time, without limit as to aggregate principal amount and in one or more series. The terms of each series of debt securities will be established in a resolution of the board of directors of our general partner or in one or more supplemental indentures. Without the consent of the holders of the debt securities, we may issue multiple series of debt securities with different terms or “reopen” a previous series of debt securities and issue additional debt securities of that series.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The terms of the debt securities include those provisions contained in the Indenture, the supplemental indenture relating to a series of debt securities and those made a part of the Indenture by reference to the Trust Indenture Act of 1939.</w:t>
      </w:r>
    </w:p>
    <w:p>
      <w:pPr>
        <w:spacing w:after="0" w:line="111"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being offered will include the specific terms of those debt securities and may include modifications of or additions to the general terms described in this prospectus. The specific terms will include:</w:t>
      </w:r>
    </w:p>
    <w:p>
      <w:pPr>
        <w:spacing w:after="0" w:line="68"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and whether there is any limit on the aggregate principal amount that we may subsequently issue;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payable whether at maturity or upon earlier acceleration, and whether the principal amount will be determined with reference to an index, formula or other method;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will be payable, or the manner in which the payment date or dates will be determined;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bear interest at a fixed or variable rate or not at all and, as applicable: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the manner in which the interest rate is determined,</w:t>
      </w:r>
    </w:p>
    <w:p>
      <w:pPr>
        <w:spacing w:after="0" w:line="117"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for determining such date or dates,</w:t>
      </w:r>
    </w:p>
    <w:p>
      <w:pPr>
        <w:spacing w:after="0" w:line="53" w:lineRule="exact"/>
        <w:rPr>
          <w:rFonts w:ascii="Times New Roman" w:cs="Times New Roman" w:eastAsia="Times New Roman" w:hAnsi="Times New Roman"/>
          <w:sz w:val="18"/>
          <w:szCs w:val="18"/>
          <w:color w:val="auto"/>
        </w:rPr>
      </w:pPr>
    </w:p>
    <w:p>
      <w:pPr>
        <w:ind w:left="2160" w:right="619" w:hanging="180"/>
        <w:spacing w:after="0" w:line="282" w:lineRule="auto"/>
        <w:tabs>
          <w:tab w:leader="none" w:pos="2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shall be calculated if other than a 360-day year of twelve 30-day months,</w:t>
      </w:r>
    </w:p>
    <w:p>
      <w:pPr>
        <w:spacing w:after="0" w:line="53" w:lineRule="exact"/>
        <w:rPr>
          <w:rFonts w:ascii="Times New Roman" w:cs="Times New Roman" w:eastAsia="Times New Roman" w:hAnsi="Times New Roman"/>
          <w:sz w:val="18"/>
          <w:szCs w:val="18"/>
          <w:color w:val="auto"/>
        </w:rPr>
      </w:pPr>
    </w:p>
    <w:p>
      <w:pPr>
        <w:ind w:left="2160" w:right="1239" w:hanging="180"/>
        <w:spacing w:after="0" w:line="282" w:lineRule="auto"/>
        <w:tabs>
          <w:tab w:leader="none" w:pos="2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and interest payment dates for the debt securities, or the method(s) of determining such dates, and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hanging="180"/>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payment date.</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 and where the debt securities may be surrendered for registration of transfer or exchange;</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that would obligate or permit us to repurchase, redeem or repay some or all of the debt securities, including any sinking fund requirements;</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period or periods, redemption price or prices and the terms and conditions upon which the debt securities may be redeemed, if any;</w:t>
      </w:r>
    </w:p>
    <w:p>
      <w:pPr>
        <w:spacing w:after="0" w:line="4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denominated or payable in a foreign currency, units of two or more foreign currencies or a composite currency or currencies, and the related terms, conditions and consequences;</w:t>
      </w:r>
    </w:p>
    <w:p>
      <w:pPr>
        <w:spacing w:after="0" w:line="54"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certificated or book-entry form, and the identity of the depositary for debt securities issued in book-entry form;</w:t>
      </w:r>
    </w:p>
    <w:p>
      <w:pPr>
        <w:spacing w:after="0" w:line="40"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or bearer form, and any restrictions applicable to the exchange of one form for another and to the offer, sale and delivery of the debt securities in either form;</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options described under</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Discharge, Defeasance and Covenant Defeasance” and any modifications of these provisions;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on the debt securities held by a person who is not a U.S. person for specified taxes, assessments or other governmental charges and, if so, whether we have the option to redeem the affected debt securities rather than pay the additional amounts;</w:t>
      </w:r>
    </w:p>
    <w:p>
      <w:pPr>
        <w:spacing w:after="0" w:line="5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that provide for optional redemption or prepayment upon the occurrence of certain events (such as a change of control),</w:t>
      </w:r>
    </w:p>
    <w:p>
      <w:pPr>
        <w:spacing w:after="0" w:line="40" w:lineRule="exact"/>
        <w:rPr>
          <w:rFonts w:ascii="Times New Roman" w:cs="Times New Roman" w:eastAsia="Times New Roman" w:hAnsi="Times New Roman"/>
          <w:sz w:val="18"/>
          <w:szCs w:val="18"/>
          <w:color w:val="auto"/>
        </w:rPr>
      </w:pPr>
    </w:p>
    <w:p>
      <w:pPr>
        <w:ind w:left="2160" w:right="539" w:hanging="180"/>
        <w:spacing w:after="0" w:line="261"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of such provisions on the market price of the debt securities or in deterring certain mergers, tender offers or other takeover attempts, and our intention to comply with the requirements of Rule 14e-1 under the Exchange Act and any other applicable securities laws in connection with these provisions,</w:t>
      </w:r>
    </w:p>
    <w:p>
      <w:pPr>
        <w:spacing w:after="0" w:line="58" w:lineRule="exact"/>
        <w:rPr>
          <w:rFonts w:ascii="Times New Roman" w:cs="Times New Roman" w:eastAsia="Times New Roman" w:hAnsi="Times New Roman"/>
          <w:sz w:val="18"/>
          <w:szCs w:val="18"/>
          <w:color w:val="auto"/>
        </w:rPr>
      </w:pPr>
    </w:p>
    <w:p>
      <w:pPr>
        <w:ind w:left="2160" w:right="839" w:hanging="180"/>
        <w:spacing w:after="0" w:line="282"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occurrence of the specified events may give rise to cross-defaults on other indebtedness such that payment on the debt securities may be effectively subordinated, and</w:t>
      </w:r>
    </w:p>
    <w:p>
      <w:pPr>
        <w:spacing w:after="0" w:line="40" w:lineRule="exact"/>
        <w:rPr>
          <w:rFonts w:ascii="Times New Roman" w:cs="Times New Roman" w:eastAsia="Times New Roman" w:hAnsi="Times New Roman"/>
          <w:sz w:val="18"/>
          <w:szCs w:val="18"/>
          <w:color w:val="auto"/>
        </w:rPr>
      </w:pPr>
    </w:p>
    <w:p>
      <w:pPr>
        <w:ind w:left="2160" w:right="439" w:hanging="180"/>
        <w:spacing w:after="0" w:line="259"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limitation on our financial or legal ability to repurchase such debt securities upon the occurrence of such an event (including, if true, the lack of assurance that such a repurchase can be effected) and the impact, if any, under the Indenture of such a failure, including whether and under what circumstances such a failure may constitute an Event of Default; and</w:t>
      </w:r>
    </w:p>
    <w:p>
      <w:pPr>
        <w:spacing w:after="0" w:line="2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158"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special U.S. federal income tax, accounting and other considerations may be applicable to instruments such as the debt securities. The prospectus supplement relating to a series of debt securities will describe these considerations, if they apply.</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One or more series of debt securities may provide that if their maturity is accelerated, the amount due and payable will be less than their stated principal amount. These are referred to as “Original Issue Discount Securities”. The prospectus supplement relating to any debt securities issued as Original Issue Discount Securities will describe, if material or applicable, the special U.S. federal income tax consequences, accounting and other special considerations that you should consider before purchasing them.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Denominations, Interest, Registration and Transfer</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issue each series of debt securities in fully registered form without coupons and/or in bearer form with or without coupons, as described in the applicable prospectus supplement. The Indenture provides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0" w:lineRule="auto"/>
        <w:rPr>
          <w:sz w:val="20"/>
          <w:szCs w:val="20"/>
          <w:color w:val="auto"/>
        </w:rPr>
      </w:pPr>
      <w:r>
        <w:rPr>
          <w:rFonts w:ascii="Times New Roman" w:cs="Times New Roman" w:eastAsia="Times New Roman" w:hAnsi="Times New Roman"/>
          <w:sz w:val="18"/>
          <w:szCs w:val="18"/>
          <w:color w:val="auto"/>
        </w:rPr>
        <w:t>that we may issue debt securities in global form. If any series of debt securities is issued in global form, the applicable prospectus supplement will describe the circumstances, if any, under which beneficial owners of interests in any of those global debt securities may exchange their interests for debt securities of that series and of like tenor and principal amount in any authorized form and denomination.</w:t>
      </w:r>
    </w:p>
    <w:p>
      <w:pPr>
        <w:spacing w:after="0" w:line="110"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debt securities issued in fully registered form will be issued in denominations of $1,000 and any integral multiple thereof and debt securities issued in bearer form will be issued in denominations of $ 5,000 and any integral multiple thereof. Debt securities in global form may be issued in any denomination.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we will pay the principal of and any premium or interest on any series of debt securities in registered form at the corporate trust office of the trustee, currently located at 311 S. Wacker Drive, Suite 6200B, Chicago, IL 60606. At our option, we may pay interest by check, wire transfer or any other means permitted under the terms of the debt securities. Unless the applicable prospectus supplement states otherwise, we will have the option to pay interest by check mailed to the person in whose name the debt securities are registered on the applicable record dates or by wire transfer of funds to that person at an account maintained within the United States. (</w:t>
      </w:r>
      <w:r>
        <w:rPr>
          <w:rFonts w:ascii="Times New Roman" w:cs="Times New Roman" w:eastAsia="Times New Roman" w:hAnsi="Times New Roman"/>
          <w:sz w:val="18"/>
          <w:szCs w:val="18"/>
          <w:i w:val="1"/>
          <w:iCs w:val="1"/>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307 and 1002</w:t>
      </w:r>
      <w:r>
        <w:rPr>
          <w:rFonts w:ascii="Times New Roman" w:cs="Times New Roman" w:eastAsia="Times New Roman" w:hAnsi="Times New Roman"/>
          <w:sz w:val="18"/>
          <w:szCs w:val="18"/>
          <w:color w:val="auto"/>
        </w:rPr>
        <w:t>). Payments on global debt securities will be made to the depositary or its nominee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then-existing arrangements between the paying agent(s) for the global debt securities and the depositary. See “— Global Securities.”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You may present debt securities for exchange, and registered debt securities for transfer, in the manner, at the places and subject to the restrictions set forth in the Indenture and the applicable prospectus supplement. You may transfer debt securities in bearer form and the coupons, if any, by delivery. There will be no service charge for any transfer or exchange of debt securities, but we may require payment to cover any tax or other governmental charge related to the transfer or exchange. (</w:t>
      </w:r>
      <w:r>
        <w:rPr>
          <w:rFonts w:ascii="Times New Roman" w:cs="Times New Roman" w:eastAsia="Times New Roman" w:hAnsi="Times New Roman"/>
          <w:sz w:val="18"/>
          <w:szCs w:val="18"/>
          <w:i w:val="1"/>
          <w:iCs w:val="1"/>
          <w:color w:val="auto"/>
        </w:rPr>
        <w:t>Section 305</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not required and the trustee is not required:</w:t>
      </w:r>
    </w:p>
    <w:p>
      <w:pPr>
        <w:spacing w:after="0" w:line="117" w:lineRule="exact"/>
        <w:rPr>
          <w:sz w:val="20"/>
          <w:szCs w:val="20"/>
          <w:color w:val="auto"/>
        </w:rPr>
      </w:pPr>
    </w:p>
    <w:p>
      <w:pPr>
        <w:ind w:left="1800" w:right="9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or register the transfer or exchange of any debt security, or portion of a registered debt security, selected for redemption; or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or register the transfer or exchange of any debt security for a period of 15 days prior to the selection of debt securities to be redeemed; or</w:t>
      </w:r>
    </w:p>
    <w:p>
      <w:pPr>
        <w:spacing w:after="0" w:line="40"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any debt security issued in bearer form that has been selected for redemption, unless such debt security is being exchanged for a registered debt security of the same series and of like tenor, provided that the registered debt security is simultaneously surrendered for redemption; or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or register the transfer or exchange of any debt security, in whole or in part, surrendered for repayment at the option of the holder. (</w:t>
      </w:r>
      <w:r>
        <w:rPr>
          <w:rFonts w:ascii="Times New Roman" w:cs="Times New Roman" w:eastAsia="Times New Roman" w:hAnsi="Times New Roman"/>
          <w:sz w:val="18"/>
          <w:szCs w:val="18"/>
          <w:i w:val="1"/>
          <w:iCs w:val="1"/>
          <w:color w:val="auto"/>
        </w:rPr>
        <w:t>Section 305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debt securities will be our direct, unsecured and unsubordinated obligations and will rank equally with all our other unsecured and unsubordinated indebtedness from time to time outstanding, and the debt securities will be effectively subordinated to the claims of mortgage lenders holding our secured indebtedness, as to the specific property securing each lender’s mortgage and to claims of creditors of our subsidiaries to the extent of the assets of those subsidiaries. Subject to specified limitations in the Indenture and as described below under “— Covenants,” the Indenture permits us to incur additional secured and unsecured indebtedness.</w:t>
      </w:r>
    </w:p>
    <w:p>
      <w:pPr>
        <w:spacing w:after="0" w:line="325"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Except as described below under “— Covenants — </w:t>
      </w:r>
      <w:r>
        <w:rPr>
          <w:rFonts w:ascii="Times New Roman" w:cs="Times New Roman" w:eastAsia="Times New Roman" w:hAnsi="Times New Roman"/>
          <w:sz w:val="18"/>
          <w:szCs w:val="18"/>
          <w:i w:val="1"/>
          <w:iCs w:val="1"/>
          <w:color w:val="auto"/>
        </w:rPr>
        <w:t>Merger, Consolidation or Sale</w:t>
      </w:r>
      <w:r>
        <w:rPr>
          <w:rFonts w:ascii="Times New Roman" w:cs="Times New Roman" w:eastAsia="Times New Roman" w:hAnsi="Times New Roman"/>
          <w:sz w:val="18"/>
          <w:szCs w:val="18"/>
          <w:color w:val="auto"/>
        </w:rPr>
        <w:t>,” the Indenture does not contain any provisions that would limit our ability to incur indebtedness or that would afford holders of the debt securities protection in the event of:</w:t>
      </w:r>
    </w:p>
    <w:p>
      <w:pPr>
        <w:spacing w:after="0" w:line="61"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or similar transaction involving us or any of our affiliates;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restructuring, merger or similar transaction involving us that may adversely affect the holders of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Restrictions on the ownership and transfer of the shares of common stock of Simon Property designed to preserve its status as a REIT, however, may act to prevent or hinder a change of control.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Guarantee by Predecessor Operating Partnership</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covenants will apply to the debt securities unless they are amended or supplemented in the supplemental indenture relating to a particular series of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may consolidate with, or sell, lease or convey all or substantially all of our assets to, or merge with or into, any other entity, provided that:</w:t>
      </w:r>
    </w:p>
    <w:p>
      <w:pPr>
        <w:spacing w:after="0" w:line="27" w:lineRule="exact"/>
        <w:rPr>
          <w:sz w:val="20"/>
          <w:szCs w:val="20"/>
          <w:color w:val="auto"/>
        </w:rPr>
      </w:pPr>
    </w:p>
    <w:p>
      <w:pPr>
        <w:ind w:left="1800" w:right="43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will be the continuing entity or the successor entity will be an entity organized and existing under U.S. laws and the successor entity expressly assumes payment of the principal of, premium, if any, and any interest on all of the debt securities and the due and punctual performance and observance of all of the covenants and conditions contained in the Indenture;</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and treating any indebtedness which becomes our obligation or the obligation of a Subsidiary as a result thereof as having been incurred by us or that Subsidiary at the time of the transaction, no Event of Default, and no event which, after notice or the lapse of time, or both, would become an Event of Default, will have occurred and be continuing; and</w:t>
      </w:r>
    </w:p>
    <w:p>
      <w:pPr>
        <w:spacing w:after="0" w:line="58"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is delivered to the trustee. (</w:t>
      </w:r>
      <w:r>
        <w:rPr>
          <w:rFonts w:ascii="Times New Roman" w:cs="Times New Roman" w:eastAsia="Times New Roman" w:hAnsi="Times New Roman"/>
          <w:sz w:val="18"/>
          <w:szCs w:val="18"/>
          <w:i w:val="1"/>
          <w:iCs w:val="1"/>
          <w:color w:val="auto"/>
        </w:rPr>
        <w:t>Section 801 and 803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Existence</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Except as described under “— </w:t>
      </w:r>
      <w:r>
        <w:rPr>
          <w:rFonts w:ascii="Times New Roman" w:cs="Times New Roman" w:eastAsia="Times New Roman" w:hAnsi="Times New Roman"/>
          <w:sz w:val="18"/>
          <w:szCs w:val="18"/>
          <w:i w:val="1"/>
          <w:iCs w:val="1"/>
          <w:color w:val="auto"/>
        </w:rPr>
        <w:t>Merger, Consolidation or Sale</w:t>
      </w:r>
      <w:r>
        <w:rPr>
          <w:rFonts w:ascii="Times New Roman" w:cs="Times New Roman" w:eastAsia="Times New Roman" w:hAnsi="Times New Roman"/>
          <w:sz w:val="18"/>
          <w:szCs w:val="18"/>
          <w:color w:val="auto"/>
        </w:rPr>
        <w:t>,”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debt securities. (</w:t>
      </w:r>
      <w:r>
        <w:rPr>
          <w:rFonts w:ascii="Times New Roman" w:cs="Times New Roman" w:eastAsia="Times New Roman" w:hAnsi="Times New Roman"/>
          <w:sz w:val="18"/>
          <w:szCs w:val="18"/>
          <w:i w:val="1"/>
          <w:iCs w:val="1"/>
          <w:color w:val="auto"/>
        </w:rPr>
        <w:t>Section 1006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Maintenance of Properties</w:t>
      </w:r>
    </w:p>
    <w:p>
      <w:pPr>
        <w:spacing w:after="0" w:line="14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will cause all of our material properties used or useful in the conduct 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r>
        <w:rPr>
          <w:rFonts w:ascii="Times New Roman" w:cs="Times New Roman" w:eastAsia="Times New Roman" w:hAnsi="Times New Roman"/>
          <w:sz w:val="18"/>
          <w:szCs w:val="18"/>
          <w:i w:val="1"/>
          <w:iCs w:val="1"/>
          <w:color w:val="auto"/>
        </w:rPr>
        <w:t>Section 1007</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r>
        <w:rPr>
          <w:rFonts w:ascii="Times New Roman" w:cs="Times New Roman" w:eastAsia="Times New Roman" w:hAnsi="Times New Roman"/>
          <w:sz w:val="18"/>
          <w:szCs w:val="18"/>
          <w:i w:val="1"/>
          <w:iCs w:val="1"/>
          <w:color w:val="auto"/>
        </w:rPr>
        <w:t>Section 1008</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 and Other Claims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pay or discharge or cause to be paid or discharged, before the same become delinquent:</w:t>
      </w:r>
    </w:p>
    <w:p>
      <w:pPr>
        <w:spacing w:after="0" w:line="117" w:lineRule="exact"/>
        <w:rPr>
          <w:sz w:val="20"/>
          <w:szCs w:val="20"/>
          <w:color w:val="auto"/>
        </w:rPr>
      </w:pPr>
    </w:p>
    <w:p>
      <w:pPr>
        <w:ind w:left="1800" w:right="7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any Subsidiary or upon our income, profits or property or upon any Subsidiary’s income, profits or property;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 or the property of any Subsidiary;</w:t>
      </w:r>
    </w:p>
    <w:p>
      <w:pPr>
        <w:spacing w:after="0" w:line="94"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excluding, however, any tax, assessment, charge or claim whose amount, applicability or validity is being contested in good faith by appropriate proceedings. (</w:t>
      </w:r>
      <w:r>
        <w:rPr>
          <w:rFonts w:ascii="Times New Roman" w:cs="Times New Roman" w:eastAsia="Times New Roman" w:hAnsi="Times New Roman"/>
          <w:sz w:val="18"/>
          <w:szCs w:val="18"/>
          <w:i w:val="1"/>
          <w:iCs w:val="1"/>
          <w:color w:val="auto"/>
        </w:rPr>
        <w:t>Section 1009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Provision of Financial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Whether or not we are subject to Section 13 or 15(d) of the Exchange Act, and to the extent permitted under the Exchange Act, we will file with the SEC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w:t>
      </w:r>
    </w:p>
    <w:p>
      <w:pPr>
        <w:spacing w:after="0" w:line="75" w:lineRule="exact"/>
        <w:rPr>
          <w:sz w:val="20"/>
          <w:szCs w:val="20"/>
          <w:color w:val="auto"/>
        </w:rPr>
      </w:pPr>
    </w:p>
    <w:p>
      <w:pPr>
        <w:ind w:left="1800" w:right="5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copies of the Financial Information by mail to all holders of debt securities (as their names and addresses appear in the security register) without cost to the holders,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copies of the Financial Information with the trustee.</w:t>
      </w:r>
    </w:p>
    <w:p>
      <w:pPr>
        <w:spacing w:after="0" w:line="14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we are not permitted to file these documents with the SEC under the Exchange Act, we will supply copies of the documents to any prospective holder promptly upon written request. (</w:t>
      </w:r>
      <w:r>
        <w:rPr>
          <w:rFonts w:ascii="Times New Roman" w:cs="Times New Roman" w:eastAsia="Times New Roman" w:hAnsi="Times New Roman"/>
          <w:sz w:val="18"/>
          <w:szCs w:val="18"/>
          <w:i w:val="1"/>
          <w:iCs w:val="1"/>
          <w:color w:val="auto"/>
        </w:rPr>
        <w:t>Section 1010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Waiver; Additional Covenants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Compliance with the covenants described in this prospectus and with respect to the debt securities generally may not be waived by us, or by the trustee, unless the holders of at least a majority in principal amount of all outstanding debt securities consent to the waiver.</w:t>
      </w:r>
    </w:p>
    <w:p>
      <w:pPr>
        <w:spacing w:after="0" w:line="10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Any additional or different covenants with respect to any series of debt securities will be set forth in the applicable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Modifications and amendments of the Indenture may be made only with the consent of the holders of not less than a majority in principal amount of all outstanding debt securities (as defined in the Indenture) affected by the modification or amendment (voting as a single class); provided, however, that no such modification or amendment may, without the consent of the holder of each debt security affected thereby:</w:t>
      </w:r>
    </w:p>
    <w:p>
      <w:pPr>
        <w:spacing w:after="0" w:line="85" w:lineRule="exact"/>
        <w:rPr>
          <w:sz w:val="20"/>
          <w:szCs w:val="20"/>
          <w:color w:val="auto"/>
        </w:rPr>
      </w:pPr>
    </w:p>
    <w:p>
      <w:pPr>
        <w:ind w:left="1800" w:right="5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on, or any installment of principal of or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the rate or amount of interest on, or any premium payable on redemption of the debt security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debt securities;</w:t>
      </w:r>
    </w:p>
    <w:p>
      <w:pPr>
        <w:spacing w:after="0" w:line="75"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or premium, if any, or interest on the debt securities;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debt securities on or after the stated maturity of any debt security;</w:t>
      </w:r>
    </w:p>
    <w:p>
      <w:pPr>
        <w:spacing w:after="0" w:line="53" w:lineRule="exact"/>
        <w:rPr>
          <w:rFonts w:ascii="Times New Roman" w:cs="Times New Roman" w:eastAsia="Times New Roman" w:hAnsi="Times New Roman"/>
          <w:sz w:val="18"/>
          <w:szCs w:val="18"/>
          <w:color w:val="auto"/>
        </w:rPr>
      </w:pPr>
    </w:p>
    <w:p>
      <w:pPr>
        <w:jc w:val="both"/>
        <w:ind w:left="1800" w:right="9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the consent of whose holders is necessary to modify or amend the Indenture, for any waiver with respect to the debt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spacing w:after="0" w:line="275" w:lineRule="auto"/>
        <w:rPr>
          <w:sz w:val="20"/>
          <w:szCs w:val="20"/>
          <w:color w:val="auto"/>
        </w:rPr>
      </w:pPr>
      <w:r>
        <w:rPr>
          <w:rFonts w:ascii="Times New Roman" w:cs="Times New Roman" w:eastAsia="Times New Roman" w:hAnsi="Times New Roman"/>
          <w:sz w:val="18"/>
          <w:szCs w:val="18"/>
          <w:color w:val="auto"/>
        </w:rPr>
        <w:t>securities, or to waive compliance with specified provisions of the Indenture or specified defaults and consequences thereunder or to reduce the quorum or voting requirements set forth in the Indenture; or</w:t>
      </w:r>
    </w:p>
    <w:p>
      <w:pPr>
        <w:spacing w:after="0" w:line="295" w:lineRule="exact"/>
        <w:rPr>
          <w:sz w:val="20"/>
          <w:szCs w:val="20"/>
          <w:color w:val="auto"/>
        </w:rPr>
      </w:pPr>
    </w:p>
    <w:p>
      <w:pPr>
        <w:ind w:left="1800" w:right="45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debt security. (</w:t>
      </w:r>
      <w:r>
        <w:rPr>
          <w:rFonts w:ascii="Times New Roman" w:cs="Times New Roman" w:eastAsia="Times New Roman" w:hAnsi="Times New Roman"/>
          <w:sz w:val="18"/>
          <w:szCs w:val="18"/>
          <w:i w:val="1"/>
          <w:iCs w:val="1"/>
          <w:color w:val="auto"/>
        </w:rPr>
        <w:t>Section 902</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a series of outstanding debt securities have the right to waive compliance by us with covenants relating to those debt securities in the Indenture. (</w:t>
      </w:r>
      <w:r>
        <w:rPr>
          <w:rFonts w:ascii="Times New Roman" w:cs="Times New Roman" w:eastAsia="Times New Roman" w:hAnsi="Times New Roman"/>
          <w:sz w:val="18"/>
          <w:szCs w:val="18"/>
          <w:i w:val="1"/>
          <w:iCs w:val="1"/>
          <w:color w:val="auto"/>
        </w:rPr>
        <w:t>Section 1013</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Modifications and amendments of the Indenture may be permitted to be made by us and the trustee without the consent of any holder of debt securities for any of the following purposes:</w:t>
      </w:r>
    </w:p>
    <w:p>
      <w:pPr>
        <w:spacing w:after="0" w:line="54"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the Indenture;</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any series of debt securities or to surrender any right or power conferred upon us in the Indenture;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any series of debt securities;</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facilitate the issuance of, or to liberalize certain terms of, debt securities in bearer form, or to permit or facilitate the issuance of debt securities in uncertificated form, provided that the action shall not adversely affect the interests of the holders of debt securities of any series in any material respect;</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the Indenture, provided that any change or elimination shall become effective only when the outstanding debt securities are not entitled to the benefit of that provision;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debt securities of any series;</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under the Indenture by a successor trustee or facilitate the administration of the trust under the Indenture by more than one trustee;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provided that the action is not inconsistent with the provisions of the Indenture and will not adversely affect the interests of holders of debt securities of any series in any material respect; or</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the extent necessary to permit or facilitate defeasance and discharge of debt securities, provided that the action will not adversely affect the interests of the holders of the debt securities of any series in any material respect. (</w:t>
      </w:r>
      <w:r>
        <w:rPr>
          <w:rFonts w:ascii="Times New Roman" w:cs="Times New Roman" w:eastAsia="Times New Roman" w:hAnsi="Times New Roman"/>
          <w:sz w:val="18"/>
          <w:szCs w:val="18"/>
          <w:i w:val="1"/>
          <w:iCs w:val="1"/>
          <w:color w:val="auto"/>
        </w:rPr>
        <w:t>Section 901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in determining whether the holders of the requisite principal amount of a series of outstanding debt securities have given any request, demand, authorization, direction, notice, consent or waiver thereunder or whether a quorum is present at a meeting of holders of those debt securities,</w:t>
      </w:r>
    </w:p>
    <w:p>
      <w:pPr>
        <w:spacing w:after="0" w:line="1" w:lineRule="exact"/>
        <w:rPr>
          <w:sz w:val="20"/>
          <w:szCs w:val="20"/>
          <w:color w:val="auto"/>
        </w:rPr>
      </w:pPr>
    </w:p>
    <w:p>
      <w:pPr>
        <w:ind w:left="1260" w:right="439"/>
        <w:spacing w:after="0" w:line="251" w:lineRule="auto"/>
        <w:tabs>
          <w:tab w:leader="none" w:pos="15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debt security denominated in a foreign currency that shall be deemed Outstanding shall be the U.S. dollar equivalent, determined on the issue date for that debt security, of the principal amount (or, in the case of an Original Issue Discount Security, the U.S. dollar equivalent on the issue date of such debt security of the amount determined as provided in (1) above) of that debt security, (3) the principal amount of an Indexed Security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affiliate of the Operating Partnership or of such other obligor shall be disregarded.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The Indenture contains provisions of convening meetings of the holders of debt securities of a series issuable, in whole or in part, as bearer securities. ( </w:t>
      </w:r>
      <w:r>
        <w:rPr>
          <w:rFonts w:ascii="Times New Roman" w:cs="Times New Roman" w:eastAsia="Times New Roman" w:hAnsi="Times New Roman"/>
          <w:sz w:val="18"/>
          <w:szCs w:val="18"/>
          <w:i w:val="1"/>
          <w:iCs w:val="1"/>
          <w:color w:val="auto"/>
        </w:rPr>
        <w:t>Section 1501</w:t>
      </w:r>
      <w:r>
        <w:rPr>
          <w:rFonts w:ascii="Times New Roman" w:cs="Times New Roman" w:eastAsia="Times New Roman" w:hAnsi="Times New Roman"/>
          <w:sz w:val="18"/>
          <w:szCs w:val="18"/>
          <w:color w:val="auto"/>
        </w:rPr>
        <w:t>). A meeting will be permitted to be called at any time by the trustee, and also, upon request, by the Operating Partnership or the holders of at least 10% in principal amount of the outstanding debt securities of such series, in any such case upon notice given as provided in the Indenture. (</w:t>
      </w:r>
      <w:r>
        <w:rPr>
          <w:rFonts w:ascii="Times New Roman" w:cs="Times New Roman" w:eastAsia="Times New Roman" w:hAnsi="Times New Roman"/>
          <w:sz w:val="18"/>
          <w:szCs w:val="18"/>
          <w:i w:val="1"/>
          <w:iCs w:val="1"/>
          <w:color w:val="auto"/>
        </w:rPr>
        <w:t>Section 1502</w:t>
      </w:r>
      <w:r>
        <w:rPr>
          <w:rFonts w:ascii="Times New Roman" w:cs="Times New Roman" w:eastAsia="Times New Roman" w:hAnsi="Times New Roman"/>
          <w:sz w:val="18"/>
          <w:szCs w:val="18"/>
          <w:color w:val="auto"/>
        </w:rPr>
        <w:t>). Except for any consent that must be given by the holder of each debt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in principal amount of the outstanding debt securities of a series may be adopted at a meeting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any request, demand, authorization, direction, notice, consent, waiver or other action which may be made, given or taken by the holders of not less than a specified percentage in principal amount of the outstanding debt securities of a series, then with respect to such action (and only such action) the persons holding or representing such specified percentage in principal amount of the outstanding debt securities of such series will constitute a quorum.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1504</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foregoing provisions, the Indenture provides that if any action is to be taken at a meeting of holders of debt securities of any series with respect to any request, demand, authorization, direction, notice, consent, waiver or other action that the Indenture expressly provides may be made, given or taken by the holders of a specified percentage in principal amount of all outstanding debt securities affected thereby, or the holders of that series and any other series:</w:t>
      </w:r>
    </w:p>
    <w:p>
      <w:pPr>
        <w:spacing w:after="0" w:line="60"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minimum quorum requirement for the meeting; and</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w:rPr>
          <w:rFonts w:ascii="Times New Roman" w:cs="Times New Roman" w:eastAsia="Times New Roman" w:hAnsi="Times New Roman"/>
          <w:sz w:val="18"/>
          <w:szCs w:val="18"/>
          <w:i w:val="1"/>
          <w:iCs w:val="1"/>
          <w:color w:val="auto"/>
        </w:rPr>
        <w:t>Section 1504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Unless amended, modified or supplemented in the supplemental indenture relating to a particular series of debt securities, the term “Event of Default,” when used in this prospectus and the Indenture means any one of the following events:</w:t>
      </w:r>
    </w:p>
    <w:p>
      <w:pPr>
        <w:spacing w:after="0" w:line="102" w:lineRule="exact"/>
        <w:rPr>
          <w:sz w:val="20"/>
          <w:szCs w:val="20"/>
          <w:color w:val="auto"/>
        </w:rPr>
      </w:pPr>
    </w:p>
    <w:p>
      <w:pPr>
        <w:ind w:left="1620" w:right="519" w:firstLine="360"/>
        <w:spacing w:after="0" w:line="266" w:lineRule="auto"/>
        <w:tabs>
          <w:tab w:leader="none" w:pos="23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the debt securities when the interest becomes due and payable, and continuance of the default for a period of 30 days;</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when it becomes due and payable at its Maturity Date or by declaration of acceleration, notice of redemption or otherwise;</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 required sinking fund payment, if any;</w:t>
      </w:r>
    </w:p>
    <w:p>
      <w:pPr>
        <w:spacing w:after="0" w:line="144"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any of our covenants in the Indenture (other than a covenant added to the Indenture solely for the benefit of a series of debt securities issued under the Indenture) and continuance of the default for a period of 60 days after there has been given, by registered or certified mail, to us by the trustee, or to us and the trustee by the holders of at least 25% in principal amount of the debt securities, a written notice specifying the default and requiring it to be remedied and stating that the notice is a “Notice of Default” under the Indenture;</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 aggregate principal amount exceeding $30 million of any of our recourse indebtedness (however evidenced) after the expiration of any applicable grace period with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46" w:lineRule="auto"/>
        <w:rPr>
          <w:sz w:val="20"/>
          <w:szCs w:val="20"/>
          <w:color w:val="auto"/>
        </w:rPr>
      </w:pPr>
      <w:r>
        <w:rPr>
          <w:rFonts w:ascii="Times New Roman" w:cs="Times New Roman" w:eastAsia="Times New Roman" w:hAnsi="Times New Roman"/>
          <w:sz w:val="18"/>
          <w:szCs w:val="18"/>
          <w:color w:val="auto"/>
        </w:rPr>
        <w:t>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10 days after there has been given, by registered or certified mail, to us by the trustee, or to us and the trustee by the holders of at least 10% in principal amount of the outstanding debt securities, a written notice specifying the default and requiring us to cause the indebtedness to be discharged or cause the acceleration to be rescinded or annulled and stating that the notice is a “Notice of Default” under the Indenture;</w:t>
      </w:r>
    </w:p>
    <w:p>
      <w:pPr>
        <w:spacing w:after="0" w:line="324" w:lineRule="exact"/>
        <w:rPr>
          <w:sz w:val="20"/>
          <w:szCs w:val="20"/>
          <w:color w:val="auto"/>
        </w:rPr>
      </w:pPr>
    </w:p>
    <w:p>
      <w:pPr>
        <w:ind w:left="1620" w:right="1379" w:firstLine="360"/>
        <w:spacing w:after="0" w:line="266" w:lineRule="auto"/>
        <w:tabs>
          <w:tab w:leader="none" w:pos="23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events of bankruptcy, insolvency or reorganization affecting us or certain Subsidiaries or any of their respective properties; or</w:t>
      </w:r>
    </w:p>
    <w:p>
      <w:pPr>
        <w:spacing w:after="0" w:line="94" w:lineRule="exact"/>
        <w:rPr>
          <w:rFonts w:ascii="Times New Roman" w:cs="Times New Roman" w:eastAsia="Times New Roman" w:hAnsi="Times New Roman"/>
          <w:sz w:val="18"/>
          <w:szCs w:val="18"/>
          <w:color w:val="auto"/>
        </w:rPr>
      </w:pPr>
    </w:p>
    <w:p>
      <w:pPr>
        <w:ind w:left="1620" w:right="919" w:firstLine="360"/>
        <w:spacing w:after="0" w:line="266" w:lineRule="auto"/>
        <w:tabs>
          <w:tab w:leader="none" w:pos="23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 issued under the Indenture.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the debt securities at the time outstanding occurs and is continuing, then in every such case the trustee or the holders of not less than 25% of the principal amount of the outstanding debt securities may declare the principal amount and premium or Make-Whole Amount, if any, and accrued interest on all the debt securities to be due and payable immediately by written notice thereof to us, and to the trustee if given by the holders; provided, that in the case of an Event of Default described in clause (6) above, acceleration is automatic. However, at any time after a declaration of acceleration with respect to the debt securities has been made, but before a judgment or decree for payment of the money due has been obtained by the trustee, the holders of not less than a majority in principal amount of the outstanding debt securities may, by written notice to us and the trustee, rescind and annul the declaration and its consequences if:</w:t>
      </w:r>
    </w:p>
    <w:p>
      <w:pPr>
        <w:spacing w:after="0" w:line="287" w:lineRule="exact"/>
        <w:rPr>
          <w:sz w:val="20"/>
          <w:szCs w:val="20"/>
          <w:color w:val="auto"/>
        </w:rPr>
      </w:pPr>
    </w:p>
    <w:p>
      <w:pPr>
        <w:ind w:left="1800" w:right="55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trustee all required payments of the principal of, and premium or Make-Whole Amount, if any, and interest on the debt securities, plus specified fees, expenses, disbursement and advances of the trustee;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the debt securities, other than the non-payment of principal of, or Make-Whole Amount, if any, or interest on the debt securities which has become due solely by the declaration of acceleration, have been cured or waived as provided in the Indenture.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debt securities of any series may waive any past default with respect to such series and its consequences, except a default:</w:t>
      </w:r>
    </w:p>
    <w:p>
      <w:pPr>
        <w:spacing w:after="0" w:line="54" w:lineRule="exact"/>
        <w:rPr>
          <w:sz w:val="20"/>
          <w:szCs w:val="20"/>
          <w:color w:val="auto"/>
        </w:rPr>
      </w:pPr>
    </w:p>
    <w:p>
      <w:pPr>
        <w:ind w:left="1800" w:right="4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payable on any debt security of that series;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Indenture that cannot be modified or amended without the consent of the holder of each debt security of the affected series. (</w:t>
      </w:r>
      <w:r>
        <w:rPr>
          <w:rFonts w:ascii="Times New Roman" w:cs="Times New Roman" w:eastAsia="Times New Roman" w:hAnsi="Times New Roman"/>
          <w:sz w:val="18"/>
          <w:szCs w:val="18"/>
          <w:i w:val="1"/>
          <w:iCs w:val="1"/>
          <w:color w:val="auto"/>
        </w:rPr>
        <w:t>Section 513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trustee will be required to give notice to the holders of the debt securities within 90 days of the occurrence of a default under the Indenture unless the default has been cured or waived; provided, however, that the trustee may withhold notice to the holders of the debt securities of any default, except a default in the payment of the principal of, or premium or Make-Whole Amount, if any, or interest on the debt securities, if and so long as specified responsible officers of the trustee determine in good faith that the withholding of the notice is in the interest of the holders.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Indenture provides that no holder of debt securities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debt securities, as well as an offer of indemnity reasonably satisfactory to it. This provision will not prevent, however, any holder of debt securities from instituting suit for the payment of the principal of, and premium or Make-Whole Amount, if any, and interest on the debt securities on the due date thereof. (</w:t>
      </w:r>
      <w:r>
        <w:rPr>
          <w:rFonts w:ascii="Times New Roman" w:cs="Times New Roman" w:eastAsia="Times New Roman" w:hAnsi="Times New Roman"/>
          <w:sz w:val="18"/>
          <w:szCs w:val="18"/>
          <w:i w:val="1"/>
          <w:iCs w:val="1"/>
          <w:color w:val="auto"/>
        </w:rPr>
        <w:t>Sections 507 and 508</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Subject to provisions in the Indenture relating to its duties in case of default, the trustee is under no obligation to exercise any of its rights or powers under the Indenture at the request or direction of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holders of debt securities then outstanding under the Indenture, unless the holders have offered to the trustee reasonable security or indemnity.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The holders of not less than a majority in principal amount of the outstanding debt securities have the right to direct the time, method and place of conducting any proceeding for any remedy available to the trustee or exercising any trust or power conferred upon the trustee. However, the trustee may refuse to follow any direction which is in conflict with any law or the Indenture, which may involve the trustee in personal liability or which may be unduly prejudicial to the holders of debt securities not joining therein and the trustee may take any other action it deems proper and not inconsistent with the direction given.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r>
        <w:rPr>
          <w:rFonts w:ascii="Times New Roman" w:cs="Times New Roman" w:eastAsia="Times New Roman" w:hAnsi="Times New Roman"/>
          <w:sz w:val="18"/>
          <w:szCs w:val="18"/>
          <w:i w:val="1"/>
          <w:iCs w:val="1"/>
          <w:color w:val="auto"/>
        </w:rPr>
        <w:t>Section 1011</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are permitted under the Indenture to discharge specific obligations to the holders of the debt securities that have not already been delivered to the trustee for cancellation by irrevocably depositing with the trustee, in trust, funds in the currency in which the debt securities are payable in an amount sufficient to pay the entire indebtedness on the debt securities in respect of principal, and premium or Make-Whole Amount, if any, and interest to the date of the deposit, if the debt securities have become due and payable, or to the stated Maturity Date or redemption date, as the case may be.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Indenture also provides that we may elect either:</w:t>
      </w:r>
    </w:p>
    <w:p>
      <w:pPr>
        <w:spacing w:after="0" w:line="117" w:lineRule="exact"/>
        <w:rPr>
          <w:sz w:val="20"/>
          <w:szCs w:val="20"/>
          <w:color w:val="auto"/>
        </w:rPr>
      </w:pPr>
    </w:p>
    <w:p>
      <w:pPr>
        <w:ind w:left="1800" w:right="41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the debt securities other than the obligations to register the transfer or exchange of the debt securities, to replace temporary or mutilated, destroyed, lost or stolen debt securities, to maintain an office or agency in respect of the debt securities and to hold moneys for payment in trust (“defeasance”); or</w:t>
      </w:r>
    </w:p>
    <w:p>
      <w:pPr>
        <w:spacing w:after="0" w:line="58"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the debt securities and any other covenant, and any omission to comply with these obligations shall not constitute an Event of Default with respect to the debt securities (“covenant defeasance”);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either case upon the irrevocable deposit by us with the trustee, in trust, of an amount, in the currency in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the debt securities are payable at stated maturity, or Government Obligations, or both, applicable to</w:t>
      </w:r>
    </w:p>
    <w:p>
      <w:pPr>
        <w:ind w:left="1260"/>
        <w:spacing w:after="0"/>
        <w:rPr>
          <w:sz w:val="20"/>
          <w:szCs w:val="20"/>
          <w:color w:val="auto"/>
        </w:rPr>
      </w:pPr>
      <w:r>
        <w:rPr>
          <w:rFonts w:ascii="Times New Roman" w:cs="Times New Roman" w:eastAsia="Times New Roman" w:hAnsi="Times New Roman"/>
          <w:sz w:val="18"/>
          <w:szCs w:val="18"/>
          <w:color w:val="auto"/>
        </w:rPr>
        <w:t>the debt securities which through the scheduled payment of principal and interest in accordance with their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terms will provide money in an amount sufficient without reinvestment to pay the principal of, and premium</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 Make-Whole Amount, if any, and interest on the debt securities on the scheduled due dates therefor.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Sections 1402 and 1404</w:t>
      </w:r>
      <w:r>
        <w:rPr>
          <w:rFonts w:ascii="Times New Roman" w:cs="Times New Roman" w:eastAsia="Times New Roman" w:hAnsi="Times New Roman"/>
          <w:sz w:val="18"/>
          <w:szCs w:val="18"/>
          <w:color w:val="auto"/>
        </w:rPr>
        <w:t>). If either of these options are available to us with respect to a specific series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debt securities, we will indicate it in the prospectus supplement relating to that series of debt securities.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Unless the prospectus supplement relating to that series of debt securities provides otherwise, the terms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defeasance option and the covenant defeasance option will be as described in this section.</w:t>
      </w:r>
    </w:p>
    <w:p>
      <w:pPr>
        <w:spacing w:after="0" w:line="12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 trust may only be established if, among other things, we have delivered to the trustee an opinion of counsel, as specified in the Indenture, to the effect that the holders of the debt securities will not recognize income, gain or loss for federal income tax purposes as a result of the defeasance or covenant defeasance and will be subject to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or the IRS, or a change in applicable federal income tax law occurring after the date of the Indenture. (</w:t>
      </w:r>
      <w:r>
        <w:rPr>
          <w:rFonts w:ascii="Times New Roman" w:cs="Times New Roman" w:eastAsia="Times New Roman" w:hAnsi="Times New Roman"/>
          <w:sz w:val="18"/>
          <w:szCs w:val="18"/>
          <w:i w:val="1"/>
          <w:iCs w:val="1"/>
          <w:color w:val="auto"/>
        </w:rPr>
        <w:t>Section 1404</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Obligations</w:t>
      </w:r>
      <w:r>
        <w:rPr>
          <w:rFonts w:ascii="Times New Roman" w:cs="Times New Roman" w:eastAsia="Times New Roman" w:hAnsi="Times New Roman"/>
          <w:sz w:val="18"/>
          <w:szCs w:val="18"/>
          <w:color w:val="auto"/>
        </w:rPr>
        <w:t>” means securities that are:</w:t>
      </w:r>
    </w:p>
    <w:p>
      <w:pPr>
        <w:spacing w:after="0" w:line="106" w:lineRule="exact"/>
        <w:rPr>
          <w:sz w:val="20"/>
          <w:szCs w:val="20"/>
          <w:color w:val="auto"/>
        </w:rPr>
      </w:pPr>
    </w:p>
    <w:p>
      <w:pPr>
        <w:ind w:left="1800" w:right="45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payment of which its full faith and credit is pledged;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of America, the payment of which is unconditionally guaranteed as a full faith and credit obligation by the United States of America;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provided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w:t>
      </w:r>
    </w:p>
    <w:p>
      <w:pPr>
        <w:spacing w:after="0" w:line="12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or Government Obligations to effect defeasance or covenant defeasance with respect to any series of debt securities:</w:t>
      </w:r>
    </w:p>
    <w:p>
      <w:pPr>
        <w:spacing w:after="0" w:line="68" w:lineRule="exact"/>
        <w:rPr>
          <w:sz w:val="20"/>
          <w:szCs w:val="20"/>
          <w:color w:val="auto"/>
        </w:rPr>
      </w:pPr>
    </w:p>
    <w:p>
      <w:pPr>
        <w:jc w:val="both"/>
        <w:ind w:left="1800" w:right="49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debt security of such series is entitled to, and does, elect pursuant to the Indenture or the terms of that debt security to receive payment in a currency, currency unit or composite currency other than that in which such deposit has been made in respect of such debt security, or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Event (as defined below) occurs in respect of the currency, currency unit or composite currency in which such deposit has been made, the indebtedness represented by that debt security shall be deemed to have been, and will be, fully discharged and satisfied through the payment of the principal of (and premium, if any) and interest on that debt security as they become due out of the proceeds yielded by converting the amount so deposited in respect of that debt security into a currency, currency unit or composite currency in which that debt security becomes payable as a result of such election or such Conversion Event based upon the applicable market exchange rate. (</w:t>
      </w:r>
      <w:r>
        <w:rPr>
          <w:rFonts w:ascii="Times New Roman" w:cs="Times New Roman" w:eastAsia="Times New Roman" w:hAnsi="Times New Roman"/>
          <w:sz w:val="18"/>
          <w:szCs w:val="18"/>
          <w:i w:val="1"/>
          <w:iCs w:val="1"/>
          <w:color w:val="auto"/>
        </w:rPr>
        <w:t>Section 1405</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Conversion Event</w:t>
      </w:r>
      <w:r>
        <w:rPr>
          <w:rFonts w:ascii="Times New Roman" w:cs="Times New Roman" w:eastAsia="Times New Roman" w:hAnsi="Times New Roman"/>
          <w:sz w:val="18"/>
          <w:szCs w:val="18"/>
          <w:color w:val="auto"/>
        </w:rPr>
        <w:t>” means the cessation of use of (a) a currency, currency unit or composite currency both by the government of the country which issued such currency and for the settlement of transactions by a central bank or other public institutions of or within the international banking community, (b) the ECU both within the European Monetary System and for the settlement of transactions by public institutions of or within the European Community or (c) any currency unit (or composite currency) other than the ECU for the purposes for which it was established. All payments of principal of (and premium, if any) and interest on any debt security that is payable in a foreign currency that ceases to be used by its government of issuance shall be made in U.S. dollars.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effect covenant defeasance with respect to any debt securities and these debt securities</w:t>
      </w:r>
    </w:p>
    <w:p>
      <w:pPr>
        <w:spacing w:after="0" w:line="27" w:lineRule="exact"/>
        <w:rPr>
          <w:sz w:val="20"/>
          <w:szCs w:val="20"/>
          <w:color w:val="auto"/>
        </w:rPr>
      </w:pPr>
    </w:p>
    <w:p>
      <w:pPr>
        <w:ind w:left="1260" w:right="819"/>
        <w:spacing w:after="0" w:line="250" w:lineRule="auto"/>
        <w:rPr>
          <w:sz w:val="20"/>
          <w:szCs w:val="20"/>
          <w:color w:val="auto"/>
        </w:rPr>
      </w:pPr>
      <w:r>
        <w:rPr>
          <w:rFonts w:ascii="Times New Roman" w:cs="Times New Roman" w:eastAsia="Times New Roman" w:hAnsi="Times New Roman"/>
          <w:sz w:val="18"/>
          <w:szCs w:val="18"/>
          <w:color w:val="auto"/>
        </w:rPr>
        <w:t>are declared due and payable because of the occurrence of any Event of Default other than the Event of Default described in clause (4) under “— Events of Default, Notice and Waiver” with respect to</w:t>
      </w:r>
    </w:p>
    <w:p>
      <w:pPr>
        <w:spacing w:after="0" w:line="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Sections 1006 to 1010, inclusive, of the Indenture, which sections would no longer be applicable to the debt securities as a result of the covenant defeasance, or described in clause (7) under “— Events of Default, Notice and Waiver” with respect to any other covenant as to which there has been covenant defeasance, the amount in the currency in which the debt securities are payable, and Government Obligations on deposit with the trustee, will be sufficient to pay amounts due on the debt securities at the time of their stated maturity but may not be sufficient to pay amounts due on the debt securities at the time of the acceleration resulting from the Default. We would remain liable, however, to make payment of the amounts due at the time of acceleration.</w:t>
      </w:r>
    </w:p>
    <w:p>
      <w:pPr>
        <w:spacing w:after="0" w:line="337"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describe further the provisions, if any, permitting defeasance or covenant defeasance, including any modifications to the provisions described above with respect to the debt securities of a particular series.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with respect to one or more series of debt securities. Any trustee under the Indenture may resign or be removed with respect to one or more series of debt securities, and a successor trustee may be appointed to act with respect to that series. (</w:t>
      </w:r>
      <w:r>
        <w:rPr>
          <w:rFonts w:ascii="Times New Roman" w:cs="Times New Roman" w:eastAsia="Times New Roman" w:hAnsi="Times New Roman"/>
          <w:sz w:val="18"/>
          <w:szCs w:val="18"/>
          <w:i w:val="1"/>
          <w:iCs w:val="1"/>
          <w:color w:val="auto"/>
        </w:rPr>
        <w:t>Section 608</w:t>
      </w:r>
      <w:r>
        <w:rPr>
          <w:rFonts w:ascii="Times New Roman" w:cs="Times New Roman" w:eastAsia="Times New Roman" w:hAnsi="Times New Roman"/>
          <w:sz w:val="18"/>
          <w:szCs w:val="18"/>
          <w:color w:val="auto"/>
        </w:rPr>
        <w:t>). If two or more persons are acting as trustee with respect to different series of debt securities, each trustee will administer separate trusts under the Indenture, and, except as otherwise indicated by the Indenture, any action to be taken by a trustee with respect to one or more series of debt securities may be taken only by the trustee for that series. (</w:t>
      </w:r>
      <w:r>
        <w:rPr>
          <w:rFonts w:ascii="Times New Roman" w:cs="Times New Roman" w:eastAsia="Times New Roman" w:hAnsi="Times New Roman"/>
          <w:sz w:val="18"/>
          <w:szCs w:val="18"/>
          <w:i w:val="1"/>
          <w:iCs w:val="1"/>
          <w:color w:val="auto"/>
        </w:rPr>
        <w:t>Section 609</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identified in the applicable prospectus supplement relating to such series. Global securities may be issued in either registered or bearer form and in either temporary or permanent form. The specific terms of the depositary arrangement with respect to a series of global securities will be described in the applicable prospectus supplement relating to that series.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Indenture is governed by, and construed in accordance with, the laws of the State of New York, and once issued the debt securities will be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purchase, ownership and disposition of debt securities issued by us, but does not purport to be a complete analysis of all potential tax effects. Supplemental U.S. federal income tax considerations relevant to holders of debt securities offered by this prospectus may be provided in the prospectus supplement that relates to those debt securities. The effects of other U.S. federal tax laws, such as estate and gift tax laws, and any applicable state, local or foreign tax laws are not discussed. This discussion is based on the Internal Revenue Code of 1986, as amended, or the Code, the Treasury regulations promulgated thereunder, or the Treasury Regulations,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debt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debt securities.</w:t>
      </w:r>
    </w:p>
    <w:p>
      <w:pPr>
        <w:spacing w:after="0" w:line="32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limited to holders who hold the debt securities as “capital assets” within the meaning of Section 1221 of the Code (generally, property held for investment). In addition, this discussion is limited to persons purchasing the debt securities for cash at original issue and at their original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debt securities is sold to the public for cash). This discussion does not address all U.S. 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w:t>
      </w:r>
    </w:p>
    <w:p>
      <w:pPr>
        <w:spacing w:after="0" w:line="71"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former long-term residents of the United States;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debt securities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debt securities under the constructive sale provisions of the Code;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debt securities being taken into account in an applicable financial statement (as defined in the Code).</w:t>
      </w:r>
    </w:p>
    <w:p>
      <w:pPr>
        <w:spacing w:after="0" w:line="30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the debt securities, the tax treatment of a partner in the partnership will depend on the status of the partner, the activities of the partnership and certain determinations made at the partner level. Accordingly, partnerships holding the debt securities and the partners in such partnerships should consult their tax advisors regarding the U.S. federal income tax consequences to them.</w:t>
      </w:r>
    </w:p>
    <w:p>
      <w:pPr>
        <w:spacing w:after="0" w:line="106"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59"/>
        <w:spacing w:after="0" w:line="260" w:lineRule="auto"/>
        <w:rPr>
          <w:sz w:val="20"/>
          <w:szCs w:val="20"/>
          <w:color w:val="auto"/>
        </w:rPr>
      </w:pPr>
      <w:r>
        <w:rPr>
          <w:rFonts w:ascii="Times New Roman" w:cs="Times New Roman" w:eastAsia="Times New Roman" w:hAnsi="Times New Roman"/>
          <w:sz w:val="18"/>
          <w:szCs w:val="18"/>
          <w:b w:val="1"/>
          <w:bCs w:val="1"/>
          <w:color w:val="auto"/>
        </w:rPr>
        <w:t>AND DISPOSITION OF THE DEBT SECURITIES ARISING UNDER OTHER U.S. FEDERAL TAX LAWS (INCLUDING ESTATE AND GIFT TAX LAWS), UNDER THE LAWS OF ANY STATE, LOCAL OR NON-U.S. TAXING JURISDICTION OR UNDER ANY APPLICABLE TAX TREATY.</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U.S. Holder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a debt security that, for U.S.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income tax purposes, is or is treated as:</w:t>
      </w:r>
    </w:p>
    <w:p>
      <w:pPr>
        <w:spacing w:after="0" w:line="84" w:lineRule="exact"/>
        <w:rPr>
          <w:sz w:val="20"/>
          <w:szCs w:val="20"/>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w:t>
      </w:r>
    </w:p>
    <w:p>
      <w:pPr>
        <w:spacing w:after="0" w:line="27" w:lineRule="exact"/>
        <w:rPr>
          <w:rFonts w:ascii="Times New Roman" w:cs="Times New Roman" w:eastAsia="Times New Roman" w:hAnsi="Times New Roman"/>
          <w:sz w:val="18"/>
          <w:szCs w:val="18"/>
          <w:color w:val="auto"/>
        </w:rPr>
      </w:pPr>
    </w:p>
    <w:p>
      <w:pPr>
        <w:ind w:left="1800" w:right="5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persons” (within​ the meaning of Section 7701(a)(30) of the Code), or (2) has a valid election in effect to be treated as a United States person for U.S. federal income tax purposes.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Interest on a debt security generally will be taxable to a U.S. Holder as ordinary income at the time such interest is received or accrued, in accordance with such U.S. Holder’s method of tax accounting for U.S. federal income tax purposes. It is expected, and this discussion assumes, that the debt securities will be issued without original issue discount for U.S. federal income tax purposes.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 U.S. Holder will recognize gain or loss on the sale, exchange, 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a debt security or receives proceeds from the sale or other taxable disposition of a debt security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69" w:lineRule="exact"/>
        <w:rPr>
          <w:sz w:val="20"/>
          <w:szCs w:val="20"/>
          <w:color w:val="auto"/>
        </w:rPr>
      </w:pPr>
    </w:p>
    <w:p>
      <w:pPr>
        <w:ind w:left="1800" w:right="8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Non-U.S. Holder</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 U.S. Holder” is a beneficial owner of a debt security that is neither a U.S. Holder nor an entity treated as a partnership for U.S.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Interest paid on a debt security to a Non -U.S.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69"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our capital or profits;</w:t>
      </w:r>
    </w:p>
    <w:p>
      <w:pPr>
        <w:spacing w:after="0" w:line="11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us through actual or constructive stock ownership;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w:t>
      </w:r>
    </w:p>
    <w:p>
      <w:pPr>
        <w:ind w:left="180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w:t>
      </w:r>
    </w:p>
    <w:p>
      <w:pPr>
        <w:spacing w:after="0" w:line="2" w:lineRule="exact"/>
        <w:rPr>
          <w:rFonts w:ascii="Times New Roman" w:cs="Times New Roman" w:eastAsia="Times New Roman" w:hAnsi="Times New Roman"/>
          <w:sz w:val="18"/>
          <w:szCs w:val="18"/>
          <w:color w:val="auto"/>
        </w:rPr>
      </w:pPr>
    </w:p>
    <w:p>
      <w:pPr>
        <w:ind w:left="1800" w:right="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security directly through a “qualified intermediary” (within​ the meaning of applicable Treasury Regulations) and certain conditions are satisfied.</w:t>
      </w:r>
    </w:p>
    <w:p>
      <w:pPr>
        <w:spacing w:after="0" w:line="11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32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 Non-U.S. Holder that is a corporation also may be subject to a branch profits tax at a rate of 30% (or such lower rate specified by an applicable income tax treaty) on such effectively connected interest, as adjusted for certain items.</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 Tax Consequences Applicable to Non-U.S. Holders — Payments of Interest”) unless:</w:t>
      </w:r>
    </w:p>
    <w:p>
      <w:pPr>
        <w:spacing w:after="0" w:line="63" w:lineRule="exact"/>
        <w:rPr>
          <w:sz w:val="20"/>
          <w:szCs w:val="20"/>
          <w:color w:val="auto"/>
        </w:rPr>
      </w:pPr>
    </w:p>
    <w:p>
      <w:pPr>
        <w:ind w:left="1800" w:right="4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 U.S. Holder that is a foreign corporation also may be subject to a branch profits tax at a rate of 30% (or such lower rate specified by an applicable income tax treaty) on such effectively connected gain, as adjusted for certain items.</w:t>
      </w:r>
    </w:p>
    <w:p>
      <w:pPr>
        <w:spacing w:after="0" w:line="11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exchange, redemption, retirement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Payments of interest generally will not be subject to backup withholding, provided the applicable withholding agent does not have actual knowledge or reason to know the holder is a United States person and the holder certifies its non- U.S. status as described above under “— Tax Consequences Applicable to Non-U.S. Holders — Payments of Interest.” However, information returns are required to be filed with the IRS in connection with any interest paid to the Non-U.S. Holder, regardless of whether any tax was actually withheld. In addition, proceeds of the sale or other taxable disposition of a debt security (including a retirement or redemption of the debt security)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debt security paid outside the United States and conducted through a non-U.S. office of a non-U.S. broker generally will not be subject to backup withholding or information reporting.</w:t>
      </w:r>
    </w:p>
    <w:p>
      <w:pPr>
        <w:spacing w:after="0" w:line="11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 U.S. Holder’s U.S. federal income tax liability, provided the required information is timely furnished to the IRS.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7" w:lineRule="auto"/>
        <w:rPr>
          <w:sz w:val="20"/>
          <w:szCs w:val="20"/>
          <w:color w:val="auto"/>
        </w:rPr>
      </w:pPr>
      <w:r>
        <w:rPr>
          <w:rFonts w:ascii="Times New Roman" w:cs="Times New Roman" w:eastAsia="Times New Roman" w:hAnsi="Times New Roman"/>
          <w:sz w:val="18"/>
          <w:szCs w:val="18"/>
          <w:color w:val="auto"/>
        </w:rPr>
        <w:t>non-U.S. financial institutions and certain other non-U.S. entities. Specifically, a 30% withholding tax may be imposed on payments of interest on, or (subject to the proposed Treasury Regulations discussed below) gross proceeds from the sale or other disposition of, a debt security paid to a “foreign financial institution”</w:t>
      </w:r>
    </w:p>
    <w:p>
      <w:pPr>
        <w:spacing w:after="0" w:line="1"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interest on a debt security. While withholding under FATCA would have applied also to payments of gross proceeds from the sale or other disposition of a debt security on or after January 1, 2019, proposed Treasury Regulations eliminate FATCA withholding on payments of gross proceeds entirely. Taxpayers generally may rely on these proposed Treasury Regulations until final Treasury Regulations are issued.</w:t>
      </w:r>
    </w:p>
    <w:p>
      <w:pPr>
        <w:spacing w:after="0" w:line="120"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validity of each issue of the debt securities offered will be passed upon for us by Latham &amp; Watkins LLP, Los Angeles, California and Barnes &amp; Thornburg LLP, Indianapolis, Indiana.</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Ernst &amp; Young LLP, independent registered public accounting firm, has audited the consolidated </w:t>
      </w:r>
      <w:hyperlink r:id="rId9">
        <w:r>
          <w:rPr>
            <w:rFonts w:ascii="Times New Roman" w:cs="Times New Roman" w:eastAsia="Times New Roman" w:hAnsi="Times New Roman"/>
            <w:sz w:val="18"/>
            <w:szCs w:val="18"/>
            <w:color w:val="auto"/>
          </w:rPr>
          <w:t xml:space="preserve">financial statements and schedule of Simon Property Group, L.P., included in its </w:t>
        </w:r>
        <w:r>
          <w:rPr>
            <w:rFonts w:ascii="Times New Roman" w:cs="Times New Roman" w:eastAsia="Times New Roman" w:hAnsi="Times New Roman"/>
            <w:sz w:val="18"/>
            <w:szCs w:val="18"/>
            <w:u w:val="single" w:color="auto"/>
            <w:color w:val="0000EE"/>
          </w:rPr>
          <w:t>Annual Report on Form 10-</w:t>
        </w:r>
      </w:hyperlink>
      <w:hyperlink r:id="rId9">
        <w:r>
          <w:rPr>
            <w:rFonts w:ascii="Times New Roman" w:cs="Times New Roman" w:eastAsia="Times New Roman" w:hAnsi="Times New Roman"/>
            <w:sz w:val="18"/>
            <w:szCs w:val="18"/>
            <w:u w:val="single" w:color="auto"/>
            <w:color w:val="0000EE"/>
          </w:rPr>
          <w:t>K for the year ended December 31, 2024</w:t>
        </w:r>
        <w:r>
          <w:rPr>
            <w:rFonts w:ascii="Times New Roman" w:cs="Times New Roman" w:eastAsia="Times New Roman" w:hAnsi="Times New Roman"/>
            <w:sz w:val="18"/>
            <w:szCs w:val="18"/>
            <w:color w:val="000000"/>
          </w:rPr>
          <w:t>, and the effectiveness of Simon Property Group, L.P.’s internal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control over financial reporting as of December 31, 2024, as set forth in their reports, which are incorporated by reference in this prospectus and elsewhere in the registration statement. These financial statements and schedule are incorporated by reference in reliance on Ernst &amp; Young LLP’s reports, given on their authority as experts in accounting and auditing.</w:t>
      </w:r>
    </w:p>
    <w:p>
      <w:pPr>
        <w:spacing w:after="0" w:line="18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INDEMNIFICATION FOR SECURITIES ACT</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2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Pursuant to our partnership agreement and the articles of incorporation and bylaws of Simon Property, we will indemnify any of our officers or directors who is made or threatened to be made a party to any action, suit or proceeding by reason of the fact that he or she was an officer or director to the fullest extent permitted by Indiana law. Insofar as indemnification for liabilities arising under the Securities Act may be permitted to our directors, officers and persons controlling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OF INFORMATION WE FILE WITH THE SEC</w:t>
      </w:r>
    </w:p>
    <w:p>
      <w:pPr>
        <w:spacing w:after="0" w:line="16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w:t>
      </w:r>
    </w:p>
    <w:p>
      <w:pPr>
        <w:spacing w:after="0" w:line="117"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documents are considered part of this prospectus;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disclose important information to you by referring you to those documents;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we file with the SEC will automatically update and supersede the information in this prospectus and any information that was previously incorporated in this prospectus.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Exchange Act filing number is 001-36110.</w:t>
      </w:r>
    </w:p>
    <w:p>
      <w:pPr>
        <w:spacing w:after="0" w:line="14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part of this prospectus and later information that we file with the SEC will automatically update and supersede this information. We incorporate by reference the following documents and any future filings we make with the SEC under Section 13(a), 13(c), 14 or 15(d) of the Exchange Act (other than documents and information deemed to have been furnished and not filed in accordance with SEC rules) until we have sold all of the securities to which this prospectus relates or the applicable offering of securities is otherwise terminated:</w:t>
      </w:r>
    </w:p>
    <w:p>
      <w:pPr>
        <w:spacing w:after="0" w:line="79" w:lineRule="exact"/>
        <w:rPr>
          <w:sz w:val="20"/>
          <w:szCs w:val="20"/>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u w:val="single" w:color="auto"/>
          <w:color w:val="0000EE"/>
        </w:rPr>
      </w:pPr>
      <w:hyperlink r:id="rId9">
        <w:r>
          <w:rPr>
            <w:rFonts w:ascii="Times New Roman" w:cs="Times New Roman" w:eastAsia="Times New Roman" w:hAnsi="Times New Roman"/>
            <w:sz w:val="18"/>
            <w:szCs w:val="18"/>
            <w:u w:val="single" w:color="auto"/>
            <w:color w:val="0000EE"/>
          </w:rPr>
          <w:t>our Annual Report on Form 10-K for the year ended December 31, 2024;</w:t>
        </w:r>
      </w:hyperlink>
    </w:p>
    <w:p>
      <w:pPr>
        <w:spacing w:after="0" w:line="117" w:lineRule="exact"/>
        <w:rPr>
          <w:rFonts w:ascii="Times New Roman" w:cs="Times New Roman" w:eastAsia="Times New Roman" w:hAnsi="Times New Roman"/>
          <w:sz w:val="18"/>
          <w:szCs w:val="18"/>
          <w:u w:val="single" w:color="auto"/>
          <w:color w:val="0000EE"/>
        </w:rPr>
      </w:pPr>
    </w:p>
    <w:p>
      <w:pPr>
        <w:ind w:left="1800" w:right="899" w:hanging="180"/>
        <w:spacing w:after="0" w:line="282" w:lineRule="auto"/>
        <w:tabs>
          <w:tab w:leader="none" w:pos="1800" w:val="left"/>
        </w:tabs>
        <w:numPr>
          <w:ilvl w:val="0"/>
          <w:numId w:val="6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w:t>
      </w:r>
      <w:hyperlink r:id="rId90">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2">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3">
        <w:r>
          <w:rPr>
            <w:rFonts w:ascii="Times New Roman" w:cs="Times New Roman" w:eastAsia="Times New Roman" w:hAnsi="Times New Roman"/>
            <w:sz w:val="18"/>
            <w:szCs w:val="18"/>
            <w:u w:val="single" w:color="auto"/>
            <w:color w:val="0000EE"/>
          </w:rPr>
          <w:t>May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4">
        <w:r>
          <w:rPr>
            <w:rFonts w:ascii="Times New Roman" w:cs="Times New Roman" w:eastAsia="Times New Roman" w:hAnsi="Times New Roman"/>
            <w:sz w:val="18"/>
            <w:szCs w:val="18"/>
            <w:u w:val="single" w:color="auto"/>
            <w:color w:val="0000EE"/>
          </w:rPr>
          <w:t>August 19, 2025</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receive a free copy of any of the documents incorporated by reference in this prospectus (other than exhibits, unless they are specifically incorporated by reference in the document), call or write us at the following address: Simon Property Group, 225 West Washington Street, Indianapolis, Indiana 46204, Attention: Investor Relations (317) 685-7330.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178435</wp:posOffset>
            </wp:positionV>
            <wp:extent cx="2228850" cy="883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2288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30"/>
          <w:szCs w:val="30"/>
          <w:b w:val="1"/>
          <w:bCs w:val="1"/>
          <w:color w:val="auto"/>
        </w:rPr>
        <w:t>SIMON PROPERTY GROUP, L.P.</w:t>
      </w:r>
    </w:p>
    <w:p>
      <w:pPr>
        <w:spacing w:after="0" w:line="25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5"/>
          <w:szCs w:val="25"/>
          <w:b w:val="1"/>
          <w:bCs w:val="1"/>
          <w:color w:val="auto"/>
        </w:rPr>
        <w:t>        %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890270</wp:posOffset>
            </wp:positionV>
            <wp:extent cx="1234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4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Deutsche Bank Securities</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1158240</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lowerRoman"/>
      <w:start w:val="2"/>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lowerRoman"/>
      <w:start w:val="1"/>
    </w:lvl>
  </w:abstractNum>
  <w:abstractNum w:abstractNumId="13">
    <w:nsid w:val="2D517796"/>
    <w:multiLevelType w:val="hybridMultilevel"/>
    <w:lvl w:ilvl="0">
      <w:lvlJc w:val="left"/>
      <w:lvlText w:val="(%1)"/>
      <w:numFmt w:val="lowerRoman"/>
      <w:start w:val="2"/>
    </w:lvl>
  </w:abstractNum>
  <w:abstractNum w:abstractNumId="14">
    <w:nsid w:val="580BD78F"/>
    <w:multiLevelType w:val="hybridMultilevel"/>
    <w:lvl w:ilvl="0">
      <w:lvlJc w:val="left"/>
      <w:lvlText w:val="(%1)"/>
      <w:numFmt w:val="lowerRoman"/>
      <w:start w:val="4"/>
    </w:lvl>
  </w:abstractNum>
  <w:abstractNum w:abstractNumId="15">
    <w:nsid w:val="153EA438"/>
    <w:multiLevelType w:val="hybridMultilevel"/>
    <w:lvl w:ilvl="0">
      <w:lvlJc w:val="left"/>
      <w:lvlText w:val="(%1)"/>
      <w:numFmt w:val="lowerRoman"/>
      <w:start w:val="2"/>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5"/>
    </w:lvl>
    <w:lvl w:ilvl="1">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3"/>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lvl w:ilvl="1">
      <w:lvlJc w:val="left"/>
      <w:lvlText w:val="•"/>
      <w:numFmt w:val="bullet"/>
      <w:start w:val="1"/>
    </w:lvl>
  </w:abstractNum>
  <w:abstractNum w:abstractNumId="31">
    <w:nsid w:val="684A481A"/>
    <w:multiLevelType w:val="hybridMultilevel"/>
    <w:lvl w:ilvl="0">
      <w:lvlJc w:val="left"/>
      <w:lvlText w:val="(%1)"/>
      <w:numFmt w:val="lowerRoman"/>
      <w:start w:val="2"/>
    </w:lvl>
  </w:abstractNum>
  <w:abstractNum w:abstractNumId="32">
    <w:nsid w:val="579478FE"/>
    <w:multiLevelType w:val="hybridMultilevel"/>
    <w:lvl w:ilvl="0">
      <w:lvlJc w:val="left"/>
      <w:lvlText w:val="(%1)"/>
      <w:numFmt w:val="lowerRoman"/>
      <w:start w:val="3"/>
    </w:lvl>
  </w:abstractNum>
  <w:abstractNum w:abstractNumId="33">
    <w:nsid w:val="749ABB43"/>
    <w:multiLevelType w:val="hybridMultilevel"/>
    <w:lvl w:ilvl="0">
      <w:lvlJc w:val="left"/>
      <w:lvlText w:val="(%1)"/>
      <w:numFmt w:val="lowerRoman"/>
      <w:start w:val="3"/>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lowerRoman"/>
      <w:start w:val="1"/>
    </w:lvl>
  </w:abstractNum>
  <w:abstractNum w:abstractNumId="37">
    <w:nsid w:val="75C6C33A"/>
    <w:multiLevelType w:val="hybridMultilevel"/>
    <w:lvl w:ilvl="0">
      <w:lvlJc w:val="left"/>
      <w:lvlText w:val="(%1)"/>
      <w:numFmt w:val="lowerRoman"/>
      <w:start w:val="3"/>
    </w:lvl>
  </w:abstractNum>
  <w:abstractNum w:abstractNumId="38">
    <w:nsid w:val="12E685FB"/>
    <w:multiLevelType w:val="hybridMultilevel"/>
    <w:lvl w:ilvl="0">
      <w:lvlJc w:val="left"/>
      <w:lvlText w:val="(%1)"/>
      <w:numFmt w:val="lowerLetter"/>
      <w:start w:val="1"/>
    </w:lvl>
    <w:lvl w:ilvl="1">
      <w:lvlJc w:val="left"/>
      <w:lvlText w:val="(%2)"/>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lvl w:ilvl="1">
      <w:lvlJc w:val="left"/>
      <w:lvlText w:val="•"/>
      <w:numFmt w:val="bullet"/>
      <w:start w:val="1"/>
    </w:lvl>
  </w:abstractNum>
  <w:abstractNum w:abstractNumId="41">
    <w:nsid w:val="374A3FE6"/>
    <w:multiLevelType w:val="hybridMultilevel"/>
    <w:lvl w:ilvl="0">
      <w:lvlJc w:val="left"/>
      <w:lvlText w:val="•"/>
      <w:numFmt w:val="bullet"/>
      <w:start w:val="1"/>
    </w:lvl>
    <w:lvl w:ilvl="1">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6"/>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jpe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9" Type="http://schemas.openxmlformats.org/officeDocument/2006/relationships/hyperlink" Target="https://www.sec.gov/ix?doc=/Archives/edgar/data/1022344/000155837025001271/spg-20241231x10k.htm" TargetMode="External"/><Relationship Id="rId90" Type="http://schemas.openxmlformats.org/officeDocument/2006/relationships/hyperlink" Target="https://www.sec.gov/ix?doc=/Archives/edgar/data/1022344/000155837025007380/spg-20250331x10q.htm" TargetMode="External"/><Relationship Id="rId91" Type="http://schemas.openxmlformats.org/officeDocument/2006/relationships/hyperlink" Target="https://www.sec.gov/ix?doc=/Archives/edgar/data/1022344/000155837025010639/spg-20250630x10q.htm" TargetMode="External"/><Relationship Id="rId92" Type="http://schemas.openxmlformats.org/officeDocument/2006/relationships/hyperlink" Target="https://www.sec.gov/ix?doc=/Archives/edgar/data/1022344/000110465925107395/spg-20250930x10q.htm" TargetMode="External"/><Relationship Id="rId93" Type="http://schemas.openxmlformats.org/officeDocument/2006/relationships/hyperlink" Target="https://www.sec.gov/ix?doc=/Archives/edgar/data/1022344/000110465925049284/tm2515129d1_8k.htm" TargetMode="External"/><Relationship Id="rId94" Type="http://schemas.openxmlformats.org/officeDocument/2006/relationships/hyperlink" Target="https://www.sec.gov/ix?doc=/Archives/edgar/data/1022344/000110465925080255/tm252371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2026-01-06T09:28:07Z</dcterms:created>
  <dcterms:modified xsi:type="dcterms:W3CDTF">2026-01-06T09:28:07Z</dcterms:modified>
</cp:coreProperties>
</file>