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6, 2026</w:t>
      </w:r>
    </w:p>
    <w:p>
      <w:pPr>
        <w:spacing w:after="0" w:line="15" w:lineRule="exact"/>
        <w:rPr>
          <w:sz w:val="24"/>
          <w:szCs w:val="24"/>
          <w:color w:val="auto"/>
        </w:rPr>
      </w:pPr>
    </w:p>
    <w:p>
      <w:pPr>
        <w:ind w:left="8320"/>
        <w:spacing w:after="0"/>
        <w:rPr>
          <w:sz w:val="20"/>
          <w:szCs w:val="20"/>
          <w:color w:val="auto"/>
        </w:rPr>
      </w:pPr>
      <w:r>
        <w:rPr>
          <w:rFonts w:ascii="Times New Roman" w:cs="Times New Roman" w:eastAsia="Times New Roman" w:hAnsi="Times New Roman"/>
          <w:sz w:val="15"/>
          <w:szCs w:val="15"/>
          <w:b w:val="1"/>
          <w:bCs w:val="1"/>
          <w:color w:val="auto"/>
        </w:rPr>
        <w:t>Registration Nos. 333-277297</w:t>
      </w:r>
    </w:p>
    <w:p>
      <w:pPr>
        <w:ind w:left="9320"/>
        <w:spacing w:after="0"/>
        <w:rPr>
          <w:sz w:val="20"/>
          <w:szCs w:val="20"/>
          <w:color w:val="auto"/>
        </w:rPr>
      </w:pPr>
      <w:r>
        <w:rPr>
          <w:rFonts w:ascii="Times New Roman" w:cs="Times New Roman" w:eastAsia="Times New Roman" w:hAnsi="Times New Roman"/>
          <w:sz w:val="15"/>
          <w:szCs w:val="15"/>
          <w:b w:val="1"/>
          <w:bCs w:val="1"/>
          <w:color w:val="auto"/>
        </w:rPr>
        <w:t>333-277297-01​</w:t>
      </w:r>
    </w:p>
    <w:p>
      <w:pPr>
        <w:spacing w:after="0" w:line="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83820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5"/>
          <w:szCs w:val="25"/>
          <w:b w:val="1"/>
          <w:bCs w:val="1"/>
          <w:color w:val="auto"/>
        </w:rPr>
        <w:t>POST-EFFECTIVE AMENDMENT NO. 1</w:t>
      </w:r>
    </w:p>
    <w:p>
      <w:pPr>
        <w:ind w:left="5160"/>
        <w:spacing w:after="0"/>
        <w:rPr>
          <w:sz w:val="20"/>
          <w:szCs w:val="20"/>
          <w:color w:val="auto"/>
        </w:rPr>
      </w:pPr>
      <w:r>
        <w:rPr>
          <w:rFonts w:ascii="Times New Roman" w:cs="Times New Roman" w:eastAsia="Times New Roman" w:hAnsi="Times New Roman"/>
          <w:sz w:val="25"/>
          <w:szCs w:val="25"/>
          <w:b w:val="1"/>
          <w:bCs w:val="1"/>
          <w:color w:val="auto"/>
        </w:rPr>
        <w:t>TO</w:t>
      </w:r>
    </w:p>
    <w:p>
      <w:pPr>
        <w:ind w:left="4800"/>
        <w:spacing w:after="0" w:line="217" w:lineRule="auto"/>
        <w:rPr>
          <w:sz w:val="20"/>
          <w:szCs w:val="20"/>
          <w:color w:val="auto"/>
        </w:rPr>
      </w:pPr>
      <w:r>
        <w:rPr>
          <w:rFonts w:ascii="Times New Roman" w:cs="Times New Roman" w:eastAsia="Times New Roman" w:hAnsi="Times New Roman"/>
          <w:sz w:val="25"/>
          <w:szCs w:val="25"/>
          <w:b w:val="1"/>
          <w:bCs w:val="1"/>
          <w:color w:val="auto"/>
        </w:rPr>
        <w:t>FORM S-3</w:t>
      </w:r>
    </w:p>
    <w:p>
      <w:pPr>
        <w:ind w:left="4280"/>
        <w:spacing w:after="0" w:line="229" w:lineRule="auto"/>
        <w:rPr>
          <w:sz w:val="20"/>
          <w:szCs w:val="20"/>
          <w:color w:val="auto"/>
        </w:rPr>
      </w:pPr>
      <w:r>
        <w:rPr>
          <w:rFonts w:ascii="Times New Roman" w:cs="Times New Roman" w:eastAsia="Times New Roman" w:hAnsi="Times New Roman"/>
          <w:sz w:val="16"/>
          <w:szCs w:val="16"/>
          <w:b w:val="1"/>
          <w:bCs w:val="1"/>
          <w:color w:val="auto"/>
        </w:rPr>
        <w:t>REGISTRATION STATEMENT</w:t>
      </w:r>
    </w:p>
    <w:p>
      <w:pPr>
        <w:ind w:left="5140"/>
        <w:spacing w:after="0" w:line="211" w:lineRule="auto"/>
        <w:rPr>
          <w:sz w:val="20"/>
          <w:szCs w:val="20"/>
          <w:color w:val="auto"/>
        </w:rPr>
      </w:pPr>
      <w:r>
        <w:rPr>
          <w:rFonts w:ascii="Times New Roman" w:cs="Times New Roman" w:eastAsia="Times New Roman" w:hAnsi="Times New Roman"/>
          <w:sz w:val="16"/>
          <w:szCs w:val="16"/>
          <w:b w:val="1"/>
          <w:bCs w:val="1"/>
          <w:color w:val="auto"/>
        </w:rPr>
        <w:t>Under</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48895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SIMON PROPERTY GROUP, INC. AND</w:t>
      </w:r>
    </w:p>
    <w:p>
      <w:pPr>
        <w:spacing w:after="0" w:line="1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SIMON PROPERTY GROUP, L.P.</w:t>
      </w:r>
    </w:p>
    <w:p>
      <w:pPr>
        <w:spacing w:after="0" w:line="2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color w:val="auto"/>
        </w:rPr>
        <w:t>(Exact name of registrants as specified in its charter)</w:t>
      </w:r>
    </w:p>
    <w:p>
      <w:pPr>
        <w:spacing w:after="0" w:line="99"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1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3"/>
              </w:rPr>
              <w:t>Simon Property Group, Inc. — Indiana</w:t>
            </w:r>
          </w:p>
        </w:tc>
        <w:tc>
          <w:tcPr>
            <w:tcW w:w="9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 ​</w:t>
            </w:r>
          </w:p>
        </w:tc>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Simon Property Group, Inc. — 04-6268599</w:t>
            </w:r>
          </w:p>
        </w:tc>
        <w:tc>
          <w:tcPr>
            <w:tcW w:w="54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69"/>
        </w:trPr>
        <w:tc>
          <w:tcPr>
            <w:tcW w:w="340" w:type="dxa"/>
            <w:vAlign w:val="bottom"/>
          </w:tcPr>
          <w:p>
            <w:pPr>
              <w:spacing w:after="0"/>
              <w:rPr>
                <w:sz w:val="14"/>
                <w:szCs w:val="14"/>
                <w:color w:val="auto"/>
              </w:rPr>
            </w:pPr>
          </w:p>
        </w:tc>
        <w:tc>
          <w:tcPr>
            <w:tcW w:w="4120" w:type="dxa"/>
            <w:vAlign w:val="bottom"/>
          </w:tcPr>
          <w:p>
            <w:pPr>
              <w:jc w:val="center"/>
              <w:ind w:right="25"/>
              <w:spacing w:after="0" w:line="168" w:lineRule="exact"/>
              <w:rPr>
                <w:sz w:val="20"/>
                <w:szCs w:val="20"/>
                <w:color w:val="auto"/>
              </w:rPr>
            </w:pPr>
            <w:r>
              <w:rPr>
                <w:rFonts w:ascii="Times New Roman" w:cs="Times New Roman" w:eastAsia="Times New Roman" w:hAnsi="Times New Roman"/>
                <w:sz w:val="16"/>
                <w:szCs w:val="16"/>
                <w:b w:val="1"/>
                <w:bCs w:val="1"/>
                <w:color w:val="auto"/>
                <w:w w:val="92"/>
              </w:rPr>
              <w:t>Simon Property Group, L.P. — Indiana</w:t>
            </w:r>
          </w:p>
        </w:tc>
        <w:tc>
          <w:tcPr>
            <w:tcW w:w="980" w:type="dxa"/>
            <w:vAlign w:val="bottom"/>
          </w:tcPr>
          <w:p>
            <w:pPr>
              <w:spacing w:after="0"/>
              <w:rPr>
                <w:sz w:val="14"/>
                <w:szCs w:val="14"/>
                <w:color w:val="auto"/>
              </w:rPr>
            </w:pPr>
          </w:p>
        </w:tc>
        <w:tc>
          <w:tcPr>
            <w:tcW w:w="3780" w:type="dxa"/>
            <w:vAlign w:val="bottom"/>
          </w:tcPr>
          <w:p>
            <w:pPr>
              <w:ind w:left="520"/>
              <w:spacing w:after="0" w:line="168" w:lineRule="exact"/>
              <w:rPr>
                <w:sz w:val="20"/>
                <w:szCs w:val="20"/>
                <w:color w:val="auto"/>
              </w:rPr>
            </w:pPr>
            <w:r>
              <w:rPr>
                <w:rFonts w:ascii="Times New Roman" w:cs="Times New Roman" w:eastAsia="Times New Roman" w:hAnsi="Times New Roman"/>
                <w:sz w:val="16"/>
                <w:szCs w:val="16"/>
                <w:b w:val="1"/>
                <w:bCs w:val="1"/>
                <w:color w:val="auto"/>
              </w:rPr>
              <w:t>Simon Property Group, L.P. — 34-1755769</w:t>
            </w:r>
          </w:p>
        </w:tc>
        <w:tc>
          <w:tcPr>
            <w:tcW w:w="540" w:type="dxa"/>
            <w:vAlign w:val="bottom"/>
          </w:tcPr>
          <w:p>
            <w:pPr>
              <w:spacing w:after="0"/>
              <w:rPr>
                <w:sz w:val="14"/>
                <w:szCs w:val="14"/>
                <w:color w:val="auto"/>
              </w:rPr>
            </w:pPr>
          </w:p>
        </w:tc>
      </w:tr>
      <w:tr>
        <w:trPr>
          <w:trHeight w:val="208"/>
        </w:trPr>
        <w:tc>
          <w:tcPr>
            <w:tcW w:w="340" w:type="dxa"/>
            <w:vAlign w:val="bottom"/>
          </w:tcPr>
          <w:p>
            <w:pPr>
              <w:spacing w:after="0"/>
              <w:rPr>
                <w:sz w:val="18"/>
                <w:szCs w:val="18"/>
                <w:color w:val="auto"/>
              </w:rPr>
            </w:pPr>
          </w:p>
        </w:tc>
        <w:tc>
          <w:tcPr>
            <w:tcW w:w="4120" w:type="dxa"/>
            <w:vAlign w:val="bottom"/>
          </w:tcPr>
          <w:p>
            <w:pPr>
              <w:jc w:val="center"/>
              <w:ind w:right="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980" w:type="dxa"/>
            <w:vAlign w:val="bottom"/>
          </w:tcPr>
          <w:p>
            <w:pPr>
              <w:spacing w:after="0"/>
              <w:rPr>
                <w:sz w:val="18"/>
                <w:szCs w:val="18"/>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540" w:type="dxa"/>
            <w:vAlign w:val="bottom"/>
          </w:tcPr>
          <w:p>
            <w:pPr>
              <w:spacing w:after="0"/>
              <w:rPr>
                <w:sz w:val="18"/>
                <w:szCs w:val="18"/>
                <w:color w:val="auto"/>
              </w:rPr>
            </w:pPr>
          </w:p>
        </w:tc>
      </w:tr>
    </w:tbl>
    <w:p>
      <w:pPr>
        <w:spacing w:after="0" w:line="10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225 West Washington Street, Indianapolis, IN 46204; (317) 636-1600</w:t>
      </w:r>
    </w:p>
    <w:p>
      <w:pPr>
        <w:spacing w:after="0" w:line="2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58420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Steven E. Fivel</w:t>
      </w:r>
    </w:p>
    <w:p>
      <w:pPr>
        <w:ind w:left="4600"/>
        <w:spacing w:after="0" w:line="226" w:lineRule="auto"/>
        <w:rPr>
          <w:sz w:val="20"/>
          <w:szCs w:val="20"/>
          <w:color w:val="auto"/>
        </w:rPr>
      </w:pPr>
      <w:r>
        <w:rPr>
          <w:rFonts w:ascii="Times New Roman" w:cs="Times New Roman" w:eastAsia="Times New Roman" w:hAnsi="Times New Roman"/>
          <w:sz w:val="16"/>
          <w:szCs w:val="16"/>
          <w:b w:val="1"/>
          <w:bCs w:val="1"/>
          <w:color w:val="auto"/>
        </w:rPr>
        <w:t>Simon Property Group</w:t>
      </w:r>
    </w:p>
    <w:p>
      <w:pPr>
        <w:jc w:val="center"/>
        <w:ind w:right="-419"/>
        <w:spacing w:after="0" w:line="229" w:lineRule="auto"/>
        <w:rPr>
          <w:sz w:val="20"/>
          <w:szCs w:val="20"/>
          <w:color w:val="auto"/>
        </w:rPr>
      </w:pPr>
      <w:r>
        <w:rPr>
          <w:rFonts w:ascii="Times New Roman" w:cs="Times New Roman" w:eastAsia="Times New Roman" w:hAnsi="Times New Roman"/>
          <w:sz w:val="16"/>
          <w:szCs w:val="16"/>
          <w:b w:val="1"/>
          <w:bCs w:val="1"/>
          <w:color w:val="auto"/>
        </w:rPr>
        <w:t>225 West Washington Street</w:t>
      </w:r>
    </w:p>
    <w:p>
      <w:pPr>
        <w:jc w:val="center"/>
        <w:ind w:right="-419"/>
        <w:spacing w:after="0" w:line="229" w:lineRule="auto"/>
        <w:rPr>
          <w:sz w:val="20"/>
          <w:szCs w:val="20"/>
          <w:color w:val="auto"/>
        </w:rPr>
      </w:pPr>
      <w:r>
        <w:rPr>
          <w:rFonts w:ascii="Times New Roman" w:cs="Times New Roman" w:eastAsia="Times New Roman" w:hAnsi="Times New Roman"/>
          <w:sz w:val="16"/>
          <w:szCs w:val="16"/>
          <w:b w:val="1"/>
          <w:bCs w:val="1"/>
          <w:color w:val="auto"/>
        </w:rPr>
        <w:t>Indianapolis, Indiana 46204</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(317) 636-1600</w:t>
      </w:r>
    </w:p>
    <w:p>
      <w:pPr>
        <w:spacing w:after="0" w:line="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r>
        <w:rPr>
          <w:rFonts w:ascii="Times New Roman" w:cs="Times New Roman" w:eastAsia="Times New Roman" w:hAnsi="Times New Roman"/>
          <w:sz w:val="15"/>
          <w:szCs w:val="15"/>
          <w:color w:val="auto"/>
        </w:rPr>
        <w:t>​</w:t>
      </w:r>
    </w:p>
    <w:p>
      <w:pPr>
        <w:spacing w:after="0" w:line="2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3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Julian T.H. Kleindorfer</w:t>
      </w:r>
    </w:p>
    <w:p>
      <w:pPr>
        <w:spacing w:after="0" w:line="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Lewis W. Kneib</w:t>
      </w:r>
    </w:p>
    <w:p>
      <w:pPr>
        <w:jc w:val="center"/>
        <w:ind w:right="-419"/>
        <w:spacing w:after="0" w:line="211" w:lineRule="auto"/>
        <w:rPr>
          <w:sz w:val="20"/>
          <w:szCs w:val="20"/>
          <w:color w:val="auto"/>
        </w:rPr>
      </w:pPr>
      <w:r>
        <w:rPr>
          <w:rFonts w:ascii="Times New Roman" w:cs="Times New Roman" w:eastAsia="Times New Roman" w:hAnsi="Times New Roman"/>
          <w:sz w:val="16"/>
          <w:szCs w:val="16"/>
          <w:b w:val="1"/>
          <w:bCs w:val="1"/>
          <w:color w:val="auto"/>
        </w:rPr>
        <w:t>Alexa M. Berlin</w:t>
      </w:r>
    </w:p>
    <w:p>
      <w:pPr>
        <w:ind w:left="4560"/>
        <w:spacing w:after="0" w:line="229" w:lineRule="auto"/>
        <w:rPr>
          <w:sz w:val="20"/>
          <w:szCs w:val="20"/>
          <w:color w:val="auto"/>
        </w:rPr>
      </w:pPr>
      <w:r>
        <w:rPr>
          <w:rFonts w:ascii="Times New Roman" w:cs="Times New Roman" w:eastAsia="Times New Roman" w:hAnsi="Times New Roman"/>
          <w:sz w:val="16"/>
          <w:szCs w:val="16"/>
          <w:b w:val="1"/>
          <w:bCs w:val="1"/>
          <w:color w:val="auto"/>
        </w:rPr>
        <w:t>Latham &amp; Watkins LLP</w:t>
      </w:r>
    </w:p>
    <w:p>
      <w:pPr>
        <w:ind w:left="4540"/>
        <w:spacing w:after="0" w:line="229" w:lineRule="auto"/>
        <w:rPr>
          <w:sz w:val="20"/>
          <w:szCs w:val="20"/>
          <w:color w:val="auto"/>
        </w:rPr>
      </w:pPr>
      <w:r>
        <w:rPr>
          <w:rFonts w:ascii="Times New Roman" w:cs="Times New Roman" w:eastAsia="Times New Roman" w:hAnsi="Times New Roman"/>
          <w:sz w:val="16"/>
          <w:szCs w:val="16"/>
          <w:b w:val="1"/>
          <w:bCs w:val="1"/>
          <w:color w:val="auto"/>
        </w:rPr>
        <w:t>355 South Grand Avenue</w:t>
      </w:r>
    </w:p>
    <w:p>
      <w:pPr>
        <w:jc w:val="center"/>
        <w:ind w:right="-419"/>
        <w:spacing w:after="0" w:line="211" w:lineRule="auto"/>
        <w:rPr>
          <w:sz w:val="20"/>
          <w:szCs w:val="20"/>
          <w:color w:val="auto"/>
        </w:rPr>
      </w:pPr>
      <w:r>
        <w:rPr>
          <w:rFonts w:ascii="Times New Roman" w:cs="Times New Roman" w:eastAsia="Times New Roman" w:hAnsi="Times New Roman"/>
          <w:sz w:val="16"/>
          <w:szCs w:val="16"/>
          <w:b w:val="1"/>
          <w:bCs w:val="1"/>
          <w:color w:val="auto"/>
        </w:rPr>
        <w:t>Los Angeles, California 90071</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(213) 485-1234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57785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From time to time or at one time after the effective date of the Registration Statement.</w:t>
      </w:r>
    </w:p>
    <w:p>
      <w:pPr>
        <w:spacing w:after="0" w:line="41" w:lineRule="exact"/>
        <w:rPr>
          <w:sz w:val="24"/>
          <w:szCs w:val="24"/>
          <w:color w:val="auto"/>
        </w:rPr>
      </w:pPr>
    </w:p>
    <w:p>
      <w:pPr>
        <w:ind w:left="500" w:right="44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14" w:lineRule="exact"/>
        <w:rPr>
          <w:sz w:val="24"/>
          <w:szCs w:val="24"/>
          <w:color w:val="auto"/>
        </w:rPr>
      </w:pPr>
    </w:p>
    <w:p>
      <w:pPr>
        <w:ind w:left="500" w:right="340" w:firstLine="360"/>
        <w:spacing w:after="0" w:line="19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4" w:lineRule="exact"/>
        <w:rPr>
          <w:sz w:val="24"/>
          <w:szCs w:val="24"/>
          <w:color w:val="auto"/>
        </w:rPr>
      </w:pPr>
    </w:p>
    <w:p>
      <w:pPr>
        <w:ind w:left="500" w:right="52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 w:lineRule="exact"/>
        <w:rPr>
          <w:sz w:val="24"/>
          <w:szCs w:val="24"/>
          <w:color w:val="auto"/>
        </w:rPr>
      </w:pPr>
    </w:p>
    <w:p>
      <w:pPr>
        <w:ind w:left="500" w:right="62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4" w:lineRule="exact"/>
        <w:rPr>
          <w:sz w:val="24"/>
          <w:szCs w:val="24"/>
          <w:color w:val="auto"/>
        </w:rPr>
      </w:pPr>
    </w:p>
    <w:p>
      <w:pPr>
        <w:ind w:left="500" w:right="180" w:firstLine="360"/>
        <w:spacing w:after="0" w:line="19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 -effective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4" w:lineRule="exact"/>
        <w:rPr>
          <w:sz w:val="24"/>
          <w:szCs w:val="24"/>
          <w:color w:val="auto"/>
        </w:rPr>
      </w:pPr>
    </w:p>
    <w:p>
      <w:pPr>
        <w:ind w:left="500" w:right="40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w:t>
      </w:r>
    </w:p>
    <w:p>
      <w:pPr>
        <w:spacing w:after="0" w:line="10" w:lineRule="exact"/>
        <w:rPr>
          <w:sz w:val="24"/>
          <w:szCs w:val="24"/>
          <w:color w:val="auto"/>
        </w:rPr>
      </w:pPr>
    </w:p>
    <w:p>
      <w:pPr>
        <w:ind w:left="500" w:right="360"/>
        <w:spacing w:after="0" w:line="226" w:lineRule="auto"/>
        <w:rPr>
          <w:sz w:val="20"/>
          <w:szCs w:val="20"/>
          <w:color w:val="auto"/>
        </w:rPr>
      </w:pPr>
      <w:r>
        <w:rPr>
          <w:rFonts w:ascii="Times New Roman" w:cs="Times New Roman" w:eastAsia="Times New Roman" w:hAnsi="Times New Roman"/>
          <w:sz w:val="16"/>
          <w:szCs w:val="16"/>
          <w:color w:val="auto"/>
        </w:rPr>
        <w:t>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280"/>
          </w:cols>
          <w:pgMar w:left="580" w:top="205" w:right="1039" w:bottom="1440" w:gutter="0" w:footer="0" w:header="0"/>
        </w:sectPr>
      </w:pPr>
    </w:p>
    <w:p>
      <w:pPr>
        <w:spacing w:after="0" w:line="34" w:lineRule="exact"/>
        <w:rPr>
          <w:sz w:val="24"/>
          <w:szCs w:val="24"/>
          <w:color w:val="auto"/>
        </w:rPr>
      </w:pPr>
    </w:p>
    <w:p>
      <w:pPr>
        <w:ind w:left="8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ind w:left="860"/>
        <w:spacing w:after="0" w:line="19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(Simon Property Group, Inc.)</w:t>
      </w:r>
    </w:p>
    <w:p>
      <w:pPr>
        <w:ind w:left="860"/>
        <w:spacing w:after="0" w:line="217" w:lineRule="exact"/>
        <w:rPr>
          <w:sz w:val="20"/>
          <w:szCs w:val="20"/>
          <w:color w:val="auto"/>
        </w:rPr>
      </w:pPr>
      <w:r>
        <w:rPr>
          <w:rFonts w:ascii="Times New Roman" w:cs="Times New Roman" w:eastAsia="Times New Roman" w:hAnsi="Times New Roman"/>
          <w:sz w:val="13"/>
          <w:szCs w:val="13"/>
          <w:color w:val="auto"/>
        </w:rPr>
        <w:t>Non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-accelerated </w:t>
      </w:r>
      <w:r>
        <w:rPr>
          <w:rFonts w:ascii="MS PGothic" w:cs="MS PGothic" w:eastAsia="MS PGothic" w:hAnsi="MS PGothic"/>
          <w:sz w:val="13"/>
          <w:szCs w:val="13"/>
          <w:color w:val="auto"/>
        </w:rPr>
        <w:t>☒</w:t>
      </w:r>
    </w:p>
    <w:p>
      <w:pPr>
        <w:ind w:left="860"/>
        <w:spacing w:after="0" w:line="197" w:lineRule="auto"/>
        <w:rPr>
          <w:sz w:val="20"/>
          <w:szCs w:val="20"/>
          <w:color w:val="auto"/>
        </w:rPr>
      </w:pPr>
      <w:r>
        <w:rPr>
          <w:rFonts w:ascii="Times New Roman" w:cs="Times New Roman" w:eastAsia="Times New Roman" w:hAnsi="Times New Roman"/>
          <w:sz w:val="16"/>
          <w:szCs w:val="16"/>
          <w:color w:val="auto"/>
        </w:rPr>
        <w:t>(Simon</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Property Group, L.P.)</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 ​ Accelerated filer </w:t>
            </w:r>
            <w:r>
              <w:rPr>
                <w:rFonts w:ascii="MS PGothic" w:cs="MS PGothic" w:eastAsia="MS PGothic" w:hAnsi="MS PGothic"/>
                <w:sz w:val="16"/>
                <w:szCs w:val="16"/>
                <w:color w:val="auto"/>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6"/>
        </w:trPr>
        <w:tc>
          <w:tcPr>
            <w:tcW w:w="236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Smaller reporting company </w:t>
            </w:r>
            <w:r>
              <w:rPr>
                <w:rFonts w:ascii="MS PGothic" w:cs="MS PGothic" w:eastAsia="MS PGothic" w:hAnsi="MS PGothic"/>
                <w:sz w:val="13"/>
                <w:szCs w:val="13"/>
                <w:color w:val="auto"/>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6"/>
        </w:trPr>
        <w:tc>
          <w:tcPr>
            <w:tcW w:w="236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 </w:t>
            </w:r>
            <w:r>
              <w:rPr>
                <w:rFonts w:ascii="MS PGothic" w:cs="MS PGothic" w:eastAsia="MS PGothic" w:hAnsi="MS PGothic"/>
                <w:sz w:val="13"/>
                <w:szCs w:val="13"/>
                <w:color w:val="auto"/>
              </w:rPr>
              <w:t>☐</w:t>
            </w:r>
          </w:p>
        </w:tc>
        <w:tc>
          <w:tcPr>
            <w:tcW w:w="200" w:type="dxa"/>
            <w:vAlign w:val="bottom"/>
          </w:tcPr>
          <w:p>
            <w:pPr>
              <w:ind w:left="1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Pr>
          <w:p>
            <w:pPr>
              <w:ind w:left="180"/>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174" w:lineRule="exact"/>
        <w:rPr>
          <w:sz w:val="24"/>
          <w:szCs w:val="24"/>
          <w:color w:val="auto"/>
        </w:rPr>
      </w:pPr>
    </w:p>
    <w:p>
      <w:pPr>
        <w:sectPr>
          <w:pgSz w:w="11900" w:h="16838" w:orient="portrait"/>
          <w:cols w:equalWidth="0" w:num="2">
            <w:col w:w="6620" w:space="720"/>
            <w:col w:w="2940"/>
          </w:cols>
          <w:pgMar w:left="580" w:top="205" w:right="1039" w:bottom="1440" w:gutter="0" w:footer="0" w:header="0"/>
          <w:type w:val="continuous"/>
        </w:sectPr>
      </w:pPr>
    </w:p>
    <w:p>
      <w:pPr>
        <w:ind w:left="500" w:right="80" w:firstLine="360"/>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either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48895</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(this “Amendment”), relates to each Registration Statement on Form S-3 (the “Registration Statement”), File Nos. 333-277297 and 333-277297-01, of Simon Property Group, Inc., an Indiana corporation (the “Company”), and Simon Property Group, L.P., an Indiana limited partnership (the “Operating Partnership”), which was filed with the Securities and Exchange Commission (the “SEC”) and became effective on February 23, 2024.</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Amendment is being filed pursuant to Rule 414 under the Securities Act of 1933, as amended (the “Securities Act”), to reflect (i) the redomestication, by conversion, of the Company from a corporation organized under the laws of the State of Delaware (the “Delaware Corporation”) to a corporation organized under the laws of the State of Indiana (the “Indiana Corporation”) by means of a plan of conversion (the “Plan of Conversion” and, such redomestication, the “Redomestication”), and (ii) the redomestication, by conversion, of the Operating Partnership from a limited partnership formed under the laws of the State of Delaware (the “Delaware OP”) to a limited partnership formed under the laws of the State of Indiana (the “Indiana OP”) by means of a plan of conversion (the “OP Plan of Conversion” and, such redomestication, the “OP Redomestication”).</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On May 14, 2025, the Company filed (i) a certificate of conversion with the Secretary of State of the State of Delaware and (ii) articles of domestication with the Secretary of State of the State of Indiana, pursuant to which the Redomestication became effective on May 15, 2025, at 12:01 a.m. Eastern Time (the “Effective Time”). At the Effective Time:</w:t>
      </w:r>
    </w:p>
    <w:p>
      <w:pPr>
        <w:spacing w:after="0" w:line="72" w:lineRule="exact"/>
        <w:rPr>
          <w:sz w:val="20"/>
          <w:szCs w:val="20"/>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domicile changed from the State of Delaware to the State of Indiana; and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the Company ceased to be governed by the laws of the State of Delaware and the Company’s existing amended and restated certificate of incorporation and amended and restated bylaws, and instead became governed by the laws of the State of Indiana and the articles of incorporation filed with the Secretary of State of the State of Indiana (the “articles of incorporation”) and the bylaws approved by the Company’s board of directors at the 2025 Annual Meeting (the “Meeting”) of shareholders of the Company held on May 14, 2025 (the “bylaws”).</w:t>
      </w:r>
    </w:p>
    <w:p>
      <w:pPr>
        <w:spacing w:after="0" w:line="12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Additionally, on May 14, 2025, the Operating Partnership filed (i) a certificate of conversion with the Secretary of State of the State of Delaware and (ii) articles of domestication with the Secretary of State of the State of Indiana, pursuant to which the OP Redomestication became effective on May 15, 2025, at 12:02 a.m. Eastern Time (the “OP Effective Time”). At the OP Effective Time:</w:t>
      </w:r>
    </w:p>
    <w:p>
      <w:pPr>
        <w:spacing w:after="0" w:line="72"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Partnership’s domicile changed from the State of Delaware to the State of Indiana; and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the Operating Partnership ceased to be governed by the laws of the State of Delaware and the Operating Partnership’s existing amended and restated certificate of limited partnership and eighth amended and restated limited partnership agreement, and instead became governed by the laws of the State of Indiana and the certificate of limited partnership filed with the Secretary of State of the State of Indiana (the “Indiana Certificate of Limited Partnership”) and the ninth amended and restated limited partnership agreement approved by the Company, as general partner of the Operating Partnership, and the Operating Partnership’s limited partners (the “partnership agreement”).</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outstanding share of common stock, par value $0.0001 per share, of the Delaware Corporation (the “Delaware Common Stock”) automatically converted into one outstanding share of common stock, par value $0.0001 per share, of the Indiana Corporation (the “Indiana Common Stock”). The Indiana Common Stock continues to be traded on the New York Stock Exchange (the “NYSE”) under the symbol “SPG.” At the OP Effective Time, (i) each outstanding unit of limited partnership interest of the Delaware OP automatically converted into one outstanding unit of limited partnership interest of the Indiana OP, and (ii) each outstanding long-term incentive plan interest of the Delaware OP automatically converted into one outstanding long-term incentive plan interest of the Indiana 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583565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Except as modified by this Amendment, in accordance with Rule 414 under the Securities Act, the Company and the Operating Partnership hereby expressly adopt the Registration Statement as its own for all purposes of the Securities Act and the Securities Exchange Act of 1934, as amended (the “Exchange Act”). No additional securities are being registered under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7579360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173990</wp:posOffset>
            </wp:positionV>
            <wp:extent cx="178308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SIMON PROPERTY GROUP, INC.</w:t>
      </w:r>
    </w:p>
    <w:p>
      <w:pPr>
        <w:spacing w:after="0" w:line="2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84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2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under a “shelf” registration or continuous offering process. We may sell any combination of the securities described in this prospectus in one or more offerings. We may offer the securities separately or together, in separate series or classes and in amounts, at prices and on terms described in one or more supplements to this prospectus and other offering material.</w:t>
      </w:r>
    </w:p>
    <w:p>
      <w:pPr>
        <w:spacing w:after="0" w:line="10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This prospectus may also be used to offer shares of common stock to be issued to limited partners of Simon Property Group, L.P. in exchange for units of partnership interests or to cover the resale of securities by one or more selling security holders.</w:t>
      </w:r>
    </w:p>
    <w:p>
      <w:pPr>
        <w:spacing w:after="0" w:line="108"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We or any selling security holder may offer and sell these securities to or through one or more underwriters, dealers and agents, or directly to purchasers, on a continuous or delayed basis.</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The specific terms of any securities to be offered, and any other information relating to a specific offering, will be set forth in a post-effective amendment to the registration statement of which this prospectus is a part, in a supplement to this prospectus or in other offering material related to the securities or may be set forth in one or more documents incorporated by reference in this prospectus.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“SPG.”</w:t>
      </w:r>
    </w:p>
    <w:p>
      <w:pPr>
        <w:spacing w:after="0" w:line="1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You should read carefully both this prospectus and any prospectus supplement or other offering material before you make a decision to invest. This prospectus may be used to offer and sell securities only if accompanied by a prospectus supplement.</w:t>
      </w:r>
    </w:p>
    <w:p>
      <w:pPr>
        <w:spacing w:after="0" w:line="104" w:lineRule="exact"/>
        <w:rPr>
          <w:sz w:val="20"/>
          <w:szCs w:val="20"/>
          <w:color w:val="auto"/>
        </w:rPr>
      </w:pPr>
    </w:p>
    <w:p>
      <w:pPr>
        <w:jc w:val="both"/>
        <w:ind w:left="1260" w:right="9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39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The date of this prospectus is January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1770380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WHO</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WE 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 BEING OFFERED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IMPORTANT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PROVISIONS OF OUR GOVERNING DOCUMENTS AND INDIANA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RESTRICTIONS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ON OWNERSHIP AND TRANSFER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DISCLOSURE OF COMMISSION POSITION ON INDEMNIFICATION FOR SECURITIES ACT</w:t>
      </w:r>
    </w:p>
    <w:p>
      <w:pPr>
        <w:spacing w:after="0" w:line="23" w:lineRule="exact"/>
        <w:rPr>
          <w:sz w:val="20"/>
          <w:szCs w:val="20"/>
          <w:color w:val="auto"/>
        </w:rPr>
      </w:pPr>
    </w:p>
    <w:p>
      <w:pPr>
        <w:ind w:left="1440" w:hanging="180"/>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LIABILITIES</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INFORMATION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14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4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ectPr>
          <w:pgSz w:w="11900" w:h="16838" w:orient="portrait"/>
          <w:cols w:equalWidth="0" w:num="2">
            <w:col w:w="8780" w:space="340"/>
            <w:col w:w="75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and any other offering material may also add to, update or change information contained in the prospectus or in documents we have incorporated by reference into this prospectus and, accordingly, to the extent inconsistent, information in or incorporated by reference in this prospectus is superseded by the information in the prospectus supplement and any other offering material related to such securities.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from that contained or incorporated by reference in this prospectus.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securities.</w:t>
      </w:r>
    </w:p>
    <w:p>
      <w:pPr>
        <w:spacing w:after="0" w:line="19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proxy statements and other information with the SEC. Our SEC filings are also available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also inspect our SEC reports and other information at the New York Stock Exchange, Inc., 11 Wall Street, New York, New York 10005.</w:t>
      </w:r>
    </w:p>
    <w:p>
      <w:pPr>
        <w:spacing w:after="0" w:line="11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covering the securities that may be sold under this prospectus. For further information on us and the securities being offered, you should refer to our registration statement and its exhibits. This prospectus summarizes material provisions of contracts and other documents that we refer you to. Because the prospectus may not contain all the information that you may find important, you should review the full text of these documents. We have included copies of these documents as exhibits to our registration statement of which this prospectus is a part.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Simon Property Group, Inc. is an Indiana corporation that operates as a self -administered and self - managed real estate investment trust, or REIT, under the Internal Revenue Code of 1986, as amended, or the Code. REITs will generally not be liable for U.S. federal corporate income taxes as long as they distribute not less than 100% of their REIT taxable income. Simon Property Group, L.P. is our majority-owned Indiana operating partnership subsidiary that owns all of our real estate properties and other assets.</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own, develop and manage premier shopping, dining, entertainment and mixed-use destinations, which consist primarily of malls, Premium Outlets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The Mills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of September 30, 2025, we owned 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the limited partnership units of our Operating Partnership. Internationally, as of September 30, 2025, we had ownership in 38 Premium Outlets, Designer Outlets, and Luxury Outlet properties primarily located in Asia, Europe, and Canada. As of September 30, 2025, we also owned a 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w:t>
      </w:r>
    </w:p>
    <w:p>
      <w:pPr>
        <w:spacing w:after="0" w:line="134"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Our predecessor was organized as a Massachusetts business trust in 1971 and reorganized as a Delaware corporation on March 10, 1998. Our principal executive offices are located at 225 West Washington Street, Indianapolis, Indiana 46204. Our telephone number is (317) 636-1600. Our Internet website address is www.simon.com. The information in our website is not a part of, or incorporated by reference into, this prospectus.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If you want to find more information about us, please see the sections entitled “Where You Can Find More Information” and “Incorporation of Information We File with the SEC” in this prospectus.</w:t>
      </w:r>
    </w:p>
    <w:p>
      <w:pPr>
        <w:spacing w:after="0" w:line="94"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In this prospectus, unless the context otherwise requires, “we,” “us” and “our” refer to Simon Property Group, Inc. and its subsidiaries. “Simon Property” refers specifically to Simon Property Group, Inc. only and the “Operating Partnership” refers specifically to our majority-owned subsidiary, Simon Property Group,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expect to use the net proceeds from the sale of the securities for general corporate purposes, unless otherwise specified in the prospectus supplement relating to a specific offering. Our general corporate purposes may include repaying debt, financing capital commitments and financing future acquisitions. If we decide to use the net proceeds from an offering in some other way, we will describe the use of the net proceeds in the prospectus supplement for that offering.</w:t>
      </w:r>
    </w:p>
    <w:p>
      <w:pPr>
        <w:spacing w:after="0" w:line="116"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If a prospectus supplement includes an offering of securities by selling security holders, we will not receive any proceeds from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DESCRIPTION OF SECURITIES BEING OFFERED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Stock</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We have the authority to issue 850,000,000 shares of capital stock, par value $0.0001 per share, consisting of the following:</w:t>
      </w:r>
    </w:p>
    <w:p>
      <w:pPr>
        <w:spacing w:after="0" w:line="54"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511,990,000 shares of common stock,</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shares of Class B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238,000,000 shares of excess common stock, or Excess Stock.</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Common Stock and Class B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Terms of Common Stock</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325,223,870 shares of common stock outstanding, which excludes the outstanding shares of Class B common stock described below and the shares of common stock held in treasury. The holders of shares of common stock:</w:t>
      </w:r>
    </w:p>
    <w:p>
      <w:pPr>
        <w:spacing w:after="0" w:line="68" w:lineRule="exact"/>
        <w:rPr>
          <w:sz w:val="20"/>
          <w:szCs w:val="20"/>
          <w:color w:val="auto"/>
        </w:rPr>
      </w:pPr>
    </w:p>
    <w:p>
      <w:pPr>
        <w:ind w:left="1800" w:right="10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one vote per share on all matters to be voted on by stockholders, other than the election of four directors who are elected exclusively by holders of Class B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entitled to cumulative voting for the election of directors;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receive dividends as may be declared from time to time by the board of directors, in its discretion, from legally available assets, subject to preferential rights of holders of preferred stock;</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entitled to preemptive, subscription or conversion rights;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subject to further calls or assessments.</w:t>
      </w:r>
    </w:p>
    <w:p>
      <w:pPr>
        <w:spacing w:after="0" w:line="158"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shares of common stock currently outstanding are, and the shares to be sold from time to time in one offering or a series of offerings pursuant to this prospectus will be, validly issued, fully paid and non-assessable. There are no redemption or sinking fund provisions applicable to the common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Terms of Class B Common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2025, we had 8,000 shares of Class B common stock outstanding. Holders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99" w:lineRule="exact"/>
        <w:rPr>
          <w:sz w:val="20"/>
          <w:szCs w:val="20"/>
          <w:color w:val="auto"/>
        </w:rPr>
      </w:pPr>
    </w:p>
    <w:p>
      <w:pPr>
        <w:ind w:left="1800" w:right="59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one vote for each share held of record on all matters submitted to a vote of the stockholders, other than the election of four directors who are elected exclusively by the holders of Class B common stock;</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entitled to cumulative voting for the election of directors;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entitled to receive ratably such dividends as may be declared by the board of directors out of legally available funds, subject to preferential rights of holders of preferred stock.</w:t>
      </w:r>
    </w:p>
    <w:p>
      <w:pPr>
        <w:spacing w:after="0" w:line="8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we are liquidated, each outstanding share of common stock and Class B common stock, including shares of Excess Stock, if any, will be entitled to participate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assets remaining after payment of, or adequate provision for, all of our known debts and liabilities, subject to the right of the holders of preferred stock, including any excess preferred stock into which shares of such series has been converted, to receive preferential distributions.</w:t>
      </w:r>
    </w:p>
    <w:p>
      <w:pPr>
        <w:spacing w:after="0" w:line="116"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All outstanding shares of Class B common stock are subject to a voting trust of which Herbert Simon and David Simon are the voting trustees. The holders of Class B common stock are entitled to elect four of our directors. However, the number of Class B directors would decrease if the Simon family’s aggregate ownership interest in us, including common stock, Class B common stock and units of limited partnership</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interest of the Operating Partnership considered on an as-converted basis, decreases to less than 50% of their aggregate ownership interest as of August 9, 1996.</w:t>
      </w:r>
    </w:p>
    <w:p>
      <w:pPr>
        <w:spacing w:after="0" w:line="8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Shares of Class B common stock may be converted at the holder’s option into an equal number of shares of common stock. Shares of Class B common stock also convert automatically into an equal number of shares of common stock upon the sale or transfer thereof to a person not affiliated with the Simon family or if the Simon family’s aggregate ownership interest declines to specified levels.</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Holders of shares of common stock and Class B common stock have no sinking fund rights, redemption rights or preemptive rights to subscribe for any of our securities.</w:t>
      </w:r>
    </w:p>
    <w:p>
      <w:pPr>
        <w:spacing w:after="0" w:line="95"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Subject to any separate rights of holders of preferred stock or as described below, any vacancies on the board of directors resulting from death, disability, resignation, retirement, disqualification, removal from office, or other cause of a director shall be filled by a vote of the stockholders or a majority of the directors then in office provided, however, that any vacancy relating to a director elected by the Class B common stock is to be filled by the holders of the Class B common stock.</w:t>
      </w:r>
    </w:p>
    <w:p>
      <w:pPr>
        <w:spacing w:after="0" w:line="114"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The articles of incorporation provide that, subject to the right of holders of any class or series separately entitled to elect one or more directors, if any such right has been granted, directors may be removed with or without cause upon the affirmative vote of holders of at least a majority of the voting power of all the then outstanding shares entitled to vote generally in the election of directors, voting together as a single class.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Computershare Trust Company, N.A. is the transfer agent for our common stock.</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Designated Series</w:t>
      </w:r>
    </w:p>
    <w:p>
      <w:pPr>
        <w:spacing w:after="0" w:line="14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2025, of the 100,000,000 authorized shares of preferred stock, the only outstanding shares are the 796,948 shares of Series J 8.375% Cumulative Redeemable Preferred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Future Series</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section is only a summary of the preferred stock that we may offer. We urge you to read carefully our articles of incorporation and the designation we will file in relation to an issue of any particular series of preferred stock before you buy any preferred stock. This section describes the general terms and provisions of the preferred stock we may offer by this prospectus. The applicable prospectus supplement will describe the specific terms of the series of the preferred stock then offered, and the terms and provisions described in this section will apply only to the extent not superseded by the terms of the applicable prospectus supplement.</w:t>
      </w:r>
    </w:p>
    <w:p>
      <w:pPr>
        <w:spacing w:after="0" w:line="32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are authorized to issue up to 100,000,000 shares of preferred stock, par value $0.0001 per share. Our board of directors may issue from time to time shares of preferred stock in one or more series and with the relative powers, rights and preferences and for the consideration our board of directors may determine.</w:t>
      </w:r>
    </w:p>
    <w:p>
      <w:pPr>
        <w:spacing w:after="0" w:line="10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without further action of the stockholders, determine and set forth in a designation to the following for each series of preferred stock:</w:t>
      </w:r>
    </w:p>
    <w:p>
      <w:pPr>
        <w:spacing w:after="0" w:line="68"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serial designation and the number of shares in that series;</w:t>
      </w:r>
    </w:p>
    <w:p>
      <w:pPr>
        <w:spacing w:after="0" w:line="103" w:lineRule="exact"/>
        <w:rPr>
          <w:rFonts w:ascii="Times New Roman" w:cs="Times New Roman" w:eastAsia="Times New Roman" w:hAnsi="Times New Roman"/>
          <w:sz w:val="18"/>
          <w:szCs w:val="18"/>
          <w:color w:val="auto"/>
        </w:rPr>
      </w:pPr>
    </w:p>
    <w:p>
      <w:pPr>
        <w:jc w:val="both"/>
        <w:ind w:left="1800" w:right="83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whether dividends shall be cumulative and, if so, from what date, the payment date or dates for dividends, and any participating or other special rights with respect to dividends;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powers of the shares;</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will be redeemable and, if so, the price or prices at which, and the terms and conditions on which the shares may be redeemed;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the shares in the event of voluntary or involuntary liquidation, dissolution or winding up of us prior to any payment or distribution of our assets to any class or classes of our stock ranking junior to the preferred stock;</w:t>
      </w:r>
    </w:p>
    <w:p>
      <w:pPr>
        <w:spacing w:after="0" w:line="94"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will be entitled to the benefit of a sinking or retirement fund and, if so entitled, the amount of the fund and the manner of its application, including the price or prices at which the shares may be redeemed or purchased through the application of the fund;</w:t>
      </w:r>
    </w:p>
    <w:p>
      <w:pPr>
        <w:spacing w:after="0" w:line="81"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will be convertible into, or exchangeable for, shares of any other class or of any other series of the same or any other class of our stock or the stock of another issuer, and if so convertible or exchangeable, the conversion price or prices, or the rates of exchange, and any adjustments to the conversion price or rates of exchange at which the conversion or exchange may be made, and any other terms and conditions of the conversion or exchange; and</w:t>
      </w:r>
    </w:p>
    <w:p>
      <w:pPr>
        <w:spacing w:after="0" w:line="75" w:lineRule="exact"/>
        <w:rPr>
          <w:rFonts w:ascii="Times New Roman" w:cs="Times New Roman" w:eastAsia="Times New Roman" w:hAnsi="Times New Roman"/>
          <w:sz w:val="18"/>
          <w:szCs w:val="18"/>
          <w:color w:val="auto"/>
        </w:rPr>
      </w:pPr>
    </w:p>
    <w:p>
      <w:pPr>
        <w:jc w:val="both"/>
        <w:ind w:left="1800" w:right="67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preferences, privileges and powers, and relative, participating, optional, or other special rights, and qualifications, limitations or restrictions, as our board of directors may deem advisable and as shall not be inconsistent with the provisions of our articles of incorporation.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Depending on the rights prescribed for a series of preferred stock, the issuance of preferred stock could have an adverse effect on the voting power of the holders of common stock and could adversely affect holders of common stock by delaying or preventing a change in control of us, making removal of our present management more difficult or imposing restrictions upon the payment of dividends and other distributions to the holders of common stock. The preferred stock, when issued, will be fully paid and non-assessable. Unless the applicable prospectus supplement provides otherwise, the preferred stock will have no preemptive rights to subscribe for any additional securities which may be issued by us in the future. The transfer agent and registrar for the preferred stock will be specified in the applicable prospectus supplement.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warrants that we may offer pursuant to this prospectus. The applicable prospectus supplement will describe the specific terms of the warrants then offered, and the terms and provisions described in this section will apply only to the extent not superseded by the terms of the applicable prospectus supplement.</w:t>
      </w:r>
    </w:p>
    <w:p>
      <w:pPr>
        <w:spacing w:after="0" w:line="112"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Warrants may be issued alone or together with common stock or preferred stock offered by any prospectus supplement and may be attached to or separate from those securities. Each series of warrants will be issued under warrant agreements between us and a bank or trust company, as warrant agent, which will be described in the applicable prospectus supplement. The warrant agent will act solely as our agent in connection with the warrants and will not act as an agent or trustee for any holders or beneficial holders of warrants.</w:t>
      </w:r>
    </w:p>
    <w:p>
      <w:pPr>
        <w:spacing w:after="0" w:line="120"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This section summarizes the general terms and provisions of the forms of warrant agreements and warrant certificates. Because this is only a summary, it does not contain all of the details found in the full text of the warrant agreements and the warrant certificates. We urge you to read the applicable form of warrant agreement and the form of warrant certificate that we will file in relation to an issue of any warrants.</w:t>
      </w:r>
    </w:p>
    <w:p>
      <w:pPr>
        <w:spacing w:after="0" w:line="32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If warrants for the purchase of common stock or preferred stock are offered, the applicable prospectus supplement will describe the terms of those warrants, including the following if applicable:</w:t>
      </w:r>
    </w:p>
    <w:p>
      <w:pPr>
        <w:spacing w:after="0" w:line="5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44"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that can be purchased upon exercise and, in the case of warrants for preferred stock, the designation, total number and terms of the series of preferred stock that can be purchased upon exercise;</w:t>
      </w:r>
    </w:p>
    <w:p>
      <w:pPr>
        <w:spacing w:after="0" w:line="81"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series of preferred stock with which the warrants are being offered and the number of warrants being offered with each share of common stock or preferred stock;</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holder of the warrants can transfer them separately from the related common stock or series of preferred stock;</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that can be purchased upon exercise and the price at which the common stock or preferred stock may be purchased upon exercise;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begins and the date on which that right expires;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warrants will be in registered form only. Until any warrants to purchase preferred stock or common stock are exercised, holders of the warrants will not have any rights of holders of the underlying preferred stock or common stock, including any right to receive dividends or to exercise any voting rights.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holder of warrant certificates may:</w:t>
      </w:r>
    </w:p>
    <w:p>
      <w:pPr>
        <w:spacing w:after="0" w:line="117"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new certificates of different denominations;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them for registration of transfer;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them at the corporate trust office of the warrant agent or any other office indicated in the applicable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Each holder of a warrant is entitled to purchase the number of shares of common stock or preferred stock at the exercise price described in the applicable prospectus supplement. After the close of business on the day when the right to exercise terminates, or a later date if we extend the time for exercise, unexercised warrants will become void.</w:t>
      </w:r>
    </w:p>
    <w:p>
      <w:pPr>
        <w:spacing w:after="0" w:line="11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a holder of warrants may exercise them by following the general procedure outlined below:</w:t>
      </w:r>
    </w:p>
    <w:p>
      <w:pPr>
        <w:spacing w:after="0" w:line="54" w:lineRule="exact"/>
        <w:rPr>
          <w:sz w:val="20"/>
          <w:szCs w:val="20"/>
          <w:color w:val="auto"/>
        </w:rPr>
      </w:pPr>
    </w:p>
    <w:p>
      <w:pPr>
        <w:ind w:left="1800" w:right="8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warrant agent the payment required by the applicable prospectus supplement to purchase the underlying security;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completing and signing the reverse side of the warrant certificate representing the warrants; and</w:t>
      </w:r>
    </w:p>
    <w:p>
      <w:pPr>
        <w:spacing w:after="0" w:line="314"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the warrant certificate representing the warrants to the warrant agent within five business days of the warrant agent receiving payment of the exercise price.</w:t>
      </w:r>
    </w:p>
    <w:p>
      <w:pPr>
        <w:spacing w:after="0" w:line="8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If you comply with the procedures described above, your warrants will be considered to have been exercised when the warrant agent receives payment of the exercise price. After you have completed those procedures, we will, as soon as practicable, issue and deliver to you preferred stock or common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Supplements to Warrant Agreements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the following describes generally the provisions relating to amending and supplementing the warrant agreements.</w:t>
      </w:r>
    </w:p>
    <w:p>
      <w:pPr>
        <w:spacing w:after="0" w:line="9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may amend or supplement a warrant agreement without the consent of the holders of the applicable warrants if the changes are not inconsistent with the provisions of the warrants and do not materially adversely affect the interests of the holders of the warrants. We and the warrant agent may also modify or amend a warrant agreement and the terms of the warrants if a majority of the then outstanding unexercised warrants affected by the modification or amendment consent. However, no modification or amendment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that accelerates the expiration date, increases the exercise price, reduces the majority consent requirement for any modification or amendment or otherwise materially adversely affects the rights of the holders of the warrants may be made without the consent of each holder affected by the modification or amendment.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Warrant Adjustments</w:t>
      </w:r>
    </w:p>
    <w:p>
      <w:pPr>
        <w:spacing w:after="0" w:line="16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warrant certificate and the applicable prospectus supplement will describe the events requiring adjustment to the warrant exercise price or the number or principal amount of securities issuable upon exercise of the warrant.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 stock, as specified in the applicable prospectus supplement. Shares of preferred stock of each series represented by the depositary shares will be deposited under a separate deposit agreement between us, the depositary named therein and the holders of the depositary receipts. Subject to the terms of the deposit agreement, each depositary receipt owner will be entitled, in proportion to the fractional interest of a share of a particular series of preferred stock represented by the depositary shares evidenced by such depositary receipt, to all the rights and preferences of the preferred stock represented thereby.</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Depositary receipts issued pursuant to the applicable deposit agreement will evidence the depositary shares. Immediately following our issuance and delivery of the preferred stock to the depositary, we will cause the depositary to issue, on our behalf, the depositary receipts. Upon request, we will provide you with copies of the applicable form of deposit agreement and depositary receipt.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preferred stock to the record holders of depositary receipts evidencing the related depositary shares in proportion to the number of depositary receipts owned by the holders.</w:t>
      </w:r>
    </w:p>
    <w:p>
      <w:pPr>
        <w:spacing w:after="0" w:line="8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received by it to the record holders of depositary receipts entitled thereto. If the depositary determines that it is not feasible to make such distribution, the depositary may, with our approval, sell the property and distribute the net proceeds from such sale to the holders.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Withdrawal of Stock</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unless the related depositary shares have previously been called for redemption, the holders thereof will be entitled to delivery, to or upon such holders’ order, of the number of whole or fractional shares of the preferred stock and any money or other property represented by the depositary shares evidenced by the depositary receipts. Holders of depositary receipts will be entitled to receive whole or fractional shares of the related preferred stock on the basis of the proportion of preferred stock represented by each depositary share as specified in the applicable prospectus supplement. Thereafter, holders of such shares of preferred stock will not be entitled to receive depositary shares for the preferred stock. If the depositary receipts delivered by the holder evidence a number of depositary shares in excess of the number of depositary shares representing the number of shares of preferred stock to be withdrawn, the depositary will deliver to the holder a new depositary receipt evidencing the excess number of depositary shares.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Depositary Shares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Provided we shall have paid in full to the depositary the redemption price of the preferred stock to be redeemed plus an amount equal to any accrued and unpaid dividends thereon to the redemption date, whenever we redeem shares of preferred stock held by the depositary, the depositary will redeem as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9" w:lineRule="auto"/>
        <w:rPr>
          <w:sz w:val="20"/>
          <w:szCs w:val="20"/>
          <w:color w:val="auto"/>
        </w:rPr>
      </w:pPr>
      <w:r>
        <w:rPr>
          <w:rFonts w:ascii="Times New Roman" w:cs="Times New Roman" w:eastAsia="Times New Roman" w:hAnsi="Times New Roman"/>
          <w:sz w:val="18"/>
          <w:szCs w:val="18"/>
          <w:color w:val="auto"/>
        </w:rPr>
        <w:t>same redemption date the number of depositary shares representing shares of the preferred stock so redeemed. The redemption price per depositary share will be equal to the fraction of the redemption price and any other amounts per share payable with respect to the preferred stock represented by such depositary share. If fewer than all the depositary shares are to be redeemed, the depositary shares to be redeemed will be selected as nearly as may be practicable without creating fractional depositary shares, pro rata, or by any other equitable method we determine.</w:t>
      </w:r>
    </w:p>
    <w:p>
      <w:pPr>
        <w:spacing w:after="0" w:line="107"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From and after the date fixed for redemption, all dividends in respect of the shares of preferred stock so called for redemption will cease to accrue, the depositary shares called for redemption will no longer be deemed to be outstanding and all rights of the holders of the depositary receipts evidencing the depositary shares so called for redemption will cease, except the right to receive any moneys payable upon such redemption and any money or other property to which the holders of such depositary receipts were entitled to receive upon such redemption upon surrender to the depositary of the depositary receipts representing the depositary shares.</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of the Preferred Stock</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such notice of meeting to the record holders of the depositary receipts evidencing the depositary shares that represent such preferred stock. Each record holder of depositary receipts evidencing depositary shares on the record date, which will be the same date as the record date for the preferred stock, will be entitled to instruct the depositary as to the exercise of the voting rights pertaining to the amount of preferred stock represented by such holder’s depositary shares. The depositary will vote the amount of preferred stock represented by such depositary shares in accordance with such instructions, and we will agree to take all reasonable action that may be deemed necessary by the depositary in order to enable the depositary to do so. If the depositary does not receive specific instructions from the holders of depositary receipts evidencing such depositary shares, it will abstain from voting the amount of preferred stock represented by such depositary shares. The depositary shall not be responsible for any failure to carry out any instruction to vote, or for the manner or effect of any such vote made, as long as any such action or non-action is in good faith and does not result from the depositary’s negligence or willful misconduct.</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Upon our liquidation, dissolution or winding up, whether voluntary or involuntary, the holders of each depositary receipt will be entitled to the fraction of the liquidation preference accorded each share of preferred stock represented by the depositary share evidenced by such depositary receipt, as set forth in the applicable prospectus supplement.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of Preferred Stock</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Except with respect to certain conversions in connection with the preservation of our REIT status, the depositary shares are not convertible into our common stock or any other of our securities or property. Nevertheless, if the applicable prospectus supplement so specifies, the holders of the depositary receipts may surrender their depositary receipts to the depositary with written instructions to the depositary to instruct us to cause conversion of the preferred stock represented by the depositary shares evidenced by such depositary receipts into whole shares of common stock, other shares of our preferred stock or other shares of our capital stock, and we have agreed that upon receipt of such instructions and any amounts payable in respect thereof, we will cause the conversion of the depositary shares utilizing the same procedures as those provided for delivery of preferred stock to effect such conversion. If the depositary shares evidenced by a depositary receipt are to be converted in part only, the depositary will issue a new depositary receipt for any depositary shares not to be converted. No fractional shares of common stock will be issued upon conversion, and if such conversion will result in a fractional share being issued, we will pay an amount in cash equal to the value of the fractional interest based upon the closing price of the common stock on the last business day prior to the conversion.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Deposit Agreement</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By agreement, we and the depositary at any time can amend the form of depositary receipt and any provision of the deposit agreement. However, any amendment that materially and adversely alters the rights of the holders of depositary receipts or that would be materially and adversely inconsistent with the rights granted to holders of the related preferred stock will be effective only if the existing holders of at least two-thirds of the depositary shares have approved the amendment. No amendment shall impair the right, subject to certain exceptions in the deposit agreement, of any holder of depositary receipts to surrender any depositary receipt with instructions to deliver to the holder the related preferred stock and all money and other property, if any, represented thereby, except in order to comply with law. Every holder of an outstanding depositary receipt at the time an amendment becomes effective shall be deemed, by continuing to hold the depositary receipt, to consent and agree to the amendment and to be bound by the deposit agreement as amended thereby.</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30 days’ prior written notice to the depositary, we may terminate the deposit agreement if</w:t>
      </w:r>
    </w:p>
    <w:p>
      <w:pPr>
        <w:spacing w:after="0" w:line="27" w:lineRule="exact"/>
        <w:rPr>
          <w:sz w:val="20"/>
          <w:szCs w:val="20"/>
          <w:color w:val="auto"/>
        </w:rPr>
      </w:pPr>
    </w:p>
    <w:p>
      <w:pPr>
        <w:ind w:left="1260" w:right="459"/>
        <w:spacing w:after="0"/>
        <w:tabs>
          <w:tab w:leader="none" w:pos="15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is necessary to preserve our status as a REIT or (b) a majority of each series of preferred stock affected by such termination consents to such termination. Upon the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the depositary receipts together with any other property held by the depositary with respect to the depositary receipt. If the deposit agreement is terminated to preserve our status as a REIT, then we will use our best efforts to list the preferred stock issued upon surrender of the related depositary shares on a national securities exchange.</w:t>
      </w:r>
    </w:p>
    <w:p>
      <w:pPr>
        <w:spacing w:after="0" w:line="121"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deposit agreement will automatically terminate if (a) all outstanding depositary shares shall have been redeemed, (b) there shall have been a final distribution in respect of the related preferred stock in connection with our liquidation, dissolution or winding up and such distribution shall have been distributed to the holders of depositary receipts evidencing the depositary shares representing such preferred stock or</w:t>
      </w:r>
    </w:p>
    <w:p>
      <w:pPr>
        <w:spacing w:after="0" w:line="2" w:lineRule="exact"/>
        <w:rPr>
          <w:sz w:val="20"/>
          <w:szCs w:val="20"/>
          <w:color w:val="auto"/>
        </w:rPr>
      </w:pPr>
    </w:p>
    <w:p>
      <w:pPr>
        <w:ind w:left="1260" w:right="1199"/>
        <w:spacing w:after="0" w:line="243" w:lineRule="auto"/>
        <w:tabs>
          <w:tab w:leader="none" w:pos="15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related preferred stock shall have been converted into our capital stock not so represented by depositary shares.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Charges of Depositary</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certain other transfer and other taxes and governmental charges. The holders will also pay the fees and expenses of the depositary for any duties, outside of those expressly provided for in the deposit agreement, the holders request to be performed.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Resignation and Removal of Depositary</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We may at any time remove the depositary, and any such resignation or removal will take effect upon the appointment of a successor depositary. A successor depositary must be appointed within 60 days after delivery of the notice of resignation or removal and must be a bank or trust company having its principal office in the United States and having a combined capital and surplus of $50,000,000 or more.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any reports and communications from us which are received by the depositary with respect to the related preferred stock.</w:t>
      </w:r>
    </w:p>
    <w:p>
      <w:pPr>
        <w:spacing w:after="0" w:line="8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and the depositary will not be liable if either of us is prevented from or delayed in, by law or any circumstances beyond its control, performing its obligations under the deposit agreement. Our obligations and the depositary’s obligations under the deposit agreement will be limited to performing the duties thereunder in good faith and without negligence or, in the case of any action or inaction in the voting of preferred stock represented by the depositary shares, gross negligence or willful misconduct. If satisfactory</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indemnity is furnished, we and the depositary will be obligated to prosecute or defend any legal proceeding in respect of any depositary receipts, depositary shares or shares of preferred stock represented thereby. We and the depositary may rely on written advice of counsel or accountants, or information provided by persons presenting shares of preferred stock represented by depositary receipts for deposit, holders of depositary receipts or other persons believed in good faith to be competent to give such information, and on documents believed in good faith to be genuine and signed by a proper party.</w:t>
      </w:r>
    </w:p>
    <w:p>
      <w:pPr>
        <w:spacing w:after="0" w:line="120"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the event the depositary shall receive conflicting claims, requests or instructions from any holders of depositary receipts, on the one hand, and us, on the other hand, the depositary shall be entitled to act on our claims, requests or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IMPORTANT PROVISIONS OF OUR GOVERNING DOCUMENTS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AND INDIANA LAW</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Partnership Agreement</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partnership agreement contains voting requirements that limit the possibility that we will be acquired or undergo a change in control, even if some of our stockholders believe that a change would be in our and their best interests. Specifically, the partnership agreement provides that we must have the approval of the holders of a majority of the units of limited partnership interest held by limited partners in order to:</w:t>
      </w:r>
    </w:p>
    <w:p>
      <w:pPr>
        <w:spacing w:after="0" w:line="72" w:lineRule="exact"/>
        <w:rPr>
          <w:sz w:val="20"/>
          <w:szCs w:val="20"/>
          <w:color w:val="auto"/>
        </w:rPr>
      </w:pPr>
    </w:p>
    <w:p>
      <w:pPr>
        <w:ind w:left="1800" w:right="4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engage in any combination with another person other than a general partner of the Operating Partnership,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our assets.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Indiana Law and Certain Articles of Incorporation and Bylaw Provisions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and certain provisions of the Indiana Business Corporation Law (“IBCL”) may have an anti-takeover effect. These provisions may delay, defer or prevent a tender offer or takeover attempt that a stockholder would consider in its best interest. This includes an attempt that might result in a premium over the market price for the shares held by stockholders. These provisions are expected to discourage certain types of coercive takeover practices and inadequate takeover bids. They are also expected to encourage persons seeking to acquire control of us to negotiate first with our board of directors. We believe that the benefits of these provisions outweigh the potential disadvantages of discouraging takeover proposals because, among other things, negotiation of takeover proposals might result in an improvement of their terms.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Under Chapter 42 of the IBCL, an acquiring person or group who makes a “control share acquisition” in an “issuing 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324"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Under the IBCL, “control shares” means shares acquired by a person that, when added to all other shares of the issuing public corporation owned by that person or in respect to which that person may exercise or direct the exercise of voting power, would otherwise entitle that person (directly or indirectly, alone or as part of a group) to exercise or direct the exercise of the voting power of the issuing public corporation in the election of directors within any of the following ranges:</w:t>
      </w:r>
    </w:p>
    <w:p>
      <w:pPr>
        <w:spacing w:after="0" w:line="8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or more but less than one-third;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above provisions do not apply if, before a control share acquisition is made, the corporation’s articles of incorporation or bylaws, including a bylaw adopted by the corporation’s board of directors, provide that they do not apply. Our articles of incorporation provide that Chapter 42 does not apply to 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Combinations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Chapter 43 of the IBCL restricts the ability of a “resident domestic corporation” to engage in any business combinations with an “interested shareholder” for five years after the date the interested shareholder became such, unless the business combination or the purchase of shares by the interested shareholder on the interested shareholder’s date of acquiring shares is approved by the board of directors of the resident domestic corporation before that date. If the business combination was not previously approved, the interested shareholder may effect a business combination after the five-year period only if that shareholder receives approval from a majority of the disinterested shareholders or the offer meets specified fair price criteria. 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w:t>
      </w:r>
    </w:p>
    <w:p>
      <w:pPr>
        <w:spacing w:after="0" w:line="4" w:lineRule="exact"/>
        <w:rPr>
          <w:sz w:val="20"/>
          <w:szCs w:val="20"/>
          <w:color w:val="auto"/>
        </w:rPr>
      </w:pPr>
    </w:p>
    <w:p>
      <w:pPr>
        <w:ind w:left="1260" w:right="639"/>
        <w:spacing w:after="0" w:line="255"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18" w:lineRule="exact"/>
        <w:rPr>
          <w:sz w:val="20"/>
          <w:szCs w:val="20"/>
          <w:color w:val="auto"/>
        </w:rPr>
      </w:pPr>
    </w:p>
    <w:p>
      <w:pPr>
        <w:jc w:val="both"/>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definition of “beneficial owner” for purposes of Chapter 43, means a person who individually or with or through any of its affiliates or associates, directly or indirectly, owns or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to profit or share in any profit derived from any increase in the value of the subject shares.</w:t>
      </w:r>
    </w:p>
    <w:p>
      <w:pPr>
        <w:spacing w:after="0" w:line="10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above provisions do not apply to corporations that elect not to be subject to Chapter 43 in their original articles of incorporation or an amendment to their articles of incorporation approved by a majority of the disinterested shareholders. That amendment, however, cannot become effective until 18 months after its passage and would apply only to share acquisitions occurring after its effective date. Our articles of incorporation do not exclude us from Chapter 43.</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Under Section 23-1-33-6(c) of the IBCL, a corporation with a class of voting shares registered with the SEC under Section 12 of the Exchange Act, must have a classified board of directors unless the original articles of incorporation contain a provision, or the corporation adopts a bylaw expressly electing not to be governed by this provision. Our articles of incorporation provide that Section 23-1-33-6(c) does not apply to us.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Unanimous Written Consent of Shareholders</w:t>
      </w:r>
    </w:p>
    <w:p>
      <w:pPr>
        <w:spacing w:after="0" w:line="16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Under Chapter 29 of the IBCL, any action required or permitted to be taken by the holders of common stock may be effected only at an annual meeting or special meeting of such holders, and shareholders may act in lieu of such meetings only by unanimous written consent.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stockholders to make nominations of candidates for election as directors or bring other business before an annual meeting of stockholders. This procedure provides that</w:t>
      </w:r>
    </w:p>
    <w:p>
      <w:pPr>
        <w:spacing w:after="0" w:line="81" w:lineRule="exact"/>
        <w:rPr>
          <w:sz w:val="20"/>
          <w:szCs w:val="20"/>
          <w:color w:val="auto"/>
        </w:rPr>
      </w:pPr>
    </w:p>
    <w:p>
      <w:pPr>
        <w:ind w:left="1800" w:right="4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persons who will be eligible for election as directors are persons who are nominated by or at the direction of the board of directors, or by a stockholder who (i) has complied with the advance notice procedures by giving timely written notice containing specified information to the Secretary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spacing w:after="0" w:line="282" w:lineRule="auto"/>
        <w:rPr>
          <w:sz w:val="20"/>
          <w:szCs w:val="20"/>
          <w:color w:val="auto"/>
        </w:rPr>
      </w:pPr>
      <w:r>
        <w:rPr>
          <w:rFonts w:ascii="Times New Roman" w:cs="Times New Roman" w:eastAsia="Times New Roman" w:hAnsi="Times New Roman"/>
          <w:sz w:val="18"/>
          <w:szCs w:val="18"/>
          <w:color w:val="auto"/>
        </w:rPr>
        <w:t>prior to the meeting at which directors are to be elected or (ii) has complied with the proxy access provisions described below under “— Proxy Access”, and</w:t>
      </w:r>
    </w:p>
    <w:p>
      <w:pPr>
        <w:spacing w:after="0" w:line="40" w:lineRule="exact"/>
        <w:rPr>
          <w:sz w:val="20"/>
          <w:szCs w:val="20"/>
          <w:color w:val="auto"/>
        </w:rPr>
      </w:pPr>
    </w:p>
    <w:p>
      <w:pPr>
        <w:ind w:left="1800" w:right="5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business that may be conducted at an annual meeting is business that has been brought before the meeting by or at the direction of the board of directors or by a stockholder who has given</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written notice containing specified information to the Secretary of the stockholder’s intention to bring the business before the meeting.</w:t>
      </w:r>
    </w:p>
    <w:p>
      <w:pPr>
        <w:spacing w:after="0" w:line="94"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In general, pursuant to the advance notice provisions of our bylaws, we must receive written notice of stockholder nominations to be made or business to be brought at an annual meeting not less than 120 days prior to the first anniversary of the date of the previous year’s annual meeting, in order for the notice to be timely. The notice must contain information concerning the person or persons to be nominated or the matters to be brought before the meeting and concerning the stockholder submitting the proposal.</w:t>
      </w:r>
    </w:p>
    <w:p>
      <w:pPr>
        <w:spacing w:after="0" w:line="11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purposes of requiring stockholders to give us advance notice of nominations and other business include the following:</w:t>
      </w:r>
    </w:p>
    <w:p>
      <w:pPr>
        <w:spacing w:after="0" w:line="54" w:lineRule="exact"/>
        <w:rPr>
          <w:sz w:val="20"/>
          <w:szCs w:val="20"/>
          <w:color w:val="auto"/>
        </w:rPr>
      </w:pPr>
    </w:p>
    <w:p>
      <w:pPr>
        <w:ind w:left="1800" w:right="10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afford the board of directors a meaningful opportunity to consider the qualifications of the proposed nominees or the advisability of the other proposed business;</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deemed necessary or desirable by the board of directors, to inform stockholders and make recommendations about such qualifications or business;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more orderly procedure for conducting meetings of stockholders.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bylaws do not give our board of directors any power to disapprove stockholder nominations for the election of directors or proposals for action. However, they may have the effect of precluding a contest for the election of directors or the consideration of stockholder proposals if the proper procedures are not followed. Our bylaws may also discourage or deter a third party from soliciting proxies to elect its own slate of directors or to approve its own proposal, without regard to whether consideration of the nominees or proposals might be harmful or beneficial to us and our stockholders.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Proxy Access</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bylaws also permit a stockholder, or group of up to 20 stockholders, owning at least three percent of our outstanding common stock (excluding Class B common stock) continuously for at least three years, to nominate and include in our proxy materials for our annual meeting of stockholders director nominees constituting up to the greater of two nominees or 20% of the number of directors on our board of directors which, at such time, the common stockholders are entitled to elect. The foregoing proxy access right is subject to additional eligibility, procedural and disclosure requirements set forth in our bylaws.</w:t>
      </w:r>
    </w:p>
    <w:p>
      <w:pPr>
        <w:spacing w:after="0" w:line="11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general, we must receive written notice of a nomination pursuant to the proxy access provisions of our bylaws no earlier than 150 days and no later than 120 days prior to the first anniversary of the date that we first mailed our proxy statement for the previous year’s annual meeting of stockholders, in order for the notice to be timely. The notice must contain certain information specified in our bylaws.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Action</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Our articles of incorporation and bylaws and the IBCL generally require that a majority of a quorum is necessary to approve any matter to come before the board of directors. Certain matters, including sales of property, transactions with members of the Simon family and related persons and certain affiliates and certain other matters, will also require approval of a majority of the independent directors on the board of directors.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Chapter 37 of the IBCL authorizes every Indiana corporation to indemnify its officers and directors under certain circumstances against liability incurred in connection with any threatened, pending, or completed action, suit, or proceeding, whether civil, criminal, administrative, or investigative and whether formal or informal, to which the officers or directors are made a party by reason of their relationship to the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corporation. Officers and directors may be indemnified where they have acted in good faith, and in the case of official action, they reasonably believed the conduct was in the corporation’s best interests, and in all other cases, they reasonably believed the action taken was not against the best interests of the corporation, and in the case of criminal proceedings they had reasonable cause to believe the conduct was lawful or there was no reasonable cause to believe the conduct was unlawful. Chapter 37 of the IBCL also requires every Indiana corporation to indemnify any of its officers or directors (unless limited by the articles of incorporation of the corporation) who were wholly successful, on the merits or otherwise, in the defense of any such proceeding against reasonable expenses incurred in connection with the proceeding. A corporation may also, under certain circumstances, pay for or reimburse the reasonable expenses incurred by an officer or director who is a party to a proceeding in advance of final disposition of the proceeding. Chapter 37 of the IBCL states that the indemnification provided for therein is not exclusive of any other rights to which a person may be entitled under the articles of incorporation, bylaws or resolutions of the board of directors or shareholders.</w:t>
      </w:r>
    </w:p>
    <w:p>
      <w:pPr>
        <w:spacing w:after="0" w:line="33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provide for indemnification, to the fullest extent permitted by the IBCL, of our directors, officers, employees and agents against liability and reasonable expenses that may be incurred by them in connection with any threatened, pending, or completed investigation, claim, suit, or proceeding, whether civil, administrative, investigative, or criminal in which they may become involved by reason of their relationship to us. Our articles of incorporation and bylaws also provide for mandatory advancement of expenses to such persons provided certain conditions are met, including provision of a written undertaking to repay such advancements, should it be determined that the person is not entitled to indemnification.</w:t>
      </w:r>
    </w:p>
    <w:p>
      <w:pPr>
        <w:spacing w:after="0" w:line="12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Duties and Liability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Chapter 35 of the IBCL, directors are required to discharge their duties:</w:t>
      </w:r>
    </w:p>
    <w:p>
      <w:pPr>
        <w:spacing w:after="0" w:line="131"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good faith;</w:t>
      </w:r>
    </w:p>
    <w:p>
      <w:pPr>
        <w:spacing w:after="0" w:line="117"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care an ordinarily prudent person in a like position would exercise under similar circumstances;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manner the directors reasonably believe to be in the best interests of the corporation.</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However, the IBCL also provides that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w:t>
      </w:r>
    </w:p>
    <w:p>
      <w:pPr>
        <w:spacing w:after="0" w:line="9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This exoneration from liability under the IBCL does not affect the liability of directors for violations of the federal securities laws.</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Chapter 35 of the IBCL also provides that a board of directors, in discharging its duties, may consider, in its discretion, both the long-term and short-term best interests of the corporation, 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that determination is conclusively presumed to be valid unless it can be demonstrated that the determination was not made in good faith after reasonable investigation. Chapter 35 specifically provides that specified judicial decisions in Delaware and other jurisdictions, which might otherwise be looked upon for guidance in interpreting Indiana corporate law, including decisions that impose a higher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5" w:lineRule="auto"/>
        <w:rPr>
          <w:sz w:val="20"/>
          <w:szCs w:val="20"/>
          <w:color w:val="auto"/>
        </w:rPr>
      </w:pPr>
      <w:r>
        <w:rPr>
          <w:rFonts w:ascii="Times New Roman" w:cs="Times New Roman" w:eastAsia="Times New Roman" w:hAnsi="Times New Roman"/>
          <w:sz w:val="18"/>
          <w:szCs w:val="18"/>
          <w:color w:val="auto"/>
        </w:rPr>
        <w:t>different degree of scrutiny on actions taken by directors in response to a proposed acquisition of control of the corporation, are inconsistent with the proper application of the business judgment rule under that section.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articles of incorporation provide that, unless we consent in writing to the selection of an alternative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forum, the Commercial Court as organized and administered under the authority of the Circuit Court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Marion County, Indiana, or if such court is not in existence or the selection of such forum is not effective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applicable law, the Circuit Court in Marion County, Indiana (or, if such courts lack jurisdiction,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United States District Court for the Southern District of Indiana) shall have sole and exclusive jurisdiction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(i) any derivative action brought on our behalf; (ii) any action asserting a breach of fiduciary duty owed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any director, officer, employee, or agent of ours to us or to any of our constituents identified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23-1-35-1(d) of the IBCL; (iii) any action asserting a claim arising under any provision of the IBCL,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articles of incorporation, or bylaws; or (iv) any actions otherwise relating to our internal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Our articles of incorporation contain certain restrictions on the number of shares of capital stock that stockholders may own. Certain requirements must be met for us to maintain our status as a REIT, including the following:</w:t>
      </w:r>
    </w:p>
    <w:p>
      <w:pPr>
        <w:spacing w:after="0" w:line="61" w:lineRule="exact"/>
        <w:rPr>
          <w:sz w:val="20"/>
          <w:szCs w:val="20"/>
          <w:color w:val="auto"/>
        </w:rPr>
      </w:pPr>
    </w:p>
    <w:p>
      <w:pPr>
        <w:ind w:left="1800" w:right="49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capital stock may be owned, directly or indirectly, by five or fewer individuals, as defined in the Code, to include certain entities, during the last half of a taxable year other than the first year, and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stock also must be beneficially owned by 100 or more persons during at least 335 days of a taxable year of 12 months or during a proportionate part of a shorter taxable year.</w:t>
      </w:r>
    </w:p>
    <w:p>
      <w:pPr>
        <w:spacing w:after="0" w:line="81" w:lineRule="exact"/>
        <w:rPr>
          <w:sz w:val="20"/>
          <w:szCs w:val="20"/>
          <w:color w:val="auto"/>
        </w:rPr>
      </w:pPr>
    </w:p>
    <w:p>
      <w:pPr>
        <w:jc w:val="both"/>
        <w:ind w:left="1260" w:right="1219" w:firstLine="360"/>
        <w:spacing w:after="0" w:line="258" w:lineRule="auto"/>
        <w:rPr>
          <w:sz w:val="20"/>
          <w:szCs w:val="20"/>
          <w:color w:val="auto"/>
        </w:rPr>
      </w:pPr>
      <w:r>
        <w:rPr>
          <w:rFonts w:ascii="Times New Roman" w:cs="Times New Roman" w:eastAsia="Times New Roman" w:hAnsi="Times New Roman"/>
          <w:sz w:val="18"/>
          <w:szCs w:val="18"/>
          <w:color w:val="auto"/>
        </w:rPr>
        <w:t>In part because we currently believe it is essential for us to maintain our status as a REIT, the provisions of our articles of incorporation with respect to Excess Stock contain restrictions on the acquisition of our capital stock intended to ensure compliance with these requirements.</w:t>
      </w:r>
    </w:p>
    <w:p>
      <w:pPr>
        <w:spacing w:after="0" w:line="10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articles of incorporation provide that, subject to certain specified exceptions, no stockholder may own, or be deemed to own by virtue of the attribution rules of the Code, more than the ownership limit. The ownership limit is equal to 8%, or 18% in the case of members of the Simon family and related persons, of any class of capital stock. The board of directors may exempt a person from the ownership limit if the board of directors receives a ruling from the Internal Revenue Service, or the IRS, or an opinion of tax counsel that such ownership will not jeopardize our status as a REIT.</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Anyone acquiring shares in excess of the ownership limit will lose control over the power to dispose of the shares, will not receive dividends declared and will not be able to vote the shares. In the event of a purported transfer or other event that would, if effective, result in the ownership of shares of stock in violation of the ownership limit, the transfer or other event will be deemed void with respect to that number of shares that would be owned by the transferee in excess of the ownership limit. The intended transferee of the excess shares will acquire no rights in those shares of stock. Those shares of stock will automatically be converted into shares of Excess Stock according to rules set forth in our articles of incorporation.</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Upon a purported transfer or other event that results in Excess Stock, the Excess Stock will be deemed to have been transferred to a trustee to be held in trust for the exclusive benefit of a qualifying charitable organization designated by us. The Excess Stock will be issued and outstanding stock, and it will be entitled to dividends equal to any dividends which are declared and paid on the stock from which it was converted. Any dividend or distribution paid prior to our discovery that stock has been converted into Excess Stock is to be repaid upon demand. The recipient of the dividend will be personally liable to the trust. Any dividend or distribution declared but unpaid will be rescinded as void with respect to the shares of stock and will automatically be deemed to have been declared and paid with respect to the shares of Excess Stock into which the shares were converted. The Excess Stock will also be entitled to the voting rights as are ascribed to the stock from which it was converted. Any voting rights exercised prior to our discovery that shares of stock were converted to Excess Stock will be rescinded and recast as determined by the trustee.</w:t>
      </w:r>
    </w:p>
    <w:p>
      <w:pPr>
        <w:spacing w:after="0" w:line="11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While Excess Stock is held in trust, an interest in that trust may be transferred by the purported transferee, or other purported holder with respect to the Excess Stock, only to a person whose ownership of the shares of stock would not violate the ownership limit. Upon such transfer, the Excess Stock will be automatically exchanged for the same number of shares of stock of the same type and class as the shares of stock for which the Excess Stock was originally exchanged.</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articles of incorporation contain provisions that are designed to ensure that the purported transferee or other purported holder of the Excess Stock may not receive in return for such a transfer an amount that reflects any appreciation in the shares of stock for which the Excess Stock was exchanged during the period that the Excess Stock was outstanding. Any amount received by a purported transferee or other purported holder in excess of the amount permitted to be received must be paid over to the trust. If the foregoing restrictions are determined to be void or invalid by virtue of any legal decision, statute, rule or regulation, then the intended transferee or holder of any Excess Stock may be deemed, at our option, to have acted as an agent on behalf of the trust in acquiring or holding the Excess Stock and to hold the Excess Stock on behalf of the trust.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articles of incorporation further provide that we may purchase, for a period of 90 days during the time the Excess Stock is held by the trustee in trust, all or any portion of the Excess Stock from the original transferee-stockholder at the lesser of the following:</w:t>
      </w:r>
    </w:p>
    <w:p>
      <w:pPr>
        <w:spacing w:after="0" w:line="68" w:lineRule="exact"/>
        <w:rPr>
          <w:sz w:val="20"/>
          <w:szCs w:val="20"/>
          <w:color w:val="auto"/>
        </w:rPr>
      </w:pPr>
    </w:p>
    <w:p>
      <w:pPr>
        <w:ind w:left="1800" w:right="599" w:hanging="180"/>
        <w:spacing w:after="0" w:line="263"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for the stock by the purported transferee, or if no notice of such purchase price is given, at a price to be determined by the board of directors, in its sole discretion, but no lower than the lowest market price of such stock at any time prior to the date we exercise our purchase option, and</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market price for the stock on the date we exercise our option to purchase.</w:t>
      </w:r>
    </w:p>
    <w:p>
      <w:pPr>
        <w:spacing w:after="0" w:line="15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90-day period begins on the date of the violative transfer or other event if the original transferee-stockholder gives notice to us of the transfer or, if no notice is given, the date the board of directors determines that a violative transfer or other event has occurred.</w:t>
      </w:r>
    </w:p>
    <w:p>
      <w:pPr>
        <w:spacing w:after="0" w:line="10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articles of incorporation further provide that in the event of a purported issuance or transfer that would, if effective, result in us being beneficially owned by fewer than 100 persons, such issuance or transfer would be deemed null and void, and the intended transferee would acquire no rights to the stock.</w:t>
      </w:r>
    </w:p>
    <w:p>
      <w:pPr>
        <w:spacing w:after="0" w:line="95"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All certificates representing shares of any class of our stock bear a legend referring to the restrictions described above.</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All persons who own, directly or by virtue of the attribution rules of the Code, more than 5%, or such other percentage as may be required by the Code or regulations promulgated thereunder, of the outstanding stock must give written notice to us containing the information specified in the articles of incorporation before January 30 of each year. In addition, each stockholder shall, upon demand, be required to disclose to us in writing such information with respect to the direct, indirect and constructive ownership of shares as the board of directors deems necessary to comply with the provisions of the articles of incorporation or the Code applicable to a REIT.</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Excess Stock provision will not be removed automatically even if the REIT provisions of the Code are changed so as to no longer contain any ownership concentration limitation or if the ownership concentration limitation is increased. In addition to preserving our status as a REIT, the ownership limit may have the effect of precluding an acquisition of control of us without the approval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regarding our election to be taxed as a REIT and the purchase, ownership or disposition of our capital stock. Supplemental U.S. federal income tax considerations relevant to holders of the securities offered by this prospectus may be provided in the prospectus supplement that relates to those securities. For purposes of this discussion, references to “we,” “our” and “us” mean only Simon Property Group, Inc. and do not include any of its subsidiaries or other lower-tier entities, except as otherwise indicated. This summary is for general information only and is not tax advice. The information in this summary is based on:</w:t>
      </w:r>
    </w:p>
    <w:p>
      <w:pPr>
        <w:spacing w:after="0" w:line="73"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temporary and proposed Treasury regulations promulgated under the Code, or the Treasury Regulations;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 history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interpretations and practices of the IRS;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decisions;</w:t>
      </w:r>
    </w:p>
    <w:p>
      <w:pPr>
        <w:spacing w:after="0" w:line="158"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us,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our election to be taxed as a REIT.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are urged to consult your tax advisors regarding the tax consequences to you of:</w:t>
      </w:r>
    </w:p>
    <w:p>
      <w:pPr>
        <w:spacing w:after="0" w:line="117"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redemption rights with respect to the common units;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ownership and disposition of our capital stock, including the U.S. federal, state, local, non-U.S. and other tax consequences;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to be taxed as a REIT for U.S. federal income tax purposes;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applicable tax laws.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the Exercise of Redemption Rights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you are a holder of common units and you exercise your right to require the Operating Partnership to redeem all or part of your common units, and we elect to acquire some or all of your common units in exchange for our common stock, the exchange will be a taxable transaction. You generally will recognize gain in an amount equal to the value of our common stock that you receive, plus the amount of liabilities of the Operating Partnership allocable to your common units being exchanged, less your tax basis in those common units. The recognition of any loss may be subject to a number of limitations set forth in the Code.</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The character of any gain or loss as capital or ordinary, or any gain as recapture gain under Section 1250 of the Code, will depend on the nature of the assets of the Operating Partnership at the time of the exchange. The tax treatment of any redemption of your common units by the Operating Partnership in exchange for cash may be similar, depending on your circumstances.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Our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have elected to be taxed as a REIT under Sections 856 through 860 of the Code commencing with our taxable year ended December 31, 1973. We believe that we have been organized and have operated in a manner that has 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Failure to Qualify” for potential tax consequences if we fail to qualify as a REIT.</w:t>
      </w:r>
    </w:p>
    <w:p>
      <w:pPr>
        <w:spacing w:after="0" w:line="12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Latham &amp; Watkins LLP has rendered an opinion to us, as of the date of this prospectus, to the effect that, commencing with our taxable year ended December 31, 2016,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or more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344" w:lineRule="exact"/>
        <w:rPr>
          <w:sz w:val="20"/>
          <w:szCs w:val="20"/>
          <w:color w:val="auto"/>
        </w:rPr>
      </w:pPr>
    </w:p>
    <w:p>
      <w:pPr>
        <w:ind w:left="1260" w:right="659" w:firstLine="360"/>
        <w:spacing w:after="0" w:line="257" w:lineRule="auto"/>
        <w:rPr>
          <w:sz w:val="20"/>
          <w:szCs w:val="20"/>
          <w:color w:val="auto"/>
        </w:rPr>
      </w:pPr>
      <w:r>
        <w:rPr>
          <w:rFonts w:ascii="Times New Roman" w:cs="Times New Roman" w:eastAsia="Times New Roman" w:hAnsi="Times New Roman"/>
          <w:sz w:val="18"/>
          <w:szCs w:val="18"/>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w:t>
      </w:r>
    </w:p>
    <w:p>
      <w:pPr>
        <w:spacing w:after="0" w:line="1"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81" w:lineRule="exact"/>
        <w:rPr>
          <w:sz w:val="20"/>
          <w:szCs w:val="20"/>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will be required to pay regular U.S. federal corporate income tax on any undistributed REIT taxable income, including undistributed capital gain.</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5"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80"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if we fail to satisfy the 75% gross income test or the 95% gross income test, as described below, but have otherwise maintained our qualification as a REIT because certain other 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73"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Fifth, if we fail to satisfy any of the asset tests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90"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294"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29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our subsidiaries that are C corporations and are not qualified REIT subsidiaries, including our “taxable REIT subsidiaries” described below, generally will be required to pay regular U.S. federal corporate income tax on their earnings.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Tenth, we will be required to pay a 100% tax on any “redetermined rents,” “redetermined deductions,” “excess interest” or “redetermined TRS service income,” as described below under “—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299"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82" w:lineRule="auto"/>
        <w:rPr>
          <w:sz w:val="20"/>
          <w:szCs w:val="20"/>
          <w:color w:val="auto"/>
        </w:rPr>
      </w:pPr>
      <w:r>
        <w:rPr>
          <w:rFonts w:ascii="Times New Roman" w:cs="Times New Roman" w:eastAsia="Times New Roman" w:hAnsi="Times New Roman"/>
          <w:sz w:val="18"/>
          <w:szCs w:val="18"/>
          <w:color w:val="auto"/>
        </w:rPr>
        <w:t>reasonable cause or is due to willful neglect, we will be subject to a $25,000 penalty, or if the failure is intentional, a $50,000 penalty.</w:t>
      </w:r>
    </w:p>
    <w:p>
      <w:pPr>
        <w:spacing w:after="0" w:line="94" w:lineRule="exact"/>
        <w:rPr>
          <w:sz w:val="20"/>
          <w:szCs w:val="20"/>
          <w:color w:val="auto"/>
        </w:rPr>
      </w:pPr>
    </w:p>
    <w:p>
      <w:pPr>
        <w:jc w:val="center"/>
        <w:ind w:left="1600" w:right="240"/>
        <w:spacing w:after="0" w:line="282" w:lineRule="auto"/>
        <w:rPr>
          <w:sz w:val="20"/>
          <w:szCs w:val="20"/>
          <w:color w:val="auto"/>
        </w:rPr>
      </w:pPr>
      <w:r>
        <w:rPr>
          <w:rFonts w:ascii="Times New Roman" w:cs="Times New Roman" w:eastAsia="Times New Roman" w:hAnsi="Times New Roman"/>
          <w:sz w:val="18"/>
          <w:szCs w:val="18"/>
          <w:color w:val="auto"/>
        </w:rPr>
        <w:t>We and our subsidiaries may be subject to a variety of taxes other than U.S. federal income tax, including payroll taxes and state and local income, property and other taxes on our assets and operations.</w:t>
      </w:r>
    </w:p>
    <w:p>
      <w:pPr>
        <w:spacing w:after="0" w:line="9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From time to time, we may own properties in other countries, which may impose taxes on our operations within their jurisdictions. We will exercise reasonable efforts to structure our activities to minimize our non-U.S. tax liability. However, there can be no assurance that we will be able to eliminate our non-U.S. tax liability or reduce it to a specified level. Furthermore, as a REIT, both we and our stockholders will derive little or no benefit from foreign tax credits arising from those non-U.S. taxes.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Qualification as a REIT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Code defines a REIT as a corporation, trust or association:</w:t>
      </w:r>
    </w:p>
    <w:p>
      <w:pPr>
        <w:spacing w:after="0" w:line="158" w:lineRule="exact"/>
        <w:rPr>
          <w:sz w:val="20"/>
          <w:szCs w:val="20"/>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issues transferable shares or transferable certificates to evidence its beneficial ownership;</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Sections 856 through 860 of the Code;</w:t>
      </w:r>
    </w:p>
    <w:p>
      <w:pPr>
        <w:spacing w:after="0" w:line="157" w:lineRule="exact"/>
        <w:rPr>
          <w:rFonts w:ascii="Times New Roman" w:cs="Times New Roman" w:eastAsia="Times New Roman" w:hAnsi="Times New Roman"/>
          <w:sz w:val="18"/>
          <w:szCs w:val="18"/>
          <w:color w:val="auto"/>
        </w:rPr>
      </w:pPr>
    </w:p>
    <w:p>
      <w:pPr>
        <w:ind w:left="1260" w:right="439" w:firstLine="360"/>
        <w:spacing w:after="0" w:line="282" w:lineRule="auto"/>
        <w:tabs>
          <w:tab w:leader="none" w:pos="19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a financial institution or an insurance company within the meaning of certain provisions of the Code;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by 100 or more persons;</w:t>
      </w:r>
    </w:p>
    <w:p>
      <w:pPr>
        <w:spacing w:after="0" w:line="144" w:lineRule="exact"/>
        <w:rPr>
          <w:rFonts w:ascii="Times New Roman" w:cs="Times New Roman" w:eastAsia="Times New Roman" w:hAnsi="Times New Roman"/>
          <w:sz w:val="18"/>
          <w:szCs w:val="18"/>
          <w:color w:val="auto"/>
        </w:rPr>
      </w:pPr>
    </w:p>
    <w:p>
      <w:pPr>
        <w:ind w:left="1260" w:right="459" w:firstLine="360"/>
        <w:spacing w:after="0" w:line="275" w:lineRule="auto"/>
        <w:tabs>
          <w:tab w:leader="none" w:pos="19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the outstanding stock of which is owned, actually or constructively, by five or fewer individuals, including certain specified entities, during the last half of each taxable year; and</w:t>
      </w:r>
    </w:p>
    <w:p>
      <w:pPr>
        <w:spacing w:after="0" w:line="322" w:lineRule="exact"/>
        <w:rPr>
          <w:rFonts w:ascii="Times New Roman" w:cs="Times New Roman" w:eastAsia="Times New Roman" w:hAnsi="Times New Roman"/>
          <w:sz w:val="18"/>
          <w:szCs w:val="18"/>
          <w:color w:val="auto"/>
        </w:rPr>
      </w:pPr>
    </w:p>
    <w:p>
      <w:pPr>
        <w:ind w:left="1260" w:right="919" w:firstLine="360"/>
        <w:spacing w:after="0" w:line="282" w:lineRule="auto"/>
        <w:tabs>
          <w:tab w:leader="none" w:pos="19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meets other tests, described below, regarding the nature of its income and assets and the amount of its distributions.</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0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believe that we have been organized and have operated in a manner that has allowed us, and will continue to allow us, to satisfy conditions (1) through (7), inclusive, during the relevant time periods. In addition, our articles of incorporation provide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 Failure to Qualify.”</w:t>
      </w:r>
    </w:p>
    <w:p>
      <w:pPr>
        <w:spacing w:after="0" w:line="34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In addition, we may not maintain our status as a REIT unless our taxable year is the calendar year. We have and will continue to have a calendar taxable year.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Ownership of Interests in Partnerships, Limited Liability Companies and Qualified REIT Subsidiaries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case of a REIT that is a partner in a 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 retain the same character in the hands of the REIT for purposes of Section 856 of the Code, including satisfying the gross income tests and the asset tests. Thus, our pro rata share of the assets and items of income of the Operating Partnership, including the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 Tax Aspects of Our Operating Partnership and the Subsidiary Partnerships and Limited Liability Companies.”</w:t>
      </w:r>
    </w:p>
    <w:p>
      <w:pPr>
        <w:spacing w:after="0" w:line="33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control of the Operating Partnership and certain subsidiary partnerships and intend to operate them in a manner consistent with the requirements for our qualification as a REIT. However the Operating Partnership has non-managing ownership interests in certain joint ventures, and we may become a limited partner or non- managing member of additional partnerships in the future. If any such entity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and our Subsidiary REITs (as defined below) may from time to time own and operate certain properties or other assets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 Asset Tests.”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Ownership of Interests in Taxable REIT Subsidiaries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Operating Partnership owns interests in companies that have elected, together with us, to be treated as our taxable REIT subsidiaries, and we may acquire 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 REIT is not treated as holding the assets of a taxable REIT subsidiary or as receiving any income that the</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taxable REIT subsidiary earns. Rather, the stock issued by the taxable REIT subsidiary is an asset in the hands of the REIT, and the REIT generally recognizes dividend income to the extent distributions received from a taxable REIT subsidiary are paid from the taxable REIT subsidiary’s current or accumulated earnings and profits. A REIT’s ownership of securities of a taxable REIT subsidiary is not subject to the 5% or 10% asset test described below. See “— Asset Tests.” Taxpayers (including taxable REIT subsidiaries) are subject to a limitation on their ability to deduct net business interest generally equal to 30% of adjusted taxable income, subject to certain exceptions. See “— Annual Distribution Requirements.” While not certain, this provision may limit the ability of our taxable REIT subsidiaries to deduct interest, which could increase their taxable income.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Ownership of Interests in Subsidiary REITs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own and may acquire direct or indirect interests in one or more entities that have elected or will elect 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Tests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must satisfy two gross income requirements annually to maintain our qualification as a REIT. First, in each taxable year we must 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330"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Rents we receive from a tenant will qualify as “rents from real property” for the purpose of satisfying the gross income requirements for a REIT described above only if all of the following conditions are met:</w:t>
      </w:r>
    </w:p>
    <w:p>
      <w:pPr>
        <w:spacing w:after="0" w:line="54" w:lineRule="exact"/>
        <w:rPr>
          <w:sz w:val="20"/>
          <w:szCs w:val="20"/>
          <w:color w:val="auto"/>
        </w:rPr>
      </w:pPr>
    </w:p>
    <w:p>
      <w:pPr>
        <w:ind w:left="1800" w:right="439" w:hanging="180"/>
        <w:spacing w:after="0" w:line="25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79"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 taxable REIT subsidiary” is modified and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0" w:lineRule="auto"/>
        <w:rPr>
          <w:sz w:val="20"/>
          <w:szCs w:val="20"/>
          <w:color w:val="auto"/>
        </w:rPr>
      </w:pPr>
      <w:r>
        <w:rPr>
          <w:rFonts w:ascii="Times New Roman" w:cs="Times New Roman" w:eastAsia="Times New Roman" w:hAnsi="Times New Roman"/>
          <w:sz w:val="18"/>
          <w:szCs w:val="18"/>
          <w:color w:val="auto"/>
        </w:rPr>
        <w:t>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69" w:lineRule="exact"/>
        <w:rPr>
          <w:sz w:val="20"/>
          <w:szCs w:val="20"/>
          <w:color w:val="auto"/>
        </w:rPr>
      </w:pPr>
    </w:p>
    <w:p>
      <w:pPr>
        <w:ind w:left="1800" w:right="519" w:hanging="180"/>
        <w:spacing w:after="0" w:line="25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65" w:lineRule="exact"/>
        <w:rPr>
          <w:rFonts w:ascii="Times New Roman" w:cs="Times New Roman" w:eastAsia="Times New Roman" w:hAnsi="Times New Roman"/>
          <w:sz w:val="18"/>
          <w:szCs w:val="18"/>
          <w:color w:val="auto"/>
        </w:rPr>
      </w:pPr>
    </w:p>
    <w:p>
      <w:pPr>
        <w:ind w:left="1800" w:right="559" w:hanging="180"/>
        <w:spacing w:after="0" w:line="254"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generally may not operate or manage the property or furnish or render services to our tenants, subject to a 1%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and general maintenance of common areas.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33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Although the Operating Partnership and other of our affiliates will perform all development, construction and leasing services for, and generally will operate and manage, wholly-owned properties directly without using an “independent contractor,” we believe that, in almost all instances, the only services to be provided to lessees of these properties will be those usually or customarily rendered in connection with the rental of space for occupancy only. To the extent any non-customary services are provided, such services will generally, but not necessarily in all cases, be performed by a taxable REIT subsidiary. In any event, we intend that the amounts we receive for non-customary services that may constitute “impermissible tenant service income” from any one property will not exceed 1% of the total amount collected from such property during the taxable year.</w:t>
      </w:r>
    </w:p>
    <w:p>
      <w:pPr>
        <w:spacing w:after="0" w:line="32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generally do not intend, and, as the general partner of the Operating Partnership, we do not intend to permit the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have investments in several entities located outside the United States and from time to time may invest in additional entities or properties located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2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To the extent our taxable REIT subsidiaries pay dividends or interest, our allocable share of such dividend or interest income will qualify under the 95%, but (subject to certain exceptions) not the 75%, gross income test. Notwithstanding the foregoing, our allocable share of such interest would also qualify under the 75% gross income test to the extent the interest is paid on a loan that is adequately secured by real property.</w:t>
      </w:r>
    </w:p>
    <w:p>
      <w:pPr>
        <w:spacing w:after="0" w:line="33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99"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68" w:lineRule="exact"/>
        <w:rPr>
          <w:sz w:val="20"/>
          <w:szCs w:val="20"/>
          <w:color w:val="auto"/>
        </w:rPr>
      </w:pPr>
    </w:p>
    <w:p>
      <w:pPr>
        <w:ind w:left="1800" w:right="47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these tests was due to reasonable cause and not due to willful neglect.</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 Failure to Qualify” below. As discussed above in “— 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Prohibited Transaction Income</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Any gain that we realize on the sale of property (other than any foreclosure property) held as inventory or otherwise held primarily for sale to customers in the ordinary course of business, including our share of any such gain realized by the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general partner of the Operating Partnership, we intend to cause the Operating Partnership to hold its properties for investment with a view to long-term appreciation, to engage in the business of acquiring, developing and owning its properties and to make occasional sales of the properties as are consistent with our investment objectives. We do not intend, and do not intend to permit the Operating Partnership or its subsidiary partnerships, to enter into sales that are prohibited transactions resulting in a material amount of penalty tax. The IRS may successfully contend that some or all of the sales made by the Operating Partnership or its subsidiary partnerships are prohibited transactions. We would be required to pay the 100% penalty tax on our allocable share of the gains resulting from any such sales. The 100% penalty tax will not apply to gains from the sale of assets that are held through a taxable REIT subsidiary, but such income will be subject to regular U.S. federal corporate income tax.</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Penalty Tax</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Any redetermined rents, redetermined deductions, excess interest or redetermined TRS service income we generate will be subject to a 100% penalty tax. In general, redetermined rents are rents from real property that are overstated as a result of any services furnished to any of our tenants by a taxable REIT 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32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do not believe we have been, and do not expect to be, subject to this penalty tax, although any rental or service arrangements we enter into from time to time may not satisfy the safe-harbor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Asset Tests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At the close of each calendar quarter of our taxable year, we must also satisfy certain tests relating to the nature and diversification of our 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w:t>
      </w:r>
    </w:p>
    <w:p>
      <w:pPr>
        <w:spacing w:after="0" w:line="4" w:lineRule="exact"/>
        <w:rPr>
          <w:sz w:val="20"/>
          <w:szCs w:val="20"/>
          <w:color w:val="auto"/>
        </w:rPr>
      </w:pPr>
    </w:p>
    <w:p>
      <w:pPr>
        <w:ind w:left="1260" w:right="679"/>
        <w:spacing w:after="0" w:line="242" w:lineRule="auto"/>
        <w:rPr>
          <w:sz w:val="20"/>
          <w:szCs w:val="20"/>
          <w:color w:val="auto"/>
        </w:rPr>
      </w:pPr>
      <w:r>
        <w:rPr>
          <w:rFonts w:ascii="Times New Roman" w:cs="Times New Roman" w:eastAsia="Times New Roman" w:hAnsi="Times New Roman"/>
          <w:sz w:val="18"/>
          <w:szCs w:val="18"/>
          <w:color w:val="auto"/>
        </w:rPr>
        <w:t>five years (but only for the one -year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w:t>
      </w:r>
    </w:p>
    <w:p>
      <w:pPr>
        <w:spacing w:after="0" w:line="11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Second, not more than 25% of the value of our total assets may be represented by securities (including securities of taxable REIT subsidiaries), other than those securities includable in the 75% asset test.</w:t>
      </w:r>
    </w:p>
    <w:p>
      <w:pPr>
        <w:spacing w:after="0" w:line="9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32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Fourth, not more than 25% (20% for taxable years beginning after December 31, 2017 and before January 1, 2026) of the value of our total assets may be represented by the securities of one or more taxable REIT subsidiaries. We and the Operating Partnership own interests in companies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 10% voting power limitation or the 10% value limitation with respect to our ownership of the securities of such companies. We believe that the aggregate value of our taxable REIT subsidiaries has not exceeded, and in the future will not exceed, 25% (20% for taxable years beginning after December 31, 2017 and before January 1, 2026) of the aggregate value</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of our gross assets. We generally do not obtain independent appraisals to support these conclusions. In addition, there can be no assurance that the IRS will not disagree with our determinations of value.</w:t>
      </w:r>
    </w:p>
    <w:p>
      <w:pPr>
        <w:spacing w:after="0" w:line="9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we may acquire certain mezzanine loans secured by equity interests in pass-through entities that directly or indirectly own real property. Revenue Procedure 2003-65, or the Revenue Procedure, provides a safe harbor pursuant to which mezzanine loans meeting the requirements of the safe harbor will be treated by the IRS as real estate assets for purposes of the REIT asset tests. In addition, any interest derived from such mezzanine loans will be treated as qualifying mortgage interest for purposes of the 75% gross income test (described above). Although the Revenue Procedure provides a safe harbor on which taxpayers may rely, it does not prescribe rules of substantive tax law. The mezzanine loans that we acquire may not meet all of the requirements of the safe harbor. Accordingly, there can be no assurance that the IRS will not challenge the qualification of such assets as real estate assets or the interest generated by these loans as qualifying income under the 75% gross income test (described above).</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the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30" w:lineRule="exact"/>
        <w:rPr>
          <w:sz w:val="20"/>
          <w:szCs w:val="20"/>
          <w:color w:val="auto"/>
        </w:rPr>
      </w:pPr>
    </w:p>
    <w:p>
      <w:pPr>
        <w:jc w:val="center"/>
        <w:ind w:left="1560" w:right="280"/>
        <w:spacing w:after="0" w:line="261" w:lineRule="auto"/>
        <w:rPr>
          <w:sz w:val="20"/>
          <w:szCs w:val="20"/>
          <w:color w:val="auto"/>
        </w:rPr>
      </w:pPr>
      <w:r>
        <w:rPr>
          <w:rFonts w:ascii="Times New Roman" w:cs="Times New Roman" w:eastAsia="Times New Roman" w:hAnsi="Times New Roman"/>
          <w:sz w:val="18"/>
          <w:szCs w:val="18"/>
          <w:color w:val="auto"/>
        </w:rPr>
        <w:t>Certain relief provisions may be available to us if we discover a failure to satisfy the asset tests described above after the 30-day cure period. Under these provisions, we will be deemed to have met the</w:t>
      </w: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 xml:space="preserve">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w:t>
      </w:r>
    </w:p>
    <w:p>
      <w:pPr>
        <w:spacing w:after="0" w:line="4" w:lineRule="exact"/>
        <w:rPr>
          <w:sz w:val="20"/>
          <w:szCs w:val="20"/>
          <w:color w:val="auto"/>
        </w:rPr>
      </w:pPr>
    </w:p>
    <w:p>
      <w:pPr>
        <w:ind w:left="1260" w:right="539"/>
        <w:spacing w:after="0" w:line="260" w:lineRule="auto"/>
        <w:tabs>
          <w:tab w:leader="none" w:pos="15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 tax equal to the greater of (a) $50,000 or (b) the U.S. federal corporate income tax rate multiplied by the net income generated by the nonqualifying assets, and (iii) disclosing certain information to the IRS.</w:t>
      </w:r>
    </w:p>
    <w:p>
      <w:pPr>
        <w:spacing w:after="0" w:line="33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the Operating Partnership’s overall interest in an issuer (including in a taxable REIT subsidiary). If we fail to cure any noncompliance with the asset tests in a timely manner, and the relief provisions described above are not available, we would cease to qualify as a REIT.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Distribution Requirements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To maintain our qualification as a REIT, we are required to distribute dividends, other than capital gain dividends, to our stockholders each year in an amount at least equal to the sum of:</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after-tax net income, if any, from foreclosure property; minus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sum of certain items of non-cash income over 5% of our REIT taxable income.</w:t>
      </w:r>
    </w:p>
    <w:p>
      <w:pPr>
        <w:spacing w:after="0" w:line="15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1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 General.”</w:t>
      </w:r>
    </w:p>
    <w:p>
      <w:pPr>
        <w:spacing w:after="0" w:line="10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the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w:t>
      </w:r>
    </w:p>
    <w:p>
      <w:pPr>
        <w:spacing w:after="0" w:line="340"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 —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 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authorizes us, as the general partner of the Operating Partnership, to use best efforts to cause the Operating Partnership to distribute to its partners an amount sufficient to permit us to meet these distribution requirements and to minimize our corporate tax obligation.</w:t>
      </w:r>
    </w:p>
    <w:p>
      <w:pPr>
        <w:spacing w:after="0" w:line="12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 In addition, if a dividend paid by a REIT (including any of our Subsidiary REITs) is treated as a preferential dividend, in lieu of treating the dividend as not counting toward satisfying the 90% distribution requirement, the IRS may provide a remedy to cure such failure if the IRS determines that such failure is (or is of a type that is) inadvertent or due to reasonable cause and not due to willful neglect.</w:t>
      </w:r>
    </w:p>
    <w:p>
      <w:pPr>
        <w:spacing w:after="0" w:line="32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Like-Kind Exchanges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may dispose of real property that is not held primarily for sale in transactions intended to qualify as like-kind exchanges 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Liabilities and Attributes Inherited in Connection with Acquisitions</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From time to time, we or the Operating Partnership may acquire other corporations or entities and, in connection with such acquisitions, we may succeed to the historical tax attributes and liabilities of such entities. For example, if we acquire a C corporation and subsequently dispose of its assets within five years of the acquisition, we could be required to pay the built-in gain tax described above under “— General.”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1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as a REIT for any of 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 Prohibited Transaction Income”).</w:t>
      </w:r>
    </w:p>
    <w:p>
      <w:pPr>
        <w:spacing w:after="0" w:line="32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we discover a violation of a provision of the Code that would result in our failure to qualify as a REIT, certain specified cure 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 -corporate stockholders, including individuals, may be eligible for the preferential tax rates on qualified dividend income. Non- corporate stockholders,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w:t>
      </w:r>
    </w:p>
    <w:p>
      <w:pPr>
        <w:spacing w:after="0" w:line="397" w:lineRule="exact"/>
        <w:rPr>
          <w:sz w:val="20"/>
          <w:szCs w:val="20"/>
          <w:color w:val="auto"/>
        </w:rPr>
      </w:pPr>
    </w:p>
    <w:p>
      <w:pPr>
        <w:ind w:left="1260" w:right="579"/>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Tax Aspects of Our Operating Partnership and the Subsidiary Partnerships and Limited Liability Companies </w:t>
      </w:r>
      <w:r>
        <w:rPr>
          <w:rFonts w:ascii="Times New Roman" w:cs="Times New Roman" w:eastAsia="Times New Roman" w:hAnsi="Times New Roman"/>
          <w:sz w:val="18"/>
          <w:szCs w:val="18"/>
          <w:b w:val="1"/>
          <w:bCs w:val="1"/>
          <w:i w:val="1"/>
          <w:iCs w:val="1"/>
          <w:color w:val="auto"/>
        </w:rPr>
        <w:t>General</w:t>
      </w: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Substantially all of our investments are held indirectly through the Operating Partnership. In addition, the Operating Partnership has non-managing ownership interests in certain joint ventures and holds certain of its 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the Operating Partnership, including its share of the assets of its subsidiary partnerships, based on our capital interests in each such entity. See “— Taxation of Our Company — Ownership of Interests in Partnerships, Limited Liability Companies and Qualified REIT Subsidiaries.”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0" w:lineRule="auto"/>
        <w:rPr>
          <w:sz w:val="20"/>
          <w:szCs w:val="20"/>
          <w:color w:val="auto"/>
        </w:rPr>
      </w:pPr>
      <w:r>
        <w:rPr>
          <w:rFonts w:ascii="Times New Roman" w:cs="Times New Roman" w:eastAsia="Times New Roman" w:hAnsi="Times New Roman"/>
          <w:sz w:val="18"/>
          <w:szCs w:val="18"/>
          <w:color w:val="auto"/>
        </w:rPr>
        <w:t>A disregarded entity is not treated as a separate entity for U.S. federal income tax purposes, and all assets, liabilities and items of income, gain, loss, deduction and credit of a disregarded entity are treated as assets, liabilities and items of income, gain, loss, deduction and credit of its parent that is not a disregarded entity (e.g., the Operating Partnership) for all purposes under the Code, including all REIT qualification tests.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Entity Classification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interests in the Operating Partnership and the subsidiary partnerships and limited liability</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companies involve special tax 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and certain other requirements are met. A partnership would be treated as a publicly traded partnership if its interests are traded on an established securities market or are readily tradable on a secondary market or a substantial equivalent thereof, within the meaning of applicable Treasury Regulations. We do not anticipate that the Operating Partnership or any subsidiary partnership will be treated as a publicly traded partnership that is 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 Taxation of Our Company — Asset Tests” and “— Income Tests.” This, in turn, could prevent us from qualifying as a REIT. See “— Taxation of Our Company — Failure to Qualify” for a discussion of the effect of our failure to meet these tests. In addition, a change in the tax status of the Operating Partnership or a subsidiary treated as a partnership or disregarded entity to a corporation might be treated as a taxable event. If so, we might incur a tax liability without any related cash payment. We believe the Operating Partnership and each of the subsidiary partnerships and limited liability companies are and will continue to be treated as partnerships or disregarded entities for U.S. federal income tax purposes.</w:t>
      </w:r>
    </w:p>
    <w:p>
      <w:pPr>
        <w:spacing w:after="0" w:line="32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Treasury Regulations provide that certain specified foreign entities are taxed as corporations. Foreign entities with two or more members are taxed as partnerships if (a) at least one of the members has unlimited liability for the liabilities of the entity or (b) the entity elects to be taxed as a partnership. Each foreign entity having two or more members in which we are treated as an owner (either directly or indirectly) for tax purposes has elected to be taxed as a partnership or as a taxable REIT subsidiary. Certain foreign entities with only one member are also taxed as corporations unless the entity elects to have its existence as separate from its member disregarded for tax purposes. Each such single member entity has elected either to be treated as a disregarded entity or to be taxed as a taxable REIT subsidiary.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Allocations of Items of Income, Gain, Loss and Deduction</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 partnership agreement (or, in the case of a limited liability company treated as a partnership for U.S. federal income tax purposes, the limited liability company agreement) generally will determine the allocation of income and loss among partners. These allocations, however, will be disregarded for tax purposes if they do not comply with the provisions of Section 704(b) of the Code and the Treasury Regulations thereunder. Generally, Section 704(b) of the Code and the Treasury Regulations thereunder require that partnership allocations respect the economic arrangement of the partners. 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the Operating Partnership and any subsidiaries that are treated as partnerships for U.S. federal income tax purposes are intended to comply with the requirements of Section 704(b) of the Code and the Treasury Regulations thereunder.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Allocations With Respect to the Properties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Section 704(c) of the Code, items of income, gain, loss and deduction attributable to appreciated or depreciated property that is contributed to a partnership in exchange for an interest in the partnership must be allocated in a manner so that the contributing partner is charged with the unrealized gain or benefits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1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Operating Partnership may, from time to time, acquire interests in property in exchange for interests in the Operating Partnership. In that case, the tax basis of these property interests generally will carry over to the Operating Partnership, notwithstanding their different book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fair market) value. The partnership agreement requires that income and loss allocations with respect to these properties be made in a manner consistent with Section 704(c) of the Code. Treasury Regulations issued under Section 704(c) of the Code provide partnerships with a choice of several methods of accounting for book- tax differences. Depending on the method we choose in connection with any particular contribution, the carryover basis of each of the contributed interests in the properties in the hands of the Operating Partnership (1) could cause us to be allocated lower amounts of depreciation deductions for tax purposes than would be allocated to us if any of the contributed properties were to have a tax basis equal to its respective fair market value at the time of the contribution and (2) could cause us to be allocated taxable gain in the event of a sale of such contributed interests or properties in excess of the economic or book income allocated to us as a result of such sale, with a corresponding benefit to the other partners in the Operating Partnership. An allocation described in clause (2) above might cause us or the other partners to recognize taxable income in excess of cash proceeds in the event of a sale or other disposition of property, which might adversely affect our ability to comply with the REIT distribution requirements. See “— Taxation of Our Company — Requirements for Qualification as a REIT” and “— Annual Distribution Requirements.”</w:t>
      </w:r>
    </w:p>
    <w:p>
      <w:pPr>
        <w:spacing w:after="0" w:line="125"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Any property acquired by the Operating Partnership in a taxable transaction will initially have a tax basis equal to its fair market value, and Section 704(c) of the Code generally will not apply.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Partnership Audit Rules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Under current tax law, subject to certain exceptions, any audit adjustment to items of income, gain, loss, deduction, or credit 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the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 some cases, we may be able to use deficiency dividend procedures to reduce such tax liability. Investors are urged to consult their tax advisors with respect to these rules and their potential impact on their investment in our capital stock.</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Holders of Our Capital Stock</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you of purchasing, owning and disposing of our capital stock. This discussion is limited to holders who hold our capital stock as a “capital asset”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295"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capital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REITs or 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capital stock being taken into account in an applicable financial statement;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capital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capital stock pursuant to the exercise of any employee stock option or otherwise as compensation.</w:t>
      </w:r>
    </w:p>
    <w:p>
      <w:pPr>
        <w:spacing w:after="0" w:line="9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ARISING UNDER OTHER U.S. FEDERAL TAX LAWS (INCLUDING ESTATE AND GIFT TAX LAWS), UNDER THE LAWS OF ANY STATE, LOCAL OR NON-U.S. TAXING JURISDICTION OR UNDER ANY APPLICABLE TAX TREATY.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capital stock that, for 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income tax purposes, is or is treated as:</w:t>
      </w:r>
    </w:p>
    <w:p>
      <w:pPr>
        <w:spacing w:after="0" w:line="99"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w:t>
      </w:r>
    </w:p>
    <w:p>
      <w:pPr>
        <w:spacing w:after="0" w:line="27" w:lineRule="exact"/>
        <w:rPr>
          <w:rFonts w:ascii="Times New Roman" w:cs="Times New Roman" w:eastAsia="Times New Roman" w:hAnsi="Times New Roman"/>
          <w:sz w:val="18"/>
          <w:szCs w:val="18"/>
          <w:color w:val="auto"/>
        </w:rPr>
      </w:pPr>
    </w:p>
    <w:p>
      <w:pPr>
        <w:ind w:left="18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persons” (within​ the meaning of Section 7701(a)(30) of the Code) or (2) has a valid election in effect to be treated as a United States person for U.S. federal income tax purposes.</w:t>
      </w:r>
    </w:p>
    <w:p>
      <w:pPr>
        <w:spacing w:after="0" w:line="11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capital stock that is neither a U.S. holder nor an entity treated as a partnership for U.S. federal income tax purposes.</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capital stock, the tax treatment of a partner in the partnership will depend on the status of the partner, the activities of the partnership and certain determinations made at the partner level. Accordingly, partnerships holding our capital stock and the partners in such partnerships should consult their tax advisors regarding the U.S. federal income tax consequences to them.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Taxable U.S. Holders of Our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Generally</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Distributions out of our current or accumulated earnings and profits will be treated as dividends and, other than with respect to capital gain dividends and certain amounts which have previously been subject to corporate level tax, as discussed below, will be taxable to our taxable U.S. holders as ordinary income when actually or constructively received. See “— Tax Rates” below. As long as we qualify as a REIT, these distributions will not be eligible for the dividends-received deduction in the case of U.S. holders that are corporations or, except to the extent described in “— Tax Rates” below, the preferential rates on qualified</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71" w:lineRule="auto"/>
        <w:rPr>
          <w:sz w:val="20"/>
          <w:szCs w:val="20"/>
          <w:color w:val="auto"/>
        </w:rPr>
      </w:pPr>
      <w:r>
        <w:rPr>
          <w:rFonts w:ascii="Times New Roman" w:cs="Times New Roman" w:eastAsia="Times New Roman" w:hAnsi="Times New Roman"/>
          <w:sz w:val="18"/>
          <w:szCs w:val="18"/>
          <w:color w:val="auto"/>
        </w:rPr>
        <w:t>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if any, and then to our outstanding common stock.</w:t>
      </w:r>
    </w:p>
    <w:p>
      <w:pPr>
        <w:spacing w:after="0" w:line="11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Gain Dividends</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Dividends that we properly designate as capital gain dividends will generally be taxable to our taxable U.S. holders as a gain 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 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Retention of Net Capital Gains</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We may elect to retain, rather than distribute as a capital gain dividend, all or a portion of our net capital gains. If we make this election, we would pay tax on our retained net capital gains. In addition, to the extent we so elect, our earnings and profits (determined for U.S. federal income tax purposes) would be adjusted accordingly, and a U.S. holder generally would:</w:t>
      </w:r>
    </w:p>
    <w:p>
      <w:pPr>
        <w:spacing w:after="0" w:line="78" w:lineRule="exact"/>
        <w:rPr>
          <w:sz w:val="20"/>
          <w:szCs w:val="20"/>
          <w:color w:val="auto"/>
        </w:rPr>
      </w:pPr>
    </w:p>
    <w:p>
      <w:pPr>
        <w:ind w:left="1800" w:right="47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8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to have paid its share of the capital gains tax imposed on us on the designated amounts included in the U.S. holder’s income as long-term capital gain;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credit or refund for the amount of tax deemed paid by it;</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adjusted tax basis of its capital stock by the difference between the amount of includable gains and the tax deemed to have been paid by it;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U.S. holder that is a corporation, appropriately adjust its earnings and profits for the retained capital gains in accordance with Treasury Regulations to be promulgated by the IRS.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Activity Losses and Investment Interest Limitations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Distributions we make and gain arising from the sale or exchange of our capital stock by a 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Dispositions of Our Capital Stock</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Except as described below under “— Taxation of Taxable U.S. Holders of Our Capital Stock — Redemption or 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or Repurchase by Us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A redemption or repurchase of shares of our capital stock will be treated under Section 302 of the Code as a distribution (and taxable as a dividend to the extent of our current and accumulated earnings and profits as described above under “— Distributions Generally”) unless the redemption 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296"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“substantially disproportionate” with respect to the U.S. holder,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redemption” of the U.S. holder’s stock interest in us, or</w:t>
      </w:r>
    </w:p>
    <w:p>
      <w:pPr>
        <w:spacing w:after="0" w:line="117" w:lineRule="exact"/>
        <w:rPr>
          <w:rFonts w:ascii="Times New Roman" w:cs="Times New Roman" w:eastAsia="Times New Roman" w:hAnsi="Times New Roman"/>
          <w:sz w:val="18"/>
          <w:szCs w:val="18"/>
          <w:color w:val="auto"/>
        </w:rPr>
      </w:pPr>
    </w:p>
    <w:p>
      <w:pPr>
        <w:ind w:left="1260" w:right="2379" w:firstLine="360"/>
        <w:spacing w:after="0" w:line="414"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essentially equivalent to a dividend” with respect to the U.S. holder, all within the meaning of Section 302(b) of the Code.</w:t>
      </w:r>
    </w:p>
    <w:p>
      <w:pPr>
        <w:spacing w:after="0" w:line="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determining whether any of these tests has been met, shares of our capital stock, including common stock and other equity interests in us, considered to be owned by the U.S. holder by reason of certain constructive 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21"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treated as a distribution, the amount of the distribution will be measured by the amount of cash and the fair market value of any property received. See “—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0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If a redemption or repurchase of shares of our capital stock is not treated as a distribution, it will be treated as a taxable sale or exchange in the manner described under “— Dispositions of Our Capital Stock.”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maximum tax rate for non -corporate taxpayers for (1) long-term capital gains, including certain “capital gain dividends,” generally is 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rates described above to the extent that they are properly designated by the REIT as “capital gain dividends.” U.S. holders that are corporations may be required to treat up to 20% of some capital gain dividends as ordinary income. In addition, non -corporate U.S. 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Tax-Exempt Holders of Our Capital Stock</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Dividend income from us and gain arising upon a sale of shares of our capital stock generally should not be unrelated business taxable income, or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w:t>
      </w:r>
    </w:p>
    <w:p>
      <w:pPr>
        <w:spacing w:after="0" w:line="114"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articles of incorporation, we do not expect to be classified as a “pension-held REIT,” and as a result, the tax treatment described above should be inapplicable to our holders. However, because our common stock is (and, we anticipate, will continue to be) publicly traded, we cannot guarantee that this will always be the case.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Non-U.S. Holders of Our Capital Stock</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 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Generally</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Distributions (including any taxable stock distributions) that are neither attributable to gains from sales or exchanges by us of United States real property interests, or USRPIs, nor designated by us as capital</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 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 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325"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provided below, we expect to withhold U.S. federal income tax at the rate of 30% on any distributions made to a non-U.S. holder unless:</w:t>
      </w:r>
    </w:p>
    <w:p>
      <w:pPr>
        <w:spacing w:after="0" w:line="67" w:lineRule="exact"/>
        <w:rPr>
          <w:sz w:val="20"/>
          <w:szCs w:val="20"/>
          <w:color w:val="auto"/>
        </w:rPr>
      </w:pPr>
    </w:p>
    <w:p>
      <w:pPr>
        <w:ind w:left="1980" w:right="479" w:hanging="360"/>
        <w:spacing w:after="0" w:line="282" w:lineRule="auto"/>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treaty rate applies and the non-U.S. holder furnishes an IRS Form W-8BEN or W-8BEN-E (or other applicable documentation) evidencing eligibility for that reduced treaty rate; or</w:t>
      </w:r>
    </w:p>
    <w:p>
      <w:pPr>
        <w:spacing w:after="0" w:line="94" w:lineRule="exact"/>
        <w:rPr>
          <w:rFonts w:ascii="Times New Roman" w:cs="Times New Roman" w:eastAsia="Times New Roman" w:hAnsi="Times New Roman"/>
          <w:sz w:val="18"/>
          <w:szCs w:val="18"/>
          <w:color w:val="auto"/>
        </w:rPr>
      </w:pPr>
    </w:p>
    <w:p>
      <w:pPr>
        <w:jc w:val="both"/>
        <w:ind w:left="1980" w:right="519" w:hanging="360"/>
        <w:spacing w:after="0" w:line="282" w:lineRule="auto"/>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furnishes an IRS Form W-8ECI (or other applicable documentation) claiming that the distribution is income effectively connected with the non-U.S. holder’s trade or business.</w:t>
      </w:r>
    </w:p>
    <w:p>
      <w:pPr>
        <w:spacing w:after="0" w:line="8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81" w:lineRule="exact"/>
        <w:rPr>
          <w:sz w:val="20"/>
          <w:szCs w:val="20"/>
          <w:color w:val="auto"/>
        </w:rPr>
      </w:pPr>
    </w:p>
    <w:p>
      <w:pPr>
        <w:ind w:left="12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 and Distributions Attributable to a Sale or Exchange of United States Real Property Interests</w:t>
      </w:r>
    </w:p>
    <w:p>
      <w:pPr>
        <w:spacing w:after="0" w:line="7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Distributions to a non-U.S. holder that we properly designate as capital gain dividends, other than those arising from the disposition of a USRPI, generally should not be subject to U.S. federal income taxation, unless:</w:t>
      </w:r>
    </w:p>
    <w:p>
      <w:pPr>
        <w:spacing w:after="0" w:line="318" w:lineRule="exact"/>
        <w:rPr>
          <w:sz w:val="20"/>
          <w:szCs w:val="20"/>
          <w:color w:val="auto"/>
        </w:rPr>
      </w:pPr>
    </w:p>
    <w:p>
      <w:pPr>
        <w:ind w:left="1980" w:right="459" w:hanging="360"/>
        <w:spacing w:after="0" w:line="256" w:lineRule="auto"/>
        <w:tabs>
          <w:tab w:leader="none" w:pos="1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106"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w:t>
      </w:r>
    </w:p>
    <w:p>
      <w:pPr>
        <w:spacing w:after="0" w:line="27" w:lineRule="exact"/>
        <w:rPr>
          <w:rFonts w:ascii="Times New Roman" w:cs="Times New Roman" w:eastAsia="Times New Roman" w:hAnsi="Times New Roman"/>
          <w:sz w:val="18"/>
          <w:szCs w:val="18"/>
          <w:color w:val="auto"/>
        </w:rPr>
      </w:pPr>
    </w:p>
    <w:p>
      <w:pPr>
        <w:ind w:left="198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Pursuant to the Foreign Investment in Real Property Tax Act, which is referred to as “FIRPTA,” distributions to a non-U.S. holder that are attributable to gain from sales or exchanges by us of USRPIs,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(or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Retention of Net Capital Gains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Although the law is not clear on the matter, it appears that amounts we designate as retained net capital gains in respect of our capital stock should be treated with respect to non-U.S. holders as 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of Our Capital Stock</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Except as described below under “— Redemption or Repurchase by Us,” gain realized by a non-U.S. holder upon the sale, exchange or other taxable disposition of our capital stock generally will not be subject to U.S. federal income tax unless such stock constitutes a USRPI. In general, stock of a domestic corporation that constitutes a “United States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ownership rules. For purposes of determining whether a REIT is a “domestically controlled qualified investment entity,” ownership generally will be determined by looking through certain pass-through entities and certain other entities. Notwithstanding the foregoing ownership rules, a person who at all applicable times holds less than 5% of a class of a REIT’s stock that is “regularly traded” on an established securities market in the United States will be treated as a United States person unless the REIT has actual knowledge that such person (i) is not a United States person or (ii) in certain cases, is a foreign-controlled entity. We believe, but cannot guarantee, that we are a “domestically controlled qualified investment entity.” Because our common stock is (and, we anticipate, will continue to be) publicly traded, no assurance can be given that we will continue to be a “domestically controlled qualified investment entity.”</w:t>
      </w:r>
    </w:p>
    <w:p>
      <w:pPr>
        <w:spacing w:after="0" w:line="11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99" w:hanging="360"/>
        <w:spacing w:after="0" w:line="28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of stock is “regularly traded,” as defined by applicable Treasury Regulations, on an established securities market such as the NYSE; and</w:t>
      </w:r>
    </w:p>
    <w:p>
      <w:pPr>
        <w:spacing w:after="0" w:line="94" w:lineRule="exact"/>
        <w:rPr>
          <w:rFonts w:ascii="Times New Roman" w:cs="Times New Roman" w:eastAsia="Times New Roman" w:hAnsi="Times New Roman"/>
          <w:sz w:val="18"/>
          <w:szCs w:val="18"/>
          <w:color w:val="auto"/>
        </w:rPr>
      </w:pPr>
    </w:p>
    <w:p>
      <w:pPr>
        <w:jc w:val="both"/>
        <w:ind w:left="1980" w:right="979" w:hanging="360"/>
        <w:spacing w:after="0" w:line="266"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owned, actually and constructively, 10% or less of such class of stock throughout the shorter of the five-year period ending on the date of the sale or other taxable disposition or the non-U.S. holder’s holding period.</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0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w:t>
      </w:r>
    </w:p>
    <w:p>
      <w:pPr>
        <w:spacing w:after="0" w:line="1" w:lineRule="exact"/>
        <w:rPr>
          <w:sz w:val="20"/>
          <w:szCs w:val="20"/>
          <w:color w:val="auto"/>
        </w:rPr>
      </w:pPr>
    </w:p>
    <w:p>
      <w:pPr>
        <w:ind w:left="1260" w:right="459"/>
        <w:spacing w:after="0" w:line="250" w:lineRule="auto"/>
        <w:tabs>
          <w:tab w:leader="none" w:pos="15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w:t>
      </w:r>
    </w:p>
    <w:p>
      <w:pPr>
        <w:spacing w:after="0" w:line="3" w:lineRule="exact"/>
        <w:rPr>
          <w:rFonts w:ascii="Times New Roman" w:cs="Times New Roman" w:eastAsia="Times New Roman" w:hAnsi="Times New Roman"/>
          <w:sz w:val="18"/>
          <w:szCs w:val="18"/>
          <w:color w:val="auto"/>
        </w:rPr>
      </w:pPr>
    </w:p>
    <w:p>
      <w:pPr>
        <w:ind w:left="1260" w:right="5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disposes of such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 (1), unless such class of stock is “regularly traded” and the non-U.S. holder did not own more than 10% of such class of stock at any time during the one-year period ending on the date of the distribution described in clause (1).</w:t>
      </w:r>
    </w:p>
    <w:p>
      <w:pPr>
        <w:spacing w:after="0" w:line="33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or Repurchase by Us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 redemption or repurchase of shares of our capital stock will be treated under Section 302 of the Code as a 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 — 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66" w:lineRule="auto"/>
        <w:rPr>
          <w:sz w:val="20"/>
          <w:szCs w:val="20"/>
          <w:color w:val="auto"/>
        </w:rPr>
      </w:pPr>
      <w:r>
        <w:rPr>
          <w:rFonts w:ascii="Times New Roman" w:cs="Times New Roman" w:eastAsia="Times New Roman" w:hAnsi="Times New Roman"/>
          <w:sz w:val="18"/>
          <w:szCs w:val="18"/>
          <w:color w:val="auto"/>
        </w:rPr>
        <w:t>received. See “— Taxation of Non-U.S. Holders of Our Capital Stock — Distributions Generally” above. If the redemption or repurchase of shares is not treated as a distribution, it will be treated as a taxable sale or exchange in the manner described above under “— Sale of Our Capital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payments on our capital stock or proceeds from the sale or other taxable disposition of such stock. Certain U.S. holders are exempt from backup withholding, including corporations and certain tax-exempt organizations. A U.S. holder will be subject to backup withholding if such holder is not otherwise exempt and:</w:t>
      </w:r>
    </w:p>
    <w:p>
      <w:pPr>
        <w:spacing w:after="0" w:line="295" w:lineRule="exact"/>
        <w:rPr>
          <w:sz w:val="20"/>
          <w:szCs w:val="20"/>
          <w:color w:val="auto"/>
        </w:rPr>
      </w:pPr>
    </w:p>
    <w:p>
      <w:pPr>
        <w:ind w:left="1800" w:right="8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Payments of dividends on our capital stock generally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paid to the non-U.S. holder, regardless of whether such distributions constitute a dividend or whether any tax was actually withheld. In addition, proceeds of the sale or other taxable disposition of such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conducted through a non-U.S. office of a non-U.S. broker generally will not be subject to backup withholding or information reporting.</w:t>
      </w:r>
    </w:p>
    <w:p>
      <w:pPr>
        <w:spacing w:after="0" w:line="33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Medicare Contribution Tax on Unearned Income</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an additional 3.8% tax on, among other things, dividends on stock and capital gains from the sale or other disposition of stock,</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subject to certain limitations. U.S. holders should consult their tax advisors regarding the effect, if any, of these rules on their ownership and disposition of our capital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our capital stock or (subject to the proposed Treasury Regulations discussed below) gross proceeds from the sale or other disposition of our capital stock,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w:t>
      </w:r>
    </w:p>
    <w:p>
      <w:pPr>
        <w:spacing w:after="0" w:line="4" w:lineRule="exact"/>
        <w:rPr>
          <w:sz w:val="20"/>
          <w:szCs w:val="20"/>
          <w:color w:val="auto"/>
        </w:rPr>
      </w:pPr>
    </w:p>
    <w:p>
      <w:pPr>
        <w:ind w:left="1260" w:right="499"/>
        <w:spacing w:after="0" w:line="250" w:lineRule="auto"/>
        <w:tabs>
          <w:tab w:leader="none" w:pos="15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it must enter into an agreement with the U.S. Department of the Treasury requiring, among other things, that it undertake to identify accounts held by certain “specified United States persons” or “United</w:t>
      </w:r>
    </w:p>
    <w:p>
      <w:pPr>
        <w:jc w:val="both"/>
        <w:ind w:left="126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capital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11"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capital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 regarding the effect of state, local and non-U.S. tax laws with respect to our tax treatment as a REIT and on an investment in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Unless otherwise specified in a prospectus supplement, the validity of the securities offered hereby will be passed upon for us by Latham &amp; Watkins LLP, Los Angeles, California, and Barnes &amp; Thornburg LLP, Indianapolis, Indiana, and for any underwriters, dealers or agents by counsel named in the applicable prospectus supplement. Certain U.S. federal income tax matters will be passed upon for us by Latham &amp; Watkins LLP, Los Angeles, California.</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Ernst &amp; Young LLP, independent registered public accounting firm, has audited the consolidated </w:t>
      </w:r>
      <w:hyperlink r:id="rId72">
        <w:r>
          <w:rPr>
            <w:rFonts w:ascii="Times New Roman" w:cs="Times New Roman" w:eastAsia="Times New Roman" w:hAnsi="Times New Roman"/>
            <w:sz w:val="18"/>
            <w:szCs w:val="18"/>
            <w:color w:val="auto"/>
          </w:rPr>
          <w:t xml:space="preserve">financial statements and schedule of Simon Property Group, Inc., included in its </w:t>
        </w:r>
        <w:r>
          <w:rPr>
            <w:rFonts w:ascii="Times New Roman" w:cs="Times New Roman" w:eastAsia="Times New Roman" w:hAnsi="Times New Roman"/>
            <w:sz w:val="18"/>
            <w:szCs w:val="18"/>
            <w:u w:val="single" w:color="auto"/>
            <w:color w:val="0000EE"/>
          </w:rPr>
          <w:t>Annual Report on Form 10-</w:t>
        </w:r>
      </w:hyperlink>
      <w:hyperlink r:id="rId72">
        <w:r>
          <w:rPr>
            <w:rFonts w:ascii="Times New Roman" w:cs="Times New Roman" w:eastAsia="Times New Roman" w:hAnsi="Times New Roman"/>
            <w:sz w:val="18"/>
            <w:szCs w:val="18"/>
            <w:u w:val="single" w:color="auto"/>
            <w:color w:val="0000EE"/>
          </w:rPr>
          <w:t>K for the year ended December 31, 2024</w:t>
        </w:r>
        <w:r>
          <w:rPr>
            <w:rFonts w:ascii="Times New Roman" w:cs="Times New Roman" w:eastAsia="Times New Roman" w:hAnsi="Times New Roman"/>
            <w:sz w:val="18"/>
            <w:szCs w:val="18"/>
            <w:color w:val="000000"/>
          </w:rPr>
          <w:t>, and the effectiveness of Simon Property Group, Inc.’s internal</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control over financial reporting as of December 31, 2024, as set forth in their reports, which are incorporated by reference in this prospectus and elsewhere in the registration statement. These financial statements and schedule are incorporated by reference in reliance on Ernst &amp; Young LLP’s reports, given on their authority as experts in accounting and auditing.</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DISCLOSURE OF COMMISSION</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POSITION ON INDEMNIFICATION</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SECURITIES ACT LIABILITIES</w:t>
      </w:r>
    </w:p>
    <w:p>
      <w:pPr>
        <w:spacing w:after="0" w:line="12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Pursuant to our articles of incorporation and bylaws, we will indemnify any of our officers or directors who is made or threatened to be made a party to any action, suit or proceeding by reason of the fact that he or she was an officer or director to the fullest extent permitted by Indiana law. Insofar as indemnification for liabilities arising under the Securities Act may be permitted to our directors, officers or persons controlling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OF INFORMATION WE FILE WITH THE SEC</w:t>
      </w:r>
    </w:p>
    <w:p>
      <w:pPr>
        <w:spacing w:after="0" w:line="16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w:t>
      </w:r>
    </w:p>
    <w:p>
      <w:pPr>
        <w:spacing w:after="0" w:line="117"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documents are considered part of the prospectus;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disclose important information to you by referring you to those documents;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we file with the SEC will automatically update and supersede the information in this prospectus and any information that was previously incorporated in this prospectus.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Exchange Act filing number is 001-14469.</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information incorporated by reference is considered to be part of this prospectus and later information that we file with the SEC will automatically update and supersede this information. We incorporate by reference the following documents and any future filings we make with the SEC under Section 13(a), 13(c), 14 or 15(d) of the Exchange Act (other than documents or information deemed to have been furnished and not filed in accordance with the SEC rules, including our Compensation Committee report and performance graph or any information furnished pursuant to Items 2.02 or 7.01 of Current Report on Form 8-K or related exhibits furnished pursuant to Item 9.01 of Current Report on Form 8-K) until we have sold all of the securities to which this prospectus relates or the applicable offering of securities is otherwise terminated:</w:t>
      </w:r>
    </w:p>
    <w:p>
      <w:pPr>
        <w:spacing w:after="0" w:line="300"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u w:val="single" w:color="auto"/>
            <w:color w:val="0000EE"/>
          </w:rPr>
          <w:t>our Annual Report on Form 10-K for the year ended December 31, 2024</w:t>
        </w:r>
      </w:hyperlink>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0000EE"/>
        </w:rPr>
      </w:pPr>
    </w:p>
    <w:p>
      <w:pPr>
        <w:ind w:left="1800" w:right="899" w:hanging="180"/>
        <w:spacing w:after="0" w:line="282" w:lineRule="auto"/>
        <w:tabs>
          <w:tab w:leader="none" w:pos="1800" w:val="left"/>
        </w:tabs>
        <w:numPr>
          <w:ilvl w:val="0"/>
          <w:numId w:val="4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w:t>
      </w:r>
      <w:hyperlink r:id="rId74">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6">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 xml:space="preserve">the description of the shares of our common stock contained in the </w:t>
        </w:r>
        <w:r>
          <w:rPr>
            <w:rFonts w:ascii="Times New Roman" w:cs="Times New Roman" w:eastAsia="Times New Roman" w:hAnsi="Times New Roman"/>
            <w:sz w:val="18"/>
            <w:szCs w:val="18"/>
            <w:u w:val="single" w:color="auto"/>
            <w:color w:val="0000EE"/>
          </w:rPr>
          <w:t>Registration Statement on</w:t>
        </w:r>
      </w:hyperlink>
    </w:p>
    <w:p>
      <w:pPr>
        <w:spacing w:after="0" w:line="27" w:lineRule="exact"/>
        <w:rPr>
          <w:rFonts w:ascii="Times New Roman" w:cs="Times New Roman" w:eastAsia="Times New Roman" w:hAnsi="Times New Roman"/>
          <w:sz w:val="18"/>
          <w:szCs w:val="18"/>
          <w:color w:val="auto"/>
        </w:rPr>
      </w:pPr>
    </w:p>
    <w:p>
      <w:pPr>
        <w:ind w:left="1800" w:right="499"/>
        <w:spacing w:after="0" w:line="255" w:lineRule="auto"/>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u w:val="single" w:color="auto"/>
            <w:color w:val="0000EE"/>
          </w:rPr>
          <w:t>Form 8-A/A filed on June 4, 2009</w:t>
        </w:r>
        <w:r>
          <w:rPr>
            <w:rFonts w:ascii="Times New Roman" w:cs="Times New Roman" w:eastAsia="Times New Roman" w:hAnsi="Times New Roman"/>
            <w:sz w:val="18"/>
            <w:szCs w:val="18"/>
            <w:color w:val="000000"/>
          </w:rPr>
          <w:t xml:space="preserve">, as amended by the description of our common stock </w:t>
        </w:r>
      </w:hyperlink>
      <w:r>
        <w:rPr>
          <w:rFonts w:ascii="Times New Roman" w:cs="Times New Roman" w:eastAsia="Times New Roman" w:hAnsi="Times New Roman"/>
          <w:sz w:val="18"/>
          <w:szCs w:val="18"/>
          <w:color w:val="0000EE"/>
        </w:rPr>
        <w:t xml:space="preserve">contained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fiscal year ended December 31, 2024, 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by any subsequent amendment or report filed for the purpose of updating such description;</w:t>
      </w:r>
    </w:p>
    <w:p>
      <w:pPr>
        <w:spacing w:after="0" w:line="77" w:lineRule="exact"/>
        <w:rPr>
          <w:rFonts w:ascii="Times New Roman" w:cs="Times New Roman" w:eastAsia="Times New Roman" w:hAnsi="Times New Roman"/>
          <w:sz w:val="18"/>
          <w:szCs w:val="18"/>
          <w:color w:val="0000EE"/>
        </w:rPr>
      </w:pPr>
    </w:p>
    <w:p>
      <w:pPr>
        <w:ind w:left="1800" w:right="819" w:hanging="180"/>
        <w:spacing w:after="0" w:line="282" w:lineRule="auto"/>
        <w:tabs>
          <w:tab w:leader="none" w:pos="1800" w:val="left"/>
        </w:tabs>
        <w:numPr>
          <w:ilvl w:val="0"/>
          <w:numId w:val="4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Series J 8.375% Cumulative Redeemable Preferred Stock contained in the </w:t>
      </w:r>
      <w:hyperlink r:id="rId79">
        <w:r>
          <w:rPr>
            <w:rFonts w:ascii="Times New Roman" w:cs="Times New Roman" w:eastAsia="Times New Roman" w:hAnsi="Times New Roman"/>
            <w:sz w:val="18"/>
            <w:szCs w:val="18"/>
            <w:u w:val="single" w:color="auto"/>
            <w:color w:val="0000EE"/>
          </w:rPr>
          <w:t>Registration Statement on Form 8-A filed on December 2, 2004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800" w:right="1319" w:hanging="180"/>
        <w:spacing w:after="0" w:line="282" w:lineRule="auto"/>
        <w:tabs>
          <w:tab w:leader="none" w:pos="1800" w:val="left"/>
        </w:tabs>
        <w:numPr>
          <w:ilvl w:val="0"/>
          <w:numId w:val="46"/>
        </w:numPr>
        <w:rPr>
          <w:rFonts w:ascii="Times New Roman" w:cs="Times New Roman" w:eastAsia="Times New Roman" w:hAnsi="Times New Roman"/>
          <w:sz w:val="18"/>
          <w:szCs w:val="18"/>
          <w:color w:val="000000"/>
        </w:rPr>
      </w:pPr>
      <w:hyperlink r:id="rId80">
        <w:r>
          <w:rPr>
            <w:rFonts w:ascii="Times New Roman" w:cs="Times New Roman" w:eastAsia="Times New Roman" w:hAnsi="Times New Roman"/>
            <w:sz w:val="18"/>
            <w:szCs w:val="18"/>
            <w:u w:val="single" w:color="auto"/>
            <w:color w:val="0000EE"/>
          </w:rPr>
          <w:t>our Definitive Proxy Statement on Schedule 14A, filed with the SEC on April 1,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supplemented on </w:t>
      </w:r>
      <w:hyperlink r:id="rId81">
        <w:r>
          <w:rPr>
            <w:rFonts w:ascii="Times New Roman" w:cs="Times New Roman" w:eastAsia="Times New Roman" w:hAnsi="Times New Roman"/>
            <w:sz w:val="18"/>
            <w:szCs w:val="18"/>
            <w:u w:val="single" w:color="auto"/>
            <w:color w:val="0000EE"/>
          </w:rPr>
          <w:t>May 5, 2025</w:t>
        </w:r>
      </w:hyperlink>
      <w:r>
        <w:rPr>
          <w:rFonts w:ascii="Times New Roman" w:cs="Times New Roman" w:eastAsia="Times New Roman" w:hAnsi="Times New Roman"/>
          <w:sz w:val="18"/>
          <w:szCs w:val="18"/>
          <w:color w:val="000000"/>
        </w:rPr>
        <w:t>); and</w:t>
      </w:r>
    </w:p>
    <w:p>
      <w:pPr>
        <w:spacing w:after="0" w:line="53" w:lineRule="exact"/>
        <w:rPr>
          <w:rFonts w:ascii="Times New Roman" w:cs="Times New Roman" w:eastAsia="Times New Roman" w:hAnsi="Times New Roman"/>
          <w:sz w:val="18"/>
          <w:szCs w:val="18"/>
          <w:color w:val="000000"/>
        </w:rPr>
      </w:pPr>
    </w:p>
    <w:p>
      <w:pPr>
        <w:ind w:left="1800" w:right="459" w:hanging="180"/>
        <w:spacing w:after="0" w:line="282" w:lineRule="auto"/>
        <w:tabs>
          <w:tab w:leader="none" w:pos="1800" w:val="left"/>
        </w:tabs>
        <w:numPr>
          <w:ilvl w:val="0"/>
          <w:numId w:val="46"/>
        </w:numPr>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 xml:space="preserve">August 7, 2025 </w:t>
        </w:r>
      </w:hyperlink>
      <w:hyperlink r:id="rId8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August 19, 2025</w:t>
        </w:r>
      </w:hyperlink>
      <w:hyperlink r:id="rId82">
        <w:r>
          <w:rPr>
            <w:rFonts w:ascii="Times New Roman" w:cs="Times New Roman" w:eastAsia="Times New Roman" w:hAnsi="Times New Roman"/>
            <w:sz w:val="18"/>
            <w:szCs w:val="18"/>
            <w:color w:val="000000"/>
          </w:rPr>
          <w:t>.</w:t>
        </w:r>
      </w:hyperlink>
    </w:p>
    <w:p>
      <w:pPr>
        <w:spacing w:after="0" w:line="94" w:lineRule="exact"/>
        <w:rPr>
          <w:rFonts w:ascii="Times New Roman" w:cs="Times New Roman" w:eastAsia="Times New Roman" w:hAnsi="Times New Roman"/>
          <w:sz w:val="18"/>
          <w:szCs w:val="18"/>
          <w:color w:val="0000EE"/>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receive a free copy of any of the documents incorporated by reference in this prospectus (other than exhibits, unless they are specifically incorporated by reference in the document), call or write us at the following address: Simon Property Group, 225 West Washington Street, Indianapolis, IN 46204, Attention: Investor Relations (317) 685-7330.</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93"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131445</wp:posOffset>
            </wp:positionV>
            <wp:extent cx="2117090" cy="840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21170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32"/>
          <w:szCs w:val="32"/>
          <w:b w:val="1"/>
          <w:bCs w:val="1"/>
          <w:color w:val="auto"/>
        </w:rPr>
        <w:t>SIMON PROPERTY GROUP, L.P.</w:t>
      </w: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under a “shelf” registration or continuous offering process. We may offer the non-convertible debt securities described in this prospectus in one or more offerings. The debt securities will be our direct unsecured obligations and will rank equally with all of our other unsecured and unsubordinated indebtedness. We may offer the debt securities separately or together, in separate series and in amounts, at prices and on terms described in one or more supplements to this prospectus and other offering material.</w:t>
      </w:r>
    </w:p>
    <w:p>
      <w:pPr>
        <w:spacing w:after="0" w:line="12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may offer and sell these debt securities to or through one or more underwriters, dealers and agents, or directly to purchasers, on a continuous or delayed basis.</w:t>
      </w:r>
    </w:p>
    <w:p>
      <w:pPr>
        <w:spacing w:after="0" w:line="95"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debt securities. The specific terms of any debt securities to be offered, and any other information relating to a specific offering, will be set forth in a post-effective amendment to the registration statement of which this prospectus is a part, in a supplement to this prospectus or in other offering material related to the debt securities or may be set forth in one or more documents incorporated by reference in this prospectus.</w:t>
      </w:r>
    </w:p>
    <w:p>
      <w:pPr>
        <w:spacing w:after="0" w:line="116"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You should read carefully both this prospectus and any prospectus supplement or other offering material before you make a decision to invest. This prospectus may be used to offer and sell debt securities only if accompanied by a prospectus supplement.</w:t>
      </w:r>
    </w:p>
    <w:p>
      <w:pPr>
        <w:spacing w:after="0" w:line="91" w:lineRule="exact"/>
        <w:rPr>
          <w:sz w:val="20"/>
          <w:szCs w:val="20"/>
          <w:color w:val="auto"/>
        </w:rPr>
      </w:pPr>
    </w:p>
    <w:p>
      <w:pPr>
        <w:jc w:val="both"/>
        <w:ind w:left="1260" w:right="9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39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The date of this prospectus is January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2884805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WHO</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WE 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 BEING OFFERED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DISCLOSURE OF COMMISSION POSITION ON INDEMNIFICATION FOR SECURITIES ACT</w:t>
      </w:r>
    </w:p>
    <w:p>
      <w:pPr>
        <w:spacing w:after="0" w:line="23" w:lineRule="exact"/>
        <w:rPr>
          <w:sz w:val="20"/>
          <w:szCs w:val="20"/>
          <w:color w:val="auto"/>
        </w:rPr>
      </w:pPr>
    </w:p>
    <w:p>
      <w:pPr>
        <w:ind w:left="1440" w:hanging="180"/>
        <w:spacing w:after="0"/>
        <w:tabs>
          <w:tab w:leader="none" w:pos="1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LIABILITIES</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INFORMATION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14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3314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780" w:space="340"/>
            <w:col w:w="75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08" w:lineRule="exact"/>
        <w:rPr>
          <w:sz w:val="20"/>
          <w:szCs w:val="20"/>
          <w:color w:val="auto"/>
        </w:rPr>
      </w:pPr>
    </w:p>
    <w:p>
      <w:pPr>
        <w:ind w:left="1260" w:right="419" w:firstLine="360"/>
        <w:spacing w:after="0" w:line="23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and any other offering material may also add to, update or change information contained in the prospectus or in documents we have incorporated by reference into this prospectus and, accordingly, to the extent inconsistent, information in or incorporated by reference in this prospectus is superseded by the information in the prospectus supplement and any other offering material related to such securities.</w:t>
      </w:r>
    </w:p>
    <w:p>
      <w:pPr>
        <w:spacing w:after="0" w:line="80"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from that contained or incorporated by reference in this prospectus.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securities.</w:t>
      </w:r>
    </w:p>
    <w:p>
      <w:pPr>
        <w:spacing w:after="0" w:line="18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file annual, quarterly and current reports and proxy statements and other information with the Securities and Exchange Commission, or the SEC. Our SEC filings are also available over the Internet at the SEC’s website at http://www.sec.gov.</w:t>
      </w:r>
    </w:p>
    <w:p>
      <w:pPr>
        <w:spacing w:after="0" w:line="55"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We have filed a registration statement on Form S-3 with the SEC covering the securities that may be sold under this prospectus. For further information on us, our affiliates and the securities being offered, you should refer to our registration statement and its exhibits. This prospectus summarizes material provisions of contracts and other documents that we refer you to. Because the prospectus may not contain all the information that you may find important, you should review the full text of these documents. We have included copies of these documents as exhibits to our registration statement of which this prospectus is a part.</w:t>
      </w:r>
    </w:p>
    <w:p>
      <w:pPr>
        <w:spacing w:after="0" w:line="37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0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We are a majority-owned operating partnership subsidiary of Simon Property Group, Inc. (“Simon Property”), which has elected to be treated as a real estate investment trust, or REIT, for U.S. federal income tax purposes. Simon Property’s common stock is listed on the New York Stock Exchange under the symbol “SPG.”</w:t>
      </w:r>
    </w:p>
    <w:p>
      <w:pPr>
        <w:spacing w:after="0" w:line="270" w:lineRule="exact"/>
        <w:rPr>
          <w:sz w:val="20"/>
          <w:szCs w:val="20"/>
          <w:color w:val="auto"/>
        </w:rPr>
      </w:pPr>
    </w:p>
    <w:p>
      <w:pPr>
        <w:ind w:left="1260" w:right="519" w:firstLine="360"/>
        <w:spacing w:after="0" w:line="208" w:lineRule="auto"/>
        <w:rPr>
          <w:sz w:val="20"/>
          <w:szCs w:val="20"/>
          <w:color w:val="auto"/>
        </w:rPr>
      </w:pPr>
      <w:r>
        <w:rPr>
          <w:rFonts w:ascii="Times New Roman" w:cs="Times New Roman" w:eastAsia="Times New Roman" w:hAnsi="Times New Roman"/>
          <w:sz w:val="18"/>
          <w:szCs w:val="18"/>
          <w:color w:val="auto"/>
        </w:rPr>
        <w:t>We own, develop and manage premier shopping, dining, entertainment and mixed-use destinations, which consist primarily of malls, Premium Outlets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The Mills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of September 30, 2025, we owned</w:t>
      </w:r>
    </w:p>
    <w:p>
      <w:pPr>
        <w:ind w:left="1260" w:right="499"/>
        <w:spacing w:after="0"/>
        <w:rPr>
          <w:sz w:val="20"/>
          <w:szCs w:val="20"/>
          <w:color w:val="auto"/>
        </w:rPr>
      </w:pPr>
      <w:r>
        <w:rPr>
          <w:rFonts w:ascii="Times New Roman" w:cs="Times New Roman" w:eastAsia="Times New Roman" w:hAnsi="Times New Roman"/>
          <w:sz w:val="18"/>
          <w:szCs w:val="18"/>
          <w:color w:val="auto"/>
        </w:rPr>
        <w:t>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our limited partnership units. Internationally, as of September 30, 2025, we had ownership in 38 Premium Outlets, Designer Outlets, and Luxury Outlet properties primarily located in Asia, Europe, and Canada. As of September 30, 2025, we also owned a 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w:t>
      </w:r>
    </w:p>
    <w:p>
      <w:pPr>
        <w:spacing w:after="0" w:line="187"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We were formed on November 18, 1993 as a Delaware limited partnership. Simon Property is our sole general partner. Our principal executive offices are located at 225 West Washington Street, Indianapolis, Indiana 46204. Our telephone number is (317) 636-1600. Our Internet website address is www.simon.com. The information in our website is not a part of, or incorporated by reference into, this prospectus.</w:t>
      </w:r>
    </w:p>
    <w:p>
      <w:pPr>
        <w:spacing w:after="0" w:line="63"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If you want to find more information about us, please see the sections entitled “Where You Can Find More Information” and “Incorporation of Information We File with the SEC” in this prospectus.</w:t>
      </w:r>
    </w:p>
    <w:p>
      <w:pPr>
        <w:spacing w:after="0" w:line="54" w:lineRule="exact"/>
        <w:rPr>
          <w:sz w:val="20"/>
          <w:szCs w:val="20"/>
          <w:color w:val="auto"/>
        </w:rPr>
      </w:pPr>
    </w:p>
    <w:p>
      <w:pPr>
        <w:ind w:left="1260" w:right="639" w:firstLine="360"/>
        <w:spacing w:after="0" w:line="242" w:lineRule="auto"/>
        <w:rPr>
          <w:sz w:val="20"/>
          <w:szCs w:val="20"/>
          <w:color w:val="auto"/>
        </w:rPr>
      </w:pPr>
      <w:r>
        <w:rPr>
          <w:rFonts w:ascii="Times New Roman" w:cs="Times New Roman" w:eastAsia="Times New Roman" w:hAnsi="Times New Roman"/>
          <w:sz w:val="18"/>
          <w:szCs w:val="18"/>
          <w:color w:val="auto"/>
        </w:rPr>
        <w:t>In this prospectus, the “Operating Partnership” and the terms “we,” “us” and “our” refer to Simon Property Group, L.P. and its subsidiaries. “Simon Property” refers specifically to our sole general partner, Simon Property Group, Inc.</w:t>
      </w:r>
    </w:p>
    <w:p>
      <w:pPr>
        <w:spacing w:after="0" w:line="3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expect to use the net proceeds from the sale of debt securities for general business purposes, unless otherwise specified in the prospectus supplement relating to a specific offering. Our general business purposes may include repaying debt, financing capital commitments and financing future acquisitions. If we decide to use the net proceeds from an offering in some other way, we will describe the use of the net proceeds in the prospectus supplement for that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SECURITIES BEING OFFERED</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securities offered by this prospectus will be debt securities issued under an Indenture dated as of November 26, 1996, or the Indenture, among us, The Bank of New York Mellon Trust Company, N.A. (as successor to The Chase Manhattan Bank), as trustee, and a former affiliate, as guarantor. The former affiliate was subsequently merged into the Operating Partnership.</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used in this prospectus, “debt securities” means the debt securities that we issue and that the trustee authenticates under the Indenture. Capitalized terms used but not defined under this prospectus have the meanings given to them in the Indenture.</w:t>
      </w:r>
    </w:p>
    <w:p>
      <w:pPr>
        <w:spacing w:after="0" w:line="9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have summarized material terms and provisions of the Indenture below. The following summary is not complete and is subject to, and qualified in its entirety by reference to, all provisions of the Indenture. We have included references to section numbers of the Indenture so that you can easily locate the summarized provisions. If you would like more information on any of these provisions, you should read the relevant sections of the Indenture. We have included a copy of the Indenture as an exhibit to our registration statement relating to the debt securities. See “Where You Can Find More Information.”</w:t>
      </w:r>
    </w:p>
    <w:p>
      <w:pPr>
        <w:spacing w:after="0" w:line="12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debt securities will not be convertible into or exchangeable for any capital stock of Simon Property or any equity interest in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the Debt Securities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we may issue under it. We may issue debt securities from time to time, without limit as to aggregate principal amount and in one or more series. The terms of each series of debt securities will be established in a resolution of the board of directors of our general partner or in one or more supplemental indentures. Without the consent of the holders of the debt securities, we may issue multiple series of debt securities with different terms or “reopen” a previous series of debt securities and issue additional debt securities of that series.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The terms of the debt securities include those provisions contained in the Indenture, the supplemental indenture relating to a series of debt securities and those made a part of the Indenture by reference to the Trust Indenture Act of 1939.</w:t>
      </w:r>
    </w:p>
    <w:p>
      <w:pPr>
        <w:spacing w:after="0" w:line="111"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being offered will include the specific terms of those debt securities and may include modifications of or additions to the general terms described in this prospectus. The specific terms will include:</w:t>
      </w:r>
    </w:p>
    <w:p>
      <w:pPr>
        <w:spacing w:after="0" w:line="68"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and whether there is any limit on the aggregate principal amount that we may subsequently issue;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payable whether at maturity or upon earlier acceleration, and whether the principal amount will be determined with reference to an index, formula or other method;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will be payable, or the manner in which the payment date or dates will be determined;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bear interest at a fixed or variable rate or not at all and, as applicable: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the manner in which the interest rate is determined,</w:t>
      </w:r>
    </w:p>
    <w:p>
      <w:pPr>
        <w:spacing w:after="0" w:line="117"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for determining such date or dates,</w:t>
      </w:r>
    </w:p>
    <w:p>
      <w:pPr>
        <w:spacing w:after="0" w:line="53" w:lineRule="exact"/>
        <w:rPr>
          <w:rFonts w:ascii="Times New Roman" w:cs="Times New Roman" w:eastAsia="Times New Roman" w:hAnsi="Times New Roman"/>
          <w:sz w:val="18"/>
          <w:szCs w:val="18"/>
          <w:color w:val="auto"/>
        </w:rPr>
      </w:pPr>
    </w:p>
    <w:p>
      <w:pPr>
        <w:ind w:left="2160" w:right="619" w:hanging="180"/>
        <w:spacing w:after="0" w:line="282" w:lineRule="auto"/>
        <w:tabs>
          <w:tab w:leader="none" w:pos="2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shall be calculated if other than a 360-day year of twelve 30-day months,</w:t>
      </w:r>
    </w:p>
    <w:p>
      <w:pPr>
        <w:spacing w:after="0" w:line="53" w:lineRule="exact"/>
        <w:rPr>
          <w:rFonts w:ascii="Times New Roman" w:cs="Times New Roman" w:eastAsia="Times New Roman" w:hAnsi="Times New Roman"/>
          <w:sz w:val="18"/>
          <w:szCs w:val="18"/>
          <w:color w:val="auto"/>
        </w:rPr>
      </w:pPr>
    </w:p>
    <w:p>
      <w:pPr>
        <w:ind w:left="2160" w:right="1239" w:hanging="180"/>
        <w:spacing w:after="0" w:line="282" w:lineRule="auto"/>
        <w:tabs>
          <w:tab w:leader="none" w:pos="2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and interest payment dates for the debt securities, or the method(s) of determining such dates, and</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hanging="180"/>
        <w:spacing w:after="0"/>
        <w:tabs>
          <w:tab w:leader="none" w:pos="21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payment date.</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payments on the debt securities will be payable and where the debt securities may be surrendered for registration of transfer or exchange;</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that would obligate or permit us to repurchase, redeem or repay some or all of the debt securities, including any sinking fund requirements;</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period or periods, redemption price or prices and the terms and conditions upon which the debt securities may be redeemed, if any;</w:t>
      </w:r>
    </w:p>
    <w:p>
      <w:pPr>
        <w:spacing w:after="0" w:line="4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denominated or payable in a foreign currency, units of two or more foreign currencies or a composite currency or currencies, and the related terms, conditions and consequences;</w:t>
      </w:r>
    </w:p>
    <w:p>
      <w:pPr>
        <w:spacing w:after="0" w:line="54"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certificated or book-entry form, and the identity of the depositary for debt securities issued in book-entry form;</w:t>
      </w:r>
    </w:p>
    <w:p>
      <w:pPr>
        <w:spacing w:after="0" w:line="40"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or bearer form, and any restrictions applicable to the exchange of one form for another and to the offer, sale and delivery of the debt securities in either form;</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options described under</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Discharge, Defeasance and Covenant Defeasance” and any modifications of these provisions;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on the debt securities held by a person who is not a U.S. person for specified taxes, assessments or other governmental charges and, if so, whether we have the option to redeem the affected debt securities rather than pay the additional amounts;</w:t>
      </w:r>
    </w:p>
    <w:p>
      <w:pPr>
        <w:spacing w:after="0" w:line="58"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debt securities that provide for optional redemption or prepayment upon the occurrence of certain events (such as a change of control),</w:t>
      </w:r>
    </w:p>
    <w:p>
      <w:pPr>
        <w:spacing w:after="0" w:line="40" w:lineRule="exact"/>
        <w:rPr>
          <w:rFonts w:ascii="Times New Roman" w:cs="Times New Roman" w:eastAsia="Times New Roman" w:hAnsi="Times New Roman"/>
          <w:sz w:val="18"/>
          <w:szCs w:val="18"/>
          <w:color w:val="auto"/>
        </w:rPr>
      </w:pPr>
    </w:p>
    <w:p>
      <w:pPr>
        <w:ind w:left="2160" w:right="539" w:hanging="180"/>
        <w:spacing w:after="0" w:line="261" w:lineRule="auto"/>
        <w:tabs>
          <w:tab w:leader="none" w:pos="21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of such provisions on the market price of the debt securities or in deterring certain mergers, tender offers or other takeover attempts, and our intention to comply with the requirements of Rule 14e-1 under the Exchange Act and any other applicable securities laws in connection with these provisions,</w:t>
      </w:r>
    </w:p>
    <w:p>
      <w:pPr>
        <w:spacing w:after="0" w:line="58" w:lineRule="exact"/>
        <w:rPr>
          <w:rFonts w:ascii="Times New Roman" w:cs="Times New Roman" w:eastAsia="Times New Roman" w:hAnsi="Times New Roman"/>
          <w:sz w:val="18"/>
          <w:szCs w:val="18"/>
          <w:color w:val="auto"/>
        </w:rPr>
      </w:pPr>
    </w:p>
    <w:p>
      <w:pPr>
        <w:ind w:left="2160" w:right="839" w:hanging="180"/>
        <w:spacing w:after="0" w:line="282" w:lineRule="auto"/>
        <w:tabs>
          <w:tab w:leader="none" w:pos="21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occurrence of the specified events may give rise to cross-defaults on other indebtedness such that payment on the debt securities may be effectively subordinated, and</w:t>
      </w:r>
    </w:p>
    <w:p>
      <w:pPr>
        <w:spacing w:after="0" w:line="40" w:lineRule="exact"/>
        <w:rPr>
          <w:rFonts w:ascii="Times New Roman" w:cs="Times New Roman" w:eastAsia="Times New Roman" w:hAnsi="Times New Roman"/>
          <w:sz w:val="18"/>
          <w:szCs w:val="18"/>
          <w:color w:val="auto"/>
        </w:rPr>
      </w:pPr>
    </w:p>
    <w:p>
      <w:pPr>
        <w:ind w:left="2160" w:right="439" w:hanging="180"/>
        <w:spacing w:after="0" w:line="259" w:lineRule="auto"/>
        <w:tabs>
          <w:tab w:leader="none" w:pos="21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limitation on our financial or legal ability to repurchase such debt securities upon the occurrence of such an event (including, if true, the lack of assurance that such a repurchase can be effected) and the impact, if any, under the Indenture of such a failure, including whether and under what circumstances such a failure may constitute an Event of Default; and</w:t>
      </w:r>
    </w:p>
    <w:p>
      <w:pPr>
        <w:spacing w:after="0" w:line="2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158"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special U.S. federal income tax, accounting and other considerations may be applicable to instruments such as the debt securities. The prospectus supplement relating to a series of debt securities will describe these considerations, if they apply.</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One or more series of debt securities may provide that if their maturity is accelerated, the amount due and payable will be less than their stated principal amount. These are referred to as “Original Issue Discount Securities”. The prospectus supplement relating to any debt securities issued as Original Issue Discount Securities will describe, if material or applicable, the special U.S. federal income tax consequences, accounting and other special considerations that you should consider before purchasing them.</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Denominations, Interest, Registration and Transfer</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issue each series of debt securities in fully registered form without coupons and/or in bearer form with or without coupons, as described in the applicable prospectus supplement. The Indenture provides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0" w:lineRule="auto"/>
        <w:rPr>
          <w:sz w:val="20"/>
          <w:szCs w:val="20"/>
          <w:color w:val="auto"/>
        </w:rPr>
      </w:pPr>
      <w:r>
        <w:rPr>
          <w:rFonts w:ascii="Times New Roman" w:cs="Times New Roman" w:eastAsia="Times New Roman" w:hAnsi="Times New Roman"/>
          <w:sz w:val="18"/>
          <w:szCs w:val="18"/>
          <w:color w:val="auto"/>
        </w:rPr>
        <w:t>that we may issue debt securities in global form. If any series of debt securities is issued in global form, the applicable prospectus supplement will describe the circumstances, if any, under which beneficial owners of interests in any of those global debt securities may exchange their interests for debt securities of that series and of like tenor and principal amount in any authorized form and denomination.</w:t>
      </w:r>
    </w:p>
    <w:p>
      <w:pPr>
        <w:spacing w:after="0" w:line="110"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debt securities issued in fully registered form will be issued in denominations of $1,000 and any integral multiple thereof and debt securities issued in bearer form will be issued in denominations of $ 5,000 and any integral multiple thereof. Debt securities in global form may be issued in any denomination.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we will pay the principal of and any premium or interest on any series of debt securities in registered form at the corporate trust office of the trustee, currently located at 311 S. Wacker Drive, Suite 6200B, Chicago, IL 60606. At our option, we may pay interest by check, wire transfer or any other means permitted under the terms of the debt securities. Unless the applicable prospectus supplement states otherwise, we will have the option to pay interest by check mailed to the person in whose name the debt securities are registered on the applicable record dates or by wire transfer of funds to that person at an account maintained within the United States. (</w:t>
      </w:r>
      <w:r>
        <w:rPr>
          <w:rFonts w:ascii="Times New Roman" w:cs="Times New Roman" w:eastAsia="Times New Roman" w:hAnsi="Times New Roman"/>
          <w:sz w:val="18"/>
          <w:szCs w:val="18"/>
          <w:i w:val="1"/>
          <w:iCs w:val="1"/>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307 and 1002</w:t>
      </w:r>
      <w:r>
        <w:rPr>
          <w:rFonts w:ascii="Times New Roman" w:cs="Times New Roman" w:eastAsia="Times New Roman" w:hAnsi="Times New Roman"/>
          <w:sz w:val="18"/>
          <w:szCs w:val="18"/>
          <w:color w:val="auto"/>
        </w:rPr>
        <w:t>). Payments on global debt securities will be made to the depositary or its nominee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then-existing arrangements between the paying agent(s) for the global debt securities and the depositary. See “— Global Securities.”</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You may present debt securities for exchange, and registered debt securities for transfer, in the manner, at the places and subject to the restrictions set forth in the Indenture and the applicable prospectus supplement. You may transfer debt securities in bearer form and the coupons, if any, by delivery. There will be no service charge for any transfer or exchange of debt securities, but we may require payment to cover any tax or other governmental charge related to the transfer or exchange. (</w:t>
      </w:r>
      <w:r>
        <w:rPr>
          <w:rFonts w:ascii="Times New Roman" w:cs="Times New Roman" w:eastAsia="Times New Roman" w:hAnsi="Times New Roman"/>
          <w:sz w:val="18"/>
          <w:szCs w:val="18"/>
          <w:i w:val="1"/>
          <w:iCs w:val="1"/>
          <w:color w:val="auto"/>
        </w:rPr>
        <w:t>Section 305</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not required and the trustee is not required:</w:t>
      </w:r>
    </w:p>
    <w:p>
      <w:pPr>
        <w:spacing w:after="0" w:line="117" w:lineRule="exact"/>
        <w:rPr>
          <w:sz w:val="20"/>
          <w:szCs w:val="20"/>
          <w:color w:val="auto"/>
        </w:rPr>
      </w:pPr>
    </w:p>
    <w:p>
      <w:pPr>
        <w:ind w:left="1800" w:right="93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or register the transfer or exchange of any debt security, or portion of a registered debt security, selected for redemption; or</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or register the transfer or exchange of any debt security for a period of 15 days prior to the selection of debt securities to be redeemed; or</w:t>
      </w:r>
    </w:p>
    <w:p>
      <w:pPr>
        <w:spacing w:after="0" w:line="40"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any debt security issued in bearer form that has been selected for redemption, unless such debt security is being exchanged for a registered debt security of the same series and of like tenor, provided that the registered debt security is simultaneously surrendered for redemption; or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or register the transfer or exchange of any debt security, in whole or in part, surrendered for repayment at the option of the holder. (</w:t>
      </w:r>
      <w:r>
        <w:rPr>
          <w:rFonts w:ascii="Times New Roman" w:cs="Times New Roman" w:eastAsia="Times New Roman" w:hAnsi="Times New Roman"/>
          <w:sz w:val="18"/>
          <w:szCs w:val="18"/>
          <w:i w:val="1"/>
          <w:iCs w:val="1"/>
          <w:color w:val="auto"/>
        </w:rPr>
        <w:t>Section 305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debt securities will be our direct, unsecured and unsubordinated obligations and will rank equally with all our other unsecured and unsubordinated indebtedness from time to time outstanding, and the debt securities will be effectively subordinated to the claims of mortgage lenders holding our secured indebtedness, as to the specific property securing each lender’s mortgage and to claims of creditors of our subsidiaries to the extent of the assets of those subsidiaries. Subject to specified limitations in the Indenture and as described below under “— Covenants,” the Indenture permits us to incur additional secured and unsecured indebtedness.</w:t>
      </w:r>
    </w:p>
    <w:p>
      <w:pPr>
        <w:spacing w:after="0" w:line="325"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Except as described below under “— Covenants — </w:t>
      </w:r>
      <w:r>
        <w:rPr>
          <w:rFonts w:ascii="Times New Roman" w:cs="Times New Roman" w:eastAsia="Times New Roman" w:hAnsi="Times New Roman"/>
          <w:sz w:val="18"/>
          <w:szCs w:val="18"/>
          <w:i w:val="1"/>
          <w:iCs w:val="1"/>
          <w:color w:val="auto"/>
        </w:rPr>
        <w:t>Merger, Consolidation or Sale</w:t>
      </w:r>
      <w:r>
        <w:rPr>
          <w:rFonts w:ascii="Times New Roman" w:cs="Times New Roman" w:eastAsia="Times New Roman" w:hAnsi="Times New Roman"/>
          <w:sz w:val="18"/>
          <w:szCs w:val="18"/>
          <w:color w:val="auto"/>
        </w:rPr>
        <w:t>,” the Indenture does not contain any provisions that would limit our ability to incur indebtedness or that would afford holders of the debt securities protection in the event of:</w:t>
      </w:r>
    </w:p>
    <w:p>
      <w:pPr>
        <w:spacing w:after="0" w:line="61"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leveraged or similar transaction involving us or any of our affiliates;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restructuring, merger or similar transaction involving us that may adversely affect the holders of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Restrictions on the ownership and transfer of the shares of common stock of Simon Property designed to preserve its status as a REIT, however, may act to prevent or hinder a change of control.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Guarantee by Predecessor Operating Partnership</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covenants will apply to the debt securities unless they are amended or supplemented in the supplemental indenture relating to a particular series of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may consolidate with, or sell, lease or convey all or substantially all of our assets to, or merge with or into, any other entity, provided that:</w:t>
      </w:r>
    </w:p>
    <w:p>
      <w:pPr>
        <w:spacing w:after="0" w:line="27" w:lineRule="exact"/>
        <w:rPr>
          <w:sz w:val="20"/>
          <w:szCs w:val="20"/>
          <w:color w:val="auto"/>
        </w:rPr>
      </w:pPr>
    </w:p>
    <w:p>
      <w:pPr>
        <w:ind w:left="1800" w:right="43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will be the continuing entity or the successor entity will be an entity organized and existing under U.S. laws and the successor entity expressly assumes payment of the principal of, premium, if any, and any interest on all of the debt securities and the due and punctual performance and observance of all of the covenants and conditions contained in the Indenture;</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and treating any indebtedness which becomes our obligation or the obligation of a Subsidiary as a result thereof as having been incurred by us or that Subsidiary at the time of the transaction, no Event of Default, and no event which, after notice or the lapse of time, or both, would become an Event of Default, will have occurred and be continuing; and</w:t>
      </w:r>
    </w:p>
    <w:p>
      <w:pPr>
        <w:spacing w:after="0" w:line="58"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these conditions is delivered to the trustee. (</w:t>
      </w:r>
      <w:r>
        <w:rPr>
          <w:rFonts w:ascii="Times New Roman" w:cs="Times New Roman" w:eastAsia="Times New Roman" w:hAnsi="Times New Roman"/>
          <w:sz w:val="18"/>
          <w:szCs w:val="18"/>
          <w:i w:val="1"/>
          <w:iCs w:val="1"/>
          <w:color w:val="auto"/>
        </w:rPr>
        <w:t>Section 801 and 803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Existence</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Except as described under “— </w:t>
      </w:r>
      <w:r>
        <w:rPr>
          <w:rFonts w:ascii="Times New Roman" w:cs="Times New Roman" w:eastAsia="Times New Roman" w:hAnsi="Times New Roman"/>
          <w:sz w:val="18"/>
          <w:szCs w:val="18"/>
          <w:i w:val="1"/>
          <w:iCs w:val="1"/>
          <w:color w:val="auto"/>
        </w:rPr>
        <w:t>Merger, Consolidation or Sale</w:t>
      </w:r>
      <w:r>
        <w:rPr>
          <w:rFonts w:ascii="Times New Roman" w:cs="Times New Roman" w:eastAsia="Times New Roman" w:hAnsi="Times New Roman"/>
          <w:sz w:val="18"/>
          <w:szCs w:val="18"/>
          <w:color w:val="auto"/>
        </w:rPr>
        <w:t>,” above, we will do or cause 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debt securities. (</w:t>
      </w:r>
      <w:r>
        <w:rPr>
          <w:rFonts w:ascii="Times New Roman" w:cs="Times New Roman" w:eastAsia="Times New Roman" w:hAnsi="Times New Roman"/>
          <w:sz w:val="18"/>
          <w:szCs w:val="18"/>
          <w:i w:val="1"/>
          <w:iCs w:val="1"/>
          <w:color w:val="auto"/>
        </w:rPr>
        <w:t>Section 1006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Maintenance of Properties</w:t>
      </w:r>
    </w:p>
    <w:p>
      <w:pPr>
        <w:spacing w:after="0" w:line="14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will cause all of our material properties used or useful in the conduct of our business or the business of any Subsidiary to be maintained and kept in good condition, repair and working order and supplied with all necessary equipment. We will also cause to be made all necessary repairs, renewals, replacements, betterments and improvements on these properties. Our obligations with respect to the maintenance of these properties is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 (</w:t>
      </w:r>
      <w:r>
        <w:rPr>
          <w:rFonts w:ascii="Times New Roman" w:cs="Times New Roman" w:eastAsia="Times New Roman" w:hAnsi="Times New Roman"/>
          <w:sz w:val="18"/>
          <w:szCs w:val="18"/>
          <w:i w:val="1"/>
          <w:iCs w:val="1"/>
          <w:color w:val="auto"/>
        </w:rPr>
        <w:t>Section 1007</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will, and will cause each of our Subsidiaries to, keep in force insurance policies on all our insurable properties. The insurance policies will be issued by financially sound and reputable companies protecting against loss or damage at least equal to the property’s then full insurable value (subject to reasonable deductibles determined by us). (</w:t>
      </w:r>
      <w:r>
        <w:rPr>
          <w:rFonts w:ascii="Times New Roman" w:cs="Times New Roman" w:eastAsia="Times New Roman" w:hAnsi="Times New Roman"/>
          <w:sz w:val="18"/>
          <w:szCs w:val="18"/>
          <w:i w:val="1"/>
          <w:iCs w:val="1"/>
          <w:color w:val="auto"/>
        </w:rPr>
        <w:t>Section 1008</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 of Taxes and Other Claims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pay or discharge or cause to be paid or discharged, before the same become delinquent:</w:t>
      </w:r>
    </w:p>
    <w:p>
      <w:pPr>
        <w:spacing w:after="0" w:line="117" w:lineRule="exact"/>
        <w:rPr>
          <w:sz w:val="20"/>
          <w:szCs w:val="20"/>
          <w:color w:val="auto"/>
        </w:rPr>
      </w:pPr>
    </w:p>
    <w:p>
      <w:pPr>
        <w:ind w:left="1800" w:right="79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any Subsidiary or upon our income, profits or property or upon any Subsidiary’s income, profits or property;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 or the property of any Subsidiary;</w:t>
      </w:r>
    </w:p>
    <w:p>
      <w:pPr>
        <w:spacing w:after="0" w:line="94"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excluding, however, any tax, assessment, charge or claim whose amount, applicability or validity is being contested in good faith by appropriate proceedings. (</w:t>
      </w:r>
      <w:r>
        <w:rPr>
          <w:rFonts w:ascii="Times New Roman" w:cs="Times New Roman" w:eastAsia="Times New Roman" w:hAnsi="Times New Roman"/>
          <w:sz w:val="18"/>
          <w:szCs w:val="18"/>
          <w:i w:val="1"/>
          <w:iCs w:val="1"/>
          <w:color w:val="auto"/>
        </w:rPr>
        <w:t>Section 1009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Provision of Financial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Whether or not we are subject to Section 13 or 15(d) of the Exchange Act, and to the extent permitted under the Exchange Act, we will file with the SEC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w:t>
      </w:r>
    </w:p>
    <w:p>
      <w:pPr>
        <w:spacing w:after="0" w:line="75" w:lineRule="exact"/>
        <w:rPr>
          <w:sz w:val="20"/>
          <w:szCs w:val="20"/>
          <w:color w:val="auto"/>
        </w:rPr>
      </w:pPr>
    </w:p>
    <w:p>
      <w:pPr>
        <w:ind w:left="1800" w:right="5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copies of the Financial Information by mail to all holders of debt securities (as their names and addresses appear in the security register) without cost to the holders,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copies of the Financial Information with the trustee.</w:t>
      </w:r>
    </w:p>
    <w:p>
      <w:pPr>
        <w:spacing w:after="0" w:line="14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we are not permitted to file these documents with the SEC under the Exchange Act, we will supply copies of the documents to any prospective holder promptly upon written request. (</w:t>
      </w:r>
      <w:r>
        <w:rPr>
          <w:rFonts w:ascii="Times New Roman" w:cs="Times New Roman" w:eastAsia="Times New Roman" w:hAnsi="Times New Roman"/>
          <w:sz w:val="18"/>
          <w:szCs w:val="18"/>
          <w:i w:val="1"/>
          <w:iCs w:val="1"/>
          <w:color w:val="auto"/>
        </w:rPr>
        <w:t>Section 1010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Waiver; Additional Covenants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Compliance with the covenants described in this prospectus and with respect to the debt securities generally may not be waived by us, or by the trustee, unless the holders of at least a majority in principal amount of all outstanding debt securities consent to the waiver.</w:t>
      </w:r>
    </w:p>
    <w:p>
      <w:pPr>
        <w:spacing w:after="0" w:line="10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Any additional or different covenants with respect to any series of debt securities will be set forth in the applicable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4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Modifications and amendments of the Indenture may be made only with the consent of the holders of not less than a majority in principal amount of all outstanding debt securities (as defined in the Indenture) affected by the modification or amendment (voting as a single class); provided, however, that no such modification or amendment may, without the consent of the holder of each debt security affected thereby:</w:t>
      </w:r>
    </w:p>
    <w:p>
      <w:pPr>
        <w:spacing w:after="0" w:line="85" w:lineRule="exact"/>
        <w:rPr>
          <w:sz w:val="20"/>
          <w:szCs w:val="20"/>
          <w:color w:val="auto"/>
        </w:rPr>
      </w:pPr>
    </w:p>
    <w:p>
      <w:pPr>
        <w:ind w:left="1800" w:right="5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if any, on, or any installment of principal of or interest on, any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the rate or amount of interest on, or any premium payable on redemption of the debt security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debt securities;</w:t>
      </w:r>
    </w:p>
    <w:p>
      <w:pPr>
        <w:spacing w:after="0" w:line="75"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or premium, if any, or interest on the debt securities;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debt securities on or after the stated maturity of any debt security;</w:t>
      </w:r>
    </w:p>
    <w:p>
      <w:pPr>
        <w:spacing w:after="0" w:line="53" w:lineRule="exact"/>
        <w:rPr>
          <w:rFonts w:ascii="Times New Roman" w:cs="Times New Roman" w:eastAsia="Times New Roman" w:hAnsi="Times New Roman"/>
          <w:sz w:val="18"/>
          <w:szCs w:val="18"/>
          <w:color w:val="auto"/>
        </w:rPr>
      </w:pPr>
    </w:p>
    <w:p>
      <w:pPr>
        <w:jc w:val="both"/>
        <w:ind w:left="1800" w:right="9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the consent of whose holders is necessary to modify or amend the Indenture, for any waiver with respect to the debt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spacing w:after="0" w:line="275" w:lineRule="auto"/>
        <w:rPr>
          <w:sz w:val="20"/>
          <w:szCs w:val="20"/>
          <w:color w:val="auto"/>
        </w:rPr>
      </w:pPr>
      <w:r>
        <w:rPr>
          <w:rFonts w:ascii="Times New Roman" w:cs="Times New Roman" w:eastAsia="Times New Roman" w:hAnsi="Times New Roman"/>
          <w:sz w:val="18"/>
          <w:szCs w:val="18"/>
          <w:color w:val="auto"/>
        </w:rPr>
        <w:t>securities, or to waive compliance with specified provisions of the Indenture or specified defaults and consequences thereunder or to reduce the quorum or voting requirements set forth in the Indenture; or</w:t>
      </w:r>
    </w:p>
    <w:p>
      <w:pPr>
        <w:spacing w:after="0" w:line="295" w:lineRule="exact"/>
        <w:rPr>
          <w:sz w:val="20"/>
          <w:szCs w:val="20"/>
          <w:color w:val="auto"/>
        </w:rPr>
      </w:pPr>
    </w:p>
    <w:p>
      <w:pPr>
        <w:ind w:left="1800" w:right="45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debt security. (</w:t>
      </w:r>
      <w:r>
        <w:rPr>
          <w:rFonts w:ascii="Times New Roman" w:cs="Times New Roman" w:eastAsia="Times New Roman" w:hAnsi="Times New Roman"/>
          <w:sz w:val="18"/>
          <w:szCs w:val="18"/>
          <w:i w:val="1"/>
          <w:iCs w:val="1"/>
          <w:color w:val="auto"/>
        </w:rPr>
        <w:t>Section 902</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a series of outstanding debt securities have the right to waive compliance by us with covenants relating to those debt securities in the Indenture. (</w:t>
      </w:r>
      <w:r>
        <w:rPr>
          <w:rFonts w:ascii="Times New Roman" w:cs="Times New Roman" w:eastAsia="Times New Roman" w:hAnsi="Times New Roman"/>
          <w:sz w:val="18"/>
          <w:szCs w:val="18"/>
          <w:i w:val="1"/>
          <w:iCs w:val="1"/>
          <w:color w:val="auto"/>
        </w:rPr>
        <w:t>Section 1013</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Modifications and amendments of the Indenture may be permitted to be made by us and the trustee without the consent of any holder of debt securities for any of the following purposes:</w:t>
      </w:r>
    </w:p>
    <w:p>
      <w:pPr>
        <w:spacing w:after="0" w:line="54"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the Indenture;</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any series of debt securities or to surrender any right or power conferred upon us in the Indenture;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any series of debt securities;</w:t>
      </w:r>
    </w:p>
    <w:p>
      <w:pPr>
        <w:spacing w:after="0" w:line="130"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the Indenture to facilitate the issuance of, or to liberalize certain terms of, debt securities in bearer form, or to permit or facilitate the issuance of debt securities in uncertificated form, provided that the action shall not adversely affect the interests of the holders of debt securities of any series in any material respect;</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the Indenture, provided that any change or elimination shall become effective only when the outstanding debt securities are not entitled to the benefit of that provision;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the debt securities of any series;</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under the Indenture by a successor trustee or facilitate the administration of the trust under the Indenture by more than one trustee;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provided that the action is not inconsistent with the provisions of the Indenture and will not adversely affect the interests of holders of debt securities of any series in any material respect; or</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the extent necessary to permit or facilitate defeasance and discharge of debt securities, provided that the action will not adversely affect the interests of the holders of the debt securities of any series in any material respect. (</w:t>
      </w:r>
      <w:r>
        <w:rPr>
          <w:rFonts w:ascii="Times New Roman" w:cs="Times New Roman" w:eastAsia="Times New Roman" w:hAnsi="Times New Roman"/>
          <w:sz w:val="18"/>
          <w:szCs w:val="18"/>
          <w:i w:val="1"/>
          <w:iCs w:val="1"/>
          <w:color w:val="auto"/>
        </w:rPr>
        <w:t>Section 901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in determining whether the holders of the requisite principal amount of a series of outstanding debt securities have given any request, demand, authorization, direction, notice, consent or waiver thereunder or whether a quorum is present at a meeting of holders of those debt securities,</w:t>
      </w:r>
    </w:p>
    <w:p>
      <w:pPr>
        <w:spacing w:after="0" w:line="1" w:lineRule="exact"/>
        <w:rPr>
          <w:sz w:val="20"/>
          <w:szCs w:val="20"/>
          <w:color w:val="auto"/>
        </w:rPr>
      </w:pPr>
    </w:p>
    <w:p>
      <w:pPr>
        <w:ind w:left="1260" w:right="439"/>
        <w:spacing w:after="0" w:line="251" w:lineRule="auto"/>
        <w:tabs>
          <w:tab w:leader="none" w:pos="15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debt security denominated in a foreign currency that shall be deemed Outstanding shall be the U.S. dollar equivalent, determined on the issue date for that debt security, of the principal amount (or, in the case of an Original Issue Discount Security, the U.S. dollar equivalent on the issue date of such debt security of the amount determined as provided in (1) above) of that debt security, (3) the principal amount of an Indexed Security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affiliate of the Operating Partnership or of such other obligor shall be disregarded.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The Indenture contains provisions of convening meetings of the holders of debt securities of a series issuable, in whole or in part, as bearer securities. ( </w:t>
      </w:r>
      <w:r>
        <w:rPr>
          <w:rFonts w:ascii="Times New Roman" w:cs="Times New Roman" w:eastAsia="Times New Roman" w:hAnsi="Times New Roman"/>
          <w:sz w:val="18"/>
          <w:szCs w:val="18"/>
          <w:i w:val="1"/>
          <w:iCs w:val="1"/>
          <w:color w:val="auto"/>
        </w:rPr>
        <w:t>Section 1501</w:t>
      </w:r>
      <w:r>
        <w:rPr>
          <w:rFonts w:ascii="Times New Roman" w:cs="Times New Roman" w:eastAsia="Times New Roman" w:hAnsi="Times New Roman"/>
          <w:sz w:val="18"/>
          <w:szCs w:val="18"/>
          <w:color w:val="auto"/>
        </w:rPr>
        <w:t>). A meeting will be permitted to be called at any time by the trustee, and also, upon request, by the Operating Partnership or the holders of at least 10% in principal amount of the outstanding debt securities of such series, in any such case upon notice given as provided in the Indenture. (</w:t>
      </w:r>
      <w:r>
        <w:rPr>
          <w:rFonts w:ascii="Times New Roman" w:cs="Times New Roman" w:eastAsia="Times New Roman" w:hAnsi="Times New Roman"/>
          <w:sz w:val="18"/>
          <w:szCs w:val="18"/>
          <w:i w:val="1"/>
          <w:iCs w:val="1"/>
          <w:color w:val="auto"/>
        </w:rPr>
        <w:t>Section 1502</w:t>
      </w:r>
      <w:r>
        <w:rPr>
          <w:rFonts w:ascii="Times New Roman" w:cs="Times New Roman" w:eastAsia="Times New Roman" w:hAnsi="Times New Roman"/>
          <w:sz w:val="18"/>
          <w:szCs w:val="18"/>
          <w:color w:val="auto"/>
        </w:rPr>
        <w:t>). Except for any consent that must be given by the holder of each debt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in principal amount of the outstanding debt securities of a series may be adopted at a meeting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any request, demand, authorization, direction, notice, consent, waiver or other action which may be made, given or taken by the holders of not less than a specified percentage in principal amount of the outstanding debt securities of a series, then with respect to such action (and only such action) the persons holding or representing such specified percentage in principal amount of the outstanding debt securities of such series will constitute a quorum.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1504</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foregoing provisions, the Indenture provides that if any action is to be taken at a meeting of holders of debt securities of any series with respect to any request, demand, authorization, direction, notice, consent, waiver or other action that the Indenture expressly provides may be made, given or taken by the holders of a specified percentage in principal amount of all outstanding debt securities affected thereby, or the holders of that series and any other series:</w:t>
      </w:r>
    </w:p>
    <w:p>
      <w:pPr>
        <w:spacing w:after="0" w:line="60"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minimum quorum requirement for the meeting; and</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 (</w:t>
      </w:r>
      <w:r>
        <w:rPr>
          <w:rFonts w:ascii="Times New Roman" w:cs="Times New Roman" w:eastAsia="Times New Roman" w:hAnsi="Times New Roman"/>
          <w:sz w:val="18"/>
          <w:szCs w:val="18"/>
          <w:i w:val="1"/>
          <w:iCs w:val="1"/>
          <w:color w:val="auto"/>
        </w:rPr>
        <w:t>Section 1504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Unless amended, modified or supplemented in the supplemental indenture relating to a particular series of debt securities, the term “Event of Default,” when used in this prospectus and the Indenture means any one of the following events:</w:t>
      </w:r>
    </w:p>
    <w:p>
      <w:pPr>
        <w:spacing w:after="0" w:line="102" w:lineRule="exact"/>
        <w:rPr>
          <w:sz w:val="20"/>
          <w:szCs w:val="20"/>
          <w:color w:val="auto"/>
        </w:rPr>
      </w:pPr>
    </w:p>
    <w:p>
      <w:pPr>
        <w:ind w:left="1620" w:right="519" w:firstLine="360"/>
        <w:spacing w:after="0" w:line="266" w:lineRule="auto"/>
        <w:tabs>
          <w:tab w:leader="none" w:pos="23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the debt securities when the interest becomes due and payable, and continuance of the default for a period of 30 days;</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when it becomes due and payable at its Maturity Date or by declaration of acceleration, notice of redemption or otherwise;</w:t>
      </w:r>
    </w:p>
    <w:p>
      <w:pPr>
        <w:spacing w:after="0" w:line="10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 required sinking fund payment, if any;</w:t>
      </w:r>
    </w:p>
    <w:p>
      <w:pPr>
        <w:spacing w:after="0" w:line="144"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3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any of our covenants in the Indenture (other than a covenant added to the Indenture solely for the benefit of a series of debt securities issued under the Indenture) and continuance of the default for a period of 60 days after there has been given, by registered or certified mail, to us by the trustee, or to us and the trustee by the holders of at least 25% in principal amount of the debt securities, a written notice specifying the default and requiring it to be remedied and stating that the notice is a “Notice of Default” under the Indenture;</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3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 aggregate principal amount exceeding $30 million of any of our recourse indebtedness (however evidenced) after the expiration of any applicable grace period with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46" w:lineRule="auto"/>
        <w:rPr>
          <w:sz w:val="20"/>
          <w:szCs w:val="20"/>
          <w:color w:val="auto"/>
        </w:rPr>
      </w:pPr>
      <w:r>
        <w:rPr>
          <w:rFonts w:ascii="Times New Roman" w:cs="Times New Roman" w:eastAsia="Times New Roman" w:hAnsi="Times New Roman"/>
          <w:sz w:val="18"/>
          <w:szCs w:val="18"/>
          <w:color w:val="auto"/>
        </w:rPr>
        <w:t>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10 days after there has been given, by registered or certified mail, to us by the trustee, or to us and the trustee by the holders of at least 10% in principal amount of the outstanding debt securities, a written notice specifying the default and requiring us to cause the indebtedness to be discharged or cause the acceleration to be rescinded or annulled and stating that the notice is a “Notice of Default” under the Indenture;</w:t>
      </w:r>
    </w:p>
    <w:p>
      <w:pPr>
        <w:spacing w:after="0" w:line="324" w:lineRule="exact"/>
        <w:rPr>
          <w:sz w:val="20"/>
          <w:szCs w:val="20"/>
          <w:color w:val="auto"/>
        </w:rPr>
      </w:pPr>
    </w:p>
    <w:p>
      <w:pPr>
        <w:ind w:left="1620" w:right="1379" w:firstLine="360"/>
        <w:spacing w:after="0" w:line="266" w:lineRule="auto"/>
        <w:tabs>
          <w:tab w:leader="none" w:pos="23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events of bankruptcy, insolvency or reorganization affecting us or certain Subsidiaries or any of their respective properties; or</w:t>
      </w:r>
    </w:p>
    <w:p>
      <w:pPr>
        <w:spacing w:after="0" w:line="94" w:lineRule="exact"/>
        <w:rPr>
          <w:rFonts w:ascii="Times New Roman" w:cs="Times New Roman" w:eastAsia="Times New Roman" w:hAnsi="Times New Roman"/>
          <w:sz w:val="18"/>
          <w:szCs w:val="18"/>
          <w:color w:val="auto"/>
        </w:rPr>
      </w:pPr>
    </w:p>
    <w:p>
      <w:pPr>
        <w:ind w:left="1620" w:right="919" w:firstLine="360"/>
        <w:spacing w:after="0" w:line="266" w:lineRule="auto"/>
        <w:tabs>
          <w:tab w:leader="none" w:pos="23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 issued under the Indenture.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the debt securities at the time outstanding occurs and is continuing, then in every such case the trustee or the holders of not less than 25% of the principal amount of the outstanding debt securities may declare the principal amount and premium or Make-Whole Amount, if any, and accrued interest on all the debt securities to be due and payable immediately by written notice thereof to us, and to the trustee if given by the holders; provided, that in the case of an Event of Default described in clause (6) above, acceleration is automatic. However, at any time after a declaration of acceleration with respect to the debt securities has been made, but before a judgment or decree for payment of the money due has been obtained by the trustee, the holders of not less than a majority in principal amount of the outstanding debt securities may, by written notice to us and the trustee, rescind and annul the declaration and its consequences if:</w:t>
      </w:r>
    </w:p>
    <w:p>
      <w:pPr>
        <w:spacing w:after="0" w:line="287" w:lineRule="exact"/>
        <w:rPr>
          <w:sz w:val="20"/>
          <w:szCs w:val="20"/>
          <w:color w:val="auto"/>
        </w:rPr>
      </w:pPr>
    </w:p>
    <w:p>
      <w:pPr>
        <w:ind w:left="1800" w:right="55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trustee all required payments of the principal of, and premium or Make-Whole Amount, if any, and interest on the debt securities, plus specified fees, expenses, disbursement and advances of the trustee;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the debt securities, other than the non-payment of principal of, or Make-Whole Amount, if any, or interest on the debt securities which has become due solely by the declaration of acceleration, have been cured or waived as provided in the Indenture.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debt securities of any series may waive any past default with respect to such series and its consequences, except a default:</w:t>
      </w:r>
    </w:p>
    <w:p>
      <w:pPr>
        <w:spacing w:after="0" w:line="54" w:lineRule="exact"/>
        <w:rPr>
          <w:sz w:val="20"/>
          <w:szCs w:val="20"/>
          <w:color w:val="auto"/>
        </w:rPr>
      </w:pPr>
    </w:p>
    <w:p>
      <w:pPr>
        <w:ind w:left="1800" w:right="43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payable on any debt security of that series;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Indenture that cannot be modified or amended without the consent of the holder of each debt security of the affected series. (</w:t>
      </w:r>
      <w:r>
        <w:rPr>
          <w:rFonts w:ascii="Times New Roman" w:cs="Times New Roman" w:eastAsia="Times New Roman" w:hAnsi="Times New Roman"/>
          <w:sz w:val="18"/>
          <w:szCs w:val="18"/>
          <w:i w:val="1"/>
          <w:iCs w:val="1"/>
          <w:color w:val="auto"/>
        </w:rPr>
        <w:t>Section 513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trustee will be required to give notice to the holders of the debt securities within 90 days of the occurrence of a default under the Indenture unless the default has been cured or waived; provided, however, that the trustee may withhold notice to the holders of the debt securities of any default, except a default in the payment of the principal of, or premium or Make-Whole Amount, if any, or interest on the debt securities, if and so long as specified responsible officers of the trustee determine in good faith that the withholding of the notice is in the interest of the holders.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Indenture provides that no holder of debt securities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debt securities, as well as an offer of indemnity reasonably satisfactory to it. This provision will not prevent, however, any holder of debt securities from instituting suit for the payment of the principal of, and premium or Make-Whole Amount, if any, and interest on the debt securities on the due date thereof. (</w:t>
      </w:r>
      <w:r>
        <w:rPr>
          <w:rFonts w:ascii="Times New Roman" w:cs="Times New Roman" w:eastAsia="Times New Roman" w:hAnsi="Times New Roman"/>
          <w:sz w:val="18"/>
          <w:szCs w:val="18"/>
          <w:i w:val="1"/>
          <w:iCs w:val="1"/>
          <w:color w:val="auto"/>
        </w:rPr>
        <w:t>Sections 507 and 508</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Subject to provisions in the Indenture relating to its duties in case of default, the trustee is under no obligation to exercise any of its rights or powers under the Indenture at the request or direction of 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holders of debt securities then outstanding under the Indenture, unless the holders have offered to the trustee reasonable security or indemnity.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The holders of not less than a majority in principal amount of the outstanding debt securities have the right to direct the time, method and place of conducting any proceeding for any remedy available to the trustee or exercising any trust or power conferred upon the trustee. However, the trustee may refuse to follow any direction which is in conflict with any law or the Indenture, which may involve the trustee in personal liability or which may be unduly prejudicial to the holders of debt securities not joining therein and the trustee may take any other action it deems proper and not inconsistent with the direction given.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 (</w:t>
      </w:r>
      <w:r>
        <w:rPr>
          <w:rFonts w:ascii="Times New Roman" w:cs="Times New Roman" w:eastAsia="Times New Roman" w:hAnsi="Times New Roman"/>
          <w:sz w:val="18"/>
          <w:szCs w:val="18"/>
          <w:i w:val="1"/>
          <w:iCs w:val="1"/>
          <w:color w:val="auto"/>
        </w:rPr>
        <w:t>Section 1011</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are permitted under the Indenture to discharge specific obligations to the holders of the debt securities that have not already been delivered to the trustee for cancellation by irrevocably depositing with the trustee, in trust, funds in the currency in which the debt securities are payable in an amount sufficient to pay the entire indebtedness on the debt securities in respect of principal, and premium or Make-Whole Amount, if any, and interest to the date of the deposit, if the debt securities have become due and payable, or to the stated Maturity Date or redemption date, as the case may be.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Indenture also provides that we may elect either:</w:t>
      </w:r>
    </w:p>
    <w:p>
      <w:pPr>
        <w:spacing w:after="0" w:line="117" w:lineRule="exact"/>
        <w:rPr>
          <w:sz w:val="20"/>
          <w:szCs w:val="20"/>
          <w:color w:val="auto"/>
        </w:rPr>
      </w:pPr>
    </w:p>
    <w:p>
      <w:pPr>
        <w:ind w:left="1800" w:right="419" w:hanging="180"/>
        <w:spacing w:after="0" w:line="261"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the debt securities other than the obligations to register the transfer or exchange of the debt securities, to replace temporary or mutilated, destroyed, lost or stolen debt securities, to maintain an office or agency in respect of the debt securities and to hold moneys for payment in trust (“defeasance”); or</w:t>
      </w:r>
    </w:p>
    <w:p>
      <w:pPr>
        <w:spacing w:after="0" w:line="58"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the debt securities and any other covenant, and any omission to comply with these obligations shall not constitute an Event of Default with respect to the debt securities (“covenant defeasance”);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either case upon the irrevocable deposit by us with the trustee, in trust, of an amount, in the currency in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the debt securities are payable at stated maturity, or Government Obligations, or both, applicable to</w:t>
      </w:r>
    </w:p>
    <w:p>
      <w:pPr>
        <w:ind w:left="1260"/>
        <w:spacing w:after="0"/>
        <w:rPr>
          <w:sz w:val="20"/>
          <w:szCs w:val="20"/>
          <w:color w:val="auto"/>
        </w:rPr>
      </w:pPr>
      <w:r>
        <w:rPr>
          <w:rFonts w:ascii="Times New Roman" w:cs="Times New Roman" w:eastAsia="Times New Roman" w:hAnsi="Times New Roman"/>
          <w:sz w:val="18"/>
          <w:szCs w:val="18"/>
          <w:color w:val="auto"/>
        </w:rPr>
        <w:t>the debt securities which through the scheduled payment of principal and interest in accordance with their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terms will provide money in an amount sufficient without reinvestment to pay the principal of, and premium</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 Make-Whole Amount, if any, and interest on the debt securities on the scheduled due dates therefor.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Sections 1402 and 1404</w:t>
      </w:r>
      <w:r>
        <w:rPr>
          <w:rFonts w:ascii="Times New Roman" w:cs="Times New Roman" w:eastAsia="Times New Roman" w:hAnsi="Times New Roman"/>
          <w:sz w:val="18"/>
          <w:szCs w:val="18"/>
          <w:color w:val="auto"/>
        </w:rPr>
        <w:t>). If either of these options are available to us with respect to a specific series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debt securities, we will indicate it in the prospectus supplement relating to that series of debt securities.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Unless the prospectus supplement relating to that series of debt securities provides otherwise, the terms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defeasance option and the covenant defeasance option will be as described in this section.</w:t>
      </w:r>
    </w:p>
    <w:p>
      <w:pPr>
        <w:spacing w:after="0" w:line="12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 trust may only be established if, among other things, we have delivered to the trustee an opinion of counsel, as specified in the Indenture, to the effect that the holders of the debt securities will not recognize income, gain or loss for federal income tax purposes as a result of the defeasance or covenant defeasance and will be subject to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or the IRS, or a change in applicable federal income tax law occurring after the date of the Indenture. (</w:t>
      </w:r>
      <w:r>
        <w:rPr>
          <w:rFonts w:ascii="Times New Roman" w:cs="Times New Roman" w:eastAsia="Times New Roman" w:hAnsi="Times New Roman"/>
          <w:sz w:val="18"/>
          <w:szCs w:val="18"/>
          <w:i w:val="1"/>
          <w:iCs w:val="1"/>
          <w:color w:val="auto"/>
        </w:rPr>
        <w:t>Section 1404</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Obligations</w:t>
      </w:r>
      <w:r>
        <w:rPr>
          <w:rFonts w:ascii="Times New Roman" w:cs="Times New Roman" w:eastAsia="Times New Roman" w:hAnsi="Times New Roman"/>
          <w:sz w:val="18"/>
          <w:szCs w:val="18"/>
          <w:color w:val="auto"/>
        </w:rPr>
        <w:t>” means securities that are:</w:t>
      </w:r>
    </w:p>
    <w:p>
      <w:pPr>
        <w:spacing w:after="0" w:line="106" w:lineRule="exact"/>
        <w:rPr>
          <w:sz w:val="20"/>
          <w:szCs w:val="20"/>
          <w:color w:val="auto"/>
        </w:rPr>
      </w:pPr>
    </w:p>
    <w:p>
      <w:pPr>
        <w:ind w:left="1800" w:right="45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payment of which its full faith and credit is pledged;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of America, the payment of which is unconditionally guaranteed as a full faith and credit obligation by the United States of America;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provided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w:t>
      </w:r>
    </w:p>
    <w:p>
      <w:pPr>
        <w:spacing w:after="0" w:line="12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or Government Obligations to effect defeasance or covenant defeasance with respect to any series of debt securities:</w:t>
      </w:r>
    </w:p>
    <w:p>
      <w:pPr>
        <w:spacing w:after="0" w:line="68" w:lineRule="exact"/>
        <w:rPr>
          <w:sz w:val="20"/>
          <w:szCs w:val="20"/>
          <w:color w:val="auto"/>
        </w:rPr>
      </w:pPr>
    </w:p>
    <w:p>
      <w:pPr>
        <w:jc w:val="both"/>
        <w:ind w:left="1800" w:right="49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debt security of such series is entitled to, and does, elect pursuant to the Indenture or the terms of that debt security to receive payment in a currency, currency unit or composite currency other than that in which such deposit has been made in respect of such debt security, or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Event (as defined below) occurs in respect of the currency, currency unit or composite currency in which such deposit has been made, the indebtedness represented by that debt security shall be deemed to have been, and will be, fully discharged and satisfied through the payment of the principal of (and premium, if any) and interest on that debt security as they become due out of the proceeds yielded by converting the amount so deposited in respect of that debt security into a currency, currency unit or composite currency in which that debt security becomes payable as a result of such election or such Conversion Event based upon the applicable market exchange rate. (</w:t>
      </w:r>
      <w:r>
        <w:rPr>
          <w:rFonts w:ascii="Times New Roman" w:cs="Times New Roman" w:eastAsia="Times New Roman" w:hAnsi="Times New Roman"/>
          <w:sz w:val="18"/>
          <w:szCs w:val="18"/>
          <w:i w:val="1"/>
          <w:iCs w:val="1"/>
          <w:color w:val="auto"/>
        </w:rPr>
        <w:t>Section 1405</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Conversion Event</w:t>
      </w:r>
      <w:r>
        <w:rPr>
          <w:rFonts w:ascii="Times New Roman" w:cs="Times New Roman" w:eastAsia="Times New Roman" w:hAnsi="Times New Roman"/>
          <w:sz w:val="18"/>
          <w:szCs w:val="18"/>
          <w:color w:val="auto"/>
        </w:rPr>
        <w:t>” means the cessation of use of (a) a currency, currency unit or composite currency both by the government of the country which issued such currency and for the settlement of transactions by a central bank or other public institutions of or within the international banking community, (b) the ECU both within the European Monetary System and for the settlement of transactions by public institutions of or within the European Community or (c) any currency unit (or composite currency) other than the ECU for the purposes for which it was established. All payments of principal of (and premium, if any) and interest on any debt security that is payable in a foreign currency that ceases to be used by its government of issuance shall be made in U.S. dollars.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effect covenant defeasance with respect to any debt securities and these debt securities</w:t>
      </w:r>
    </w:p>
    <w:p>
      <w:pPr>
        <w:spacing w:after="0" w:line="27" w:lineRule="exact"/>
        <w:rPr>
          <w:sz w:val="20"/>
          <w:szCs w:val="20"/>
          <w:color w:val="auto"/>
        </w:rPr>
      </w:pPr>
    </w:p>
    <w:p>
      <w:pPr>
        <w:ind w:left="1260" w:right="819"/>
        <w:spacing w:after="0" w:line="250" w:lineRule="auto"/>
        <w:rPr>
          <w:sz w:val="20"/>
          <w:szCs w:val="20"/>
          <w:color w:val="auto"/>
        </w:rPr>
      </w:pPr>
      <w:r>
        <w:rPr>
          <w:rFonts w:ascii="Times New Roman" w:cs="Times New Roman" w:eastAsia="Times New Roman" w:hAnsi="Times New Roman"/>
          <w:sz w:val="18"/>
          <w:szCs w:val="18"/>
          <w:color w:val="auto"/>
        </w:rPr>
        <w:t>are declared due and payable because of the occurrence of any Event of Default other than the Event of Default described in clause (4) under “— Events of Default, Notice and Waiver” with respect to</w:t>
      </w:r>
    </w:p>
    <w:p>
      <w:pPr>
        <w:spacing w:after="0" w:line="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Sections 1006 to 1010, inclusive, of the Indenture, which sections would no longer be applicable to the debt securities as a result of the covenant defeasance, or described in clause (7) under “— Events of Default, Notice and Waiver” with respect to any other covenant as to which there has been covenant defeasance, the amount in the currency in which the debt securities are payable, and Government Obligations on deposit with the trustee, will be sufficient to pay amounts due on the debt securities at the time of their stated maturity but may not be sufficient to pay amounts due on the debt securities at the time of the acceleration resulting from the Default. We would remain liable, however, to make payment of the amounts due at the time of acceleration.</w:t>
      </w:r>
    </w:p>
    <w:p>
      <w:pPr>
        <w:spacing w:after="0" w:line="337"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describe further the provisions, if any, permitting defeasance or covenant defeasance, including any modifications to the provisions described above with respect to the debt securities of a particular series.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with respect to one or more series of debt securities. Any trustee under the Indenture may resign or be removed with respect to one or more series of debt securities, and a successor trustee may be appointed to act with respect to that series. (</w:t>
      </w:r>
      <w:r>
        <w:rPr>
          <w:rFonts w:ascii="Times New Roman" w:cs="Times New Roman" w:eastAsia="Times New Roman" w:hAnsi="Times New Roman"/>
          <w:sz w:val="18"/>
          <w:szCs w:val="18"/>
          <w:i w:val="1"/>
          <w:iCs w:val="1"/>
          <w:color w:val="auto"/>
        </w:rPr>
        <w:t>Section 608</w:t>
      </w:r>
      <w:r>
        <w:rPr>
          <w:rFonts w:ascii="Times New Roman" w:cs="Times New Roman" w:eastAsia="Times New Roman" w:hAnsi="Times New Roman"/>
          <w:sz w:val="18"/>
          <w:szCs w:val="18"/>
          <w:color w:val="auto"/>
        </w:rPr>
        <w:t>). If two or more persons are acting as trustee with respect to different series of debt securities, each trustee will administer separate trusts under the Indenture, and, except as otherwise indicated by the Indenture, any action to be taken by a trustee with respect to one or more series of debt securities may be taken only by the trustee for that series. (</w:t>
      </w:r>
      <w:r>
        <w:rPr>
          <w:rFonts w:ascii="Times New Roman" w:cs="Times New Roman" w:eastAsia="Times New Roman" w:hAnsi="Times New Roman"/>
          <w:sz w:val="18"/>
          <w:szCs w:val="18"/>
          <w:i w:val="1"/>
          <w:iCs w:val="1"/>
          <w:color w:val="auto"/>
        </w:rPr>
        <w:t>Section 609</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depositary identified in the applicable prospectus supplement relating to such series. Global securities may be issued in either registered or bearer form and in either temporary or permanent form. The specific terms of the depositary arrangement with respect to a series of global securities will be described in the applicable prospectus supplement relating to that series.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Indenture is governed by, and construed in accordance with, the laws of the State of New York, and once issued the debt securities will be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purchase, ownership and disposition of debt securities issued by us, but does not purport to be a complete analysis of all potential tax effects. Supplemental U.S. federal income tax considerations relevant to holders of debt securities offered by this prospectus may be provided in the prospectus supplement that relates to those debt securities. The effects of other U.S. federal tax laws, such as estate and gift tax laws, and any applicable state, local or foreign tax laws are not discussed. This discussion is based on the Internal Revenue Code of 1986, as amended, or the Code, the Treasury regulations promulgated thereunder, or the Treasury Regulations,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debt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debt securities.</w:t>
      </w:r>
    </w:p>
    <w:p>
      <w:pPr>
        <w:spacing w:after="0" w:line="32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This discussion is limited to holders who hold the debt securities as “capital assets” within the meaning of Section 1221 of the Code (generally, property held for investment). In addition, this discussion is limited to persons purchasing the debt securities for cash at original issue and at their original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debt securities is sold to the public for cash). This discussion does not address all U.S. 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w:t>
      </w:r>
    </w:p>
    <w:p>
      <w:pPr>
        <w:spacing w:after="0" w:line="71" w:lineRule="exact"/>
        <w:rPr>
          <w:sz w:val="20"/>
          <w:szCs w:val="20"/>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former long-term residents of the United States;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debt securities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debt securities under the constructive sale provisions of the Code;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debt securities being taken into account in an applicable financial statement (as defined in the Code).</w:t>
      </w:r>
    </w:p>
    <w:p>
      <w:pPr>
        <w:spacing w:after="0" w:line="30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the debt securities, the tax treatment of a partner in the partnership will depend on the status of the partner, the activities of the partnership and certain determinations made at the partner level. Accordingly, partnerships holding the debt securities and the partners in such partnerships should consult their tax advisors regarding the U.S. federal income tax consequences to them.</w:t>
      </w:r>
    </w:p>
    <w:p>
      <w:pPr>
        <w:spacing w:after="0" w:line="106"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59"/>
        <w:spacing w:after="0" w:line="260" w:lineRule="auto"/>
        <w:rPr>
          <w:sz w:val="20"/>
          <w:szCs w:val="20"/>
          <w:color w:val="auto"/>
        </w:rPr>
      </w:pPr>
      <w:r>
        <w:rPr>
          <w:rFonts w:ascii="Times New Roman" w:cs="Times New Roman" w:eastAsia="Times New Roman" w:hAnsi="Times New Roman"/>
          <w:sz w:val="18"/>
          <w:szCs w:val="18"/>
          <w:b w:val="1"/>
          <w:bCs w:val="1"/>
          <w:color w:val="auto"/>
        </w:rPr>
        <w:t>AND DISPOSITION OF THE DEBT SECURITIES ARISING UNDER OTHER U.S. FEDERAL TAX LAWS (INCLUDING ESTATE AND GIFT TAX LAWS), UNDER THE LAWS OF ANY STATE, LOCAL OR NON-U.S. TAXING JURISDICTION OR UNDER ANY APPLICABLE TAX TREATY.</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U.S. Holder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a debt security that, for U.S.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income tax purposes, is or is treated as:</w:t>
      </w:r>
    </w:p>
    <w:p>
      <w:pPr>
        <w:spacing w:after="0" w:line="84"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w:t>
      </w:r>
    </w:p>
    <w:p>
      <w:pPr>
        <w:spacing w:after="0" w:line="27" w:lineRule="exact"/>
        <w:rPr>
          <w:rFonts w:ascii="Times New Roman" w:cs="Times New Roman" w:eastAsia="Times New Roman" w:hAnsi="Times New Roman"/>
          <w:sz w:val="18"/>
          <w:szCs w:val="18"/>
          <w:color w:val="auto"/>
        </w:rPr>
      </w:pPr>
    </w:p>
    <w:p>
      <w:pPr>
        <w:ind w:left="1800" w:right="5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persons” (within​ the meaning of Section 7701(a)(30) of the Code), or (2) has a valid election in effect to be treated as a United States person for U.S. federal income tax purposes.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Interest on a debt security generally will be taxable to a U.S. Holder as ordinary income at the time such interest is received or accrued, in accordance with such U.S. Holder’s method of tax accounting for U.S. federal income tax purposes. It is expected, and this discussion assumes, that the debt securities will be issued without original issue discount for U.S. federal income tax purposes.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 U.S. Holder will recognize gain or loss on the sale, exchange, redemption, retirement or other taxable 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payments on a debt security or receives proceeds from the sale or other taxable disposition of a debt security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69" w:lineRule="exact"/>
        <w:rPr>
          <w:sz w:val="20"/>
          <w:szCs w:val="20"/>
          <w:color w:val="auto"/>
        </w:rPr>
      </w:pPr>
    </w:p>
    <w:p>
      <w:pPr>
        <w:ind w:left="1800" w:right="8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Non-U.S. Holder</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 U.S. Holder” is a beneficial owner of a debt security that is neither a U.S. Holder nor an entity treated as a partnership for U.S.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Interest paid on a debt security to a Non -U.S.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w:t>
      </w:r>
    </w:p>
    <w:p>
      <w:pPr>
        <w:spacing w:after="0" w:line="69"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our capital or profits;</w:t>
      </w:r>
    </w:p>
    <w:p>
      <w:pPr>
        <w:spacing w:after="0" w:line="117"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us through actual or constructive stock ownership; and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Non-U.S. Holder certifies in a statement provided to the applicable withholding agent under penalties of perjury that it is not a United States person and provides its name and address;</w:t>
      </w:r>
    </w:p>
    <w:p>
      <w:pPr>
        <w:ind w:left="180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w:t>
      </w:r>
    </w:p>
    <w:p>
      <w:pPr>
        <w:spacing w:after="0" w:line="2" w:lineRule="exact"/>
        <w:rPr>
          <w:rFonts w:ascii="Times New Roman" w:cs="Times New Roman" w:eastAsia="Times New Roman" w:hAnsi="Times New Roman"/>
          <w:sz w:val="18"/>
          <w:szCs w:val="18"/>
          <w:color w:val="auto"/>
        </w:rPr>
      </w:pPr>
    </w:p>
    <w:p>
      <w:pPr>
        <w:ind w:left="1800" w:right="5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security directly through a “qualified intermediary” (within​ the meaning of applicable Treasury Regulations) and certain conditions are satisfied.</w:t>
      </w:r>
    </w:p>
    <w:p>
      <w:pPr>
        <w:spacing w:after="0" w:line="11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2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32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Any such effectively connected interest generally will be subject to U.S. federal income tax at the regular rates. A Non-U.S. Holder that is a corporation also may be subject to a branch profits tax at a rate of 30% (or such lower rate specified by an applicable income tax treaty) on such effectively connected interest, as adjusted for certain items.</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exchange, redemption, retirement or other taxable disposition of a debt security (such amount excludes any amount allocable to accrued and unpaid interest, which generally will be treated as interest and may be subject to the rules discussed above in “— Tax Consequences Applicable to Non-U.S. Holders — Payments of Interest”) unless:</w:t>
      </w:r>
    </w:p>
    <w:p>
      <w:pPr>
        <w:spacing w:after="0" w:line="63" w:lineRule="exact"/>
        <w:rPr>
          <w:sz w:val="20"/>
          <w:szCs w:val="20"/>
          <w:color w:val="auto"/>
        </w:rPr>
      </w:pPr>
    </w:p>
    <w:p>
      <w:pPr>
        <w:ind w:left="1800" w:right="43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 U.S. Holder that is a foreign corporation also may be subject to a branch profits tax at a rate of 30% (or such lower rate specified by an applicable income tax treaty) on such effectively connected gain, as adjusted for certain items.</w:t>
      </w:r>
    </w:p>
    <w:p>
      <w:pPr>
        <w:spacing w:after="0" w:line="11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exchange, redemption, retirement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Payments of interest generally will not be subject to backup withholding, provided the applicable withholding agent does not have actual knowledge or reason to know the holder is a United States person and the holder certifies its non- U.S. status as described above under “— Tax Consequences Applicable to Non-U.S. Holders — Payments of Interest.” However, information returns are required to be filed with the IRS in connection with any interest paid to the Non-U.S. Holder, regardless of whether any tax was actually withheld. In addition, proceeds of the sale or other taxable disposition of a debt security (including a retirement or redemption of the debt security)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 establishes an exemption. Proceeds of a disposition of a debt security paid outside the United States and conducted through a non-U.S. office of a non-U.S. broker generally will not be subject to backup withholding or information reporting.</w:t>
      </w:r>
    </w:p>
    <w:p>
      <w:pPr>
        <w:spacing w:after="0" w:line="11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 U.S. Holder’s U.S. federal income tax liability, provided the required information is timely furnished to the IRS.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7" w:lineRule="auto"/>
        <w:rPr>
          <w:sz w:val="20"/>
          <w:szCs w:val="20"/>
          <w:color w:val="auto"/>
        </w:rPr>
      </w:pPr>
      <w:r>
        <w:rPr>
          <w:rFonts w:ascii="Times New Roman" w:cs="Times New Roman" w:eastAsia="Times New Roman" w:hAnsi="Times New Roman"/>
          <w:sz w:val="18"/>
          <w:szCs w:val="18"/>
          <w:color w:val="auto"/>
        </w:rPr>
        <w:t>non-U.S. financial institutions and certain other non-U.S. entities. Specifically, a 30% withholding tax may be imposed on payments of interest on, or (subject to the proposed Treasury Regulations discussed below) gross proceeds from the sale or other disposition of, a debt security paid to a “foreign financial institution”</w:t>
      </w:r>
    </w:p>
    <w:p>
      <w:pPr>
        <w:spacing w:after="0" w:line="1"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interest on a debt security. While withholding under FATCA would have applied also to payments of gross proceeds from the sale or other disposition of a debt security on or after January 1, 2019, proposed Treasury Regulations eliminate FATCA withholding on payments of gross proceeds entirely. Taxpayers generally may rely on these proposed Treasury Regulations until final Treasury Regulations are issued.</w:t>
      </w:r>
    </w:p>
    <w:p>
      <w:pPr>
        <w:spacing w:after="0" w:line="120"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the validity of each issue of the debt securities offered will be passed upon for us by Latham &amp; Watkins LLP, Los Angeles, California and Barnes &amp; Thornburg LLP, Indianapolis, Indiana.</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Ernst &amp; Young LLP, independent registered public accounting firm, has audited the consolidated </w:t>
      </w:r>
      <w:hyperlink r:id="rId72">
        <w:r>
          <w:rPr>
            <w:rFonts w:ascii="Times New Roman" w:cs="Times New Roman" w:eastAsia="Times New Roman" w:hAnsi="Times New Roman"/>
            <w:sz w:val="18"/>
            <w:szCs w:val="18"/>
            <w:color w:val="auto"/>
          </w:rPr>
          <w:t xml:space="preserve">financial statements and schedule of Simon Property Group, L.P., included in its </w:t>
        </w:r>
        <w:r>
          <w:rPr>
            <w:rFonts w:ascii="Times New Roman" w:cs="Times New Roman" w:eastAsia="Times New Roman" w:hAnsi="Times New Roman"/>
            <w:sz w:val="18"/>
            <w:szCs w:val="18"/>
            <w:u w:val="single" w:color="auto"/>
            <w:color w:val="0000EE"/>
          </w:rPr>
          <w:t>Annual Report on Form 10-</w:t>
        </w:r>
      </w:hyperlink>
      <w:hyperlink r:id="rId72">
        <w:r>
          <w:rPr>
            <w:rFonts w:ascii="Times New Roman" w:cs="Times New Roman" w:eastAsia="Times New Roman" w:hAnsi="Times New Roman"/>
            <w:sz w:val="18"/>
            <w:szCs w:val="18"/>
            <w:u w:val="single" w:color="auto"/>
            <w:color w:val="0000EE"/>
          </w:rPr>
          <w:t>K for the year ended December 31, 2024</w:t>
        </w:r>
        <w:r>
          <w:rPr>
            <w:rFonts w:ascii="Times New Roman" w:cs="Times New Roman" w:eastAsia="Times New Roman" w:hAnsi="Times New Roman"/>
            <w:sz w:val="18"/>
            <w:szCs w:val="18"/>
            <w:color w:val="000000"/>
          </w:rPr>
          <w:t>, and the effectiveness of Simon Property Group, L.P.’s internal</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control over financial reporting as of December 31, 2024, as set forth in their reports, which are incorporated by reference in this prospectus and elsewhere in the registration statement. These financial statements and schedule are incorporated by reference in reliance on Ernst &amp; Young LLP’s reports, given on their authority as experts in accounting and auditing.</w:t>
      </w:r>
    </w:p>
    <w:p>
      <w:pPr>
        <w:spacing w:after="0" w:line="18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INDEMNIFICATION FOR SECURITIES ACT</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2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Pursuant to our partnership agreement and the articles of incorporation and bylaws of Simon Property, we will indemnify any of our officers or directors who is made or threatened to be made a party to any action, suit or proceeding by reason of the fact that he or she was an officer or director to the fullest extent permitted by Indiana law. Insofar as indemnification for liabilities arising under the Securities Act may be permitted to our directors, officers and persons controlling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OF INFORMATION WE FILE WITH THE SEC</w:t>
      </w:r>
    </w:p>
    <w:p>
      <w:pPr>
        <w:spacing w:after="0" w:line="16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w:t>
      </w:r>
    </w:p>
    <w:p>
      <w:pPr>
        <w:spacing w:after="0" w:line="117"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documents are considered part of this prospectus;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disclose important information to you by referring you to those documents;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we file with the SEC will automatically update and supersede the information in this prospectus and any information that was previously incorporated in this prospectus.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Exchange Act filing number is 001-36110.</w:t>
      </w:r>
    </w:p>
    <w:p>
      <w:pPr>
        <w:spacing w:after="0" w:line="14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information incorporated by reference is considered to be part of this prospectus and later information that we file with the SEC will automatically update and supersede this information. We incorporate by reference the following documents and any future filings we make with the SEC under Section 13(a), 13(c), 14 or 15(d) of the Exchange Act (other than documents and information deemed to have been furnished and not filed in accordance with SEC rules) until we have sold all of the securities to which this prospectus relates or the applicable offering of securities is otherwise terminated:</w:t>
      </w:r>
    </w:p>
    <w:p>
      <w:pPr>
        <w:spacing w:after="0" w:line="79" w:lineRule="exact"/>
        <w:rPr>
          <w:sz w:val="20"/>
          <w:szCs w:val="20"/>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our Annual Report on Form 10-K for the year ended December 31, 2024;</w:t>
        </w:r>
      </w:hyperlink>
    </w:p>
    <w:p>
      <w:pPr>
        <w:spacing w:after="0" w:line="117" w:lineRule="exact"/>
        <w:rPr>
          <w:rFonts w:ascii="Times New Roman" w:cs="Times New Roman" w:eastAsia="Times New Roman" w:hAnsi="Times New Roman"/>
          <w:sz w:val="18"/>
          <w:szCs w:val="18"/>
          <w:u w:val="single" w:color="auto"/>
          <w:color w:val="0000EE"/>
        </w:rPr>
      </w:pPr>
    </w:p>
    <w:p>
      <w:pPr>
        <w:ind w:left="1800" w:right="899" w:hanging="180"/>
        <w:spacing w:after="0" w:line="282" w:lineRule="auto"/>
        <w:tabs>
          <w:tab w:leader="none" w:pos="1800" w:val="left"/>
        </w:tabs>
        <w:numPr>
          <w:ilvl w:val="0"/>
          <w:numId w:val="7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w:t>
      </w:r>
      <w:hyperlink r:id="rId114">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6">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82">
        <w:r>
          <w:rPr>
            <w:rFonts w:ascii="Times New Roman" w:cs="Times New Roman" w:eastAsia="Times New Roman" w:hAnsi="Times New Roman"/>
            <w:sz w:val="18"/>
            <w:szCs w:val="18"/>
            <w:u w:val="single" w:color="auto"/>
            <w:color w:val="0000EE"/>
          </w:rPr>
          <w:t>May 15,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4">
        <w:r>
          <w:rPr>
            <w:rFonts w:ascii="Times New Roman" w:cs="Times New Roman" w:eastAsia="Times New Roman" w:hAnsi="Times New Roman"/>
            <w:sz w:val="18"/>
            <w:szCs w:val="18"/>
            <w:u w:val="single" w:color="auto"/>
            <w:color w:val="0000EE"/>
          </w:rPr>
          <w:t>August 19, 2025</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receive a free copy of any of the documents incorporated by reference in this prospectus (other than exhibits, unless they are specifically incorporated by reference in the document), call or write us at the following address: Simon Property Group, 225 West Washington Street, Indianapolis, Indiana 46204, Attention: Investor Relations (317) 685-7330.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expenses in connection with the distribution of the securities being registered. All amounts shown below are estimates: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2"/>
        </w:trPr>
        <w:tc>
          <w:tcPr>
            <w:tcW w:w="36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89"/>
        </w:trPr>
        <w:tc>
          <w:tcPr>
            <w:tcW w:w="360" w:type="dxa"/>
            <w:vAlign w:val="bottom"/>
            <w:vMerge w:val="continue"/>
          </w:tcPr>
          <w:p>
            <w:pPr>
              <w:spacing w:after="0"/>
              <w:rPr>
                <w:sz w:val="16"/>
                <w:szCs w:val="16"/>
                <w:color w:val="auto"/>
              </w:rPr>
            </w:pPr>
          </w:p>
        </w:tc>
        <w:tc>
          <w:tcPr>
            <w:tcW w:w="6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940" w:type="dxa"/>
            <w:vAlign w:val="bottom"/>
            <w:gridSpan w:val="4"/>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xml:space="preserve">​ ​​$             </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0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Accountants’ fees and expenses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w w:val="82"/>
              </w:rPr>
              <w:t>  **</w:t>
            </w:r>
          </w:p>
        </w:tc>
        <w:tc>
          <w:tcPr>
            <w:tcW w:w="0" w:type="dxa"/>
            <w:vAlign w:val="bottom"/>
          </w:tcPr>
          <w:p>
            <w:pPr>
              <w:spacing w:after="0"/>
              <w:rPr>
                <w:sz w:val="1"/>
                <w:szCs w:val="1"/>
                <w:color w:val="auto"/>
              </w:rPr>
            </w:pPr>
          </w:p>
        </w:tc>
      </w:tr>
      <w:tr>
        <w:trPr>
          <w:trHeight w:val="54"/>
        </w:trPr>
        <w:tc>
          <w:tcPr>
            <w:tcW w:w="690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5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654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gridSpan w:val="2"/>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90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Printing</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w w:val="82"/>
              </w:rPr>
              <w:t>  **</w:t>
            </w:r>
          </w:p>
        </w:tc>
        <w:tc>
          <w:tcPr>
            <w:tcW w:w="0" w:type="dxa"/>
            <w:vAlign w:val="bottom"/>
          </w:tcPr>
          <w:p>
            <w:pPr>
              <w:spacing w:after="0"/>
              <w:rPr>
                <w:sz w:val="1"/>
                <w:szCs w:val="1"/>
                <w:color w:val="auto"/>
              </w:rPr>
            </w:pPr>
          </w:p>
        </w:tc>
      </w:tr>
      <w:tr>
        <w:trPr>
          <w:trHeight w:val="54"/>
        </w:trPr>
        <w:tc>
          <w:tcPr>
            <w:tcW w:w="690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5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5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2"/>
              </w:rPr>
              <w:t>  **</w:t>
            </w:r>
          </w:p>
        </w:tc>
        <w:tc>
          <w:tcPr>
            <w:tcW w:w="0" w:type="dxa"/>
            <w:vAlign w:val="bottom"/>
          </w:tcPr>
          <w:p>
            <w:pPr>
              <w:spacing w:after="0"/>
              <w:rPr>
                <w:sz w:val="1"/>
                <w:szCs w:val="1"/>
                <w:color w:val="auto"/>
              </w:rPr>
            </w:pPr>
          </w:p>
        </w:tc>
      </w:tr>
      <w:tr>
        <w:trPr>
          <w:trHeight w:val="54"/>
        </w:trPr>
        <w:tc>
          <w:tcPr>
            <w:tcW w:w="6900" w:type="dxa"/>
            <w:vAlign w:val="bottom"/>
            <w:gridSpan w:val="3"/>
          </w:tcPr>
          <w:p>
            <w:pPr>
              <w:ind w:left="360"/>
              <w:spacing w:after="0"/>
              <w:rPr>
                <w:sz w:val="20"/>
                <w:szCs w:val="20"/>
                <w:color w:val="auto"/>
              </w:rPr>
            </w:pPr>
            <w:r>
              <w:rPr>
                <w:rFonts w:ascii="Times New Roman" w:cs="Times New Roman" w:eastAsia="Times New Roman" w:hAnsi="Times New Roman"/>
                <w:sz w:val="3"/>
                <w:szCs w:val="3"/>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right="619" w:hanging="360"/>
        <w:spacing w:after="0" w:line="266"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deferred pursuant to Rule 456(b) under the Securities Act of 1933, as amended (the “Securities Act”), and calculated in connection with the offering of securities under this registration statement pursuant to Rule 457(r) under the Securities Act.</w:t>
      </w:r>
    </w:p>
    <w:p>
      <w:pPr>
        <w:spacing w:after="0" w:line="27" w:lineRule="exact"/>
        <w:rPr>
          <w:sz w:val="20"/>
          <w:szCs w:val="20"/>
          <w:color w:val="auto"/>
        </w:rPr>
      </w:pPr>
    </w:p>
    <w:p>
      <w:pPr>
        <w:ind w:left="1620" w:right="1339" w:hanging="360"/>
        <w:spacing w:after="0" w:line="282"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upon the securities offered and the number of issuances and accordingly cannot be estimated at this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officers and directors of Simon Property Group, Inc. (the “Company”) are indemnified under Indiana law, the Company’s articles of incorporation and the limited partnership agreement of Simon Property Group, L.P. (the “Operating Partnership”) against certain liabilities. Chapter 37 of the Indiana Business Corporation Law (the “IBCL”) authorizes every Indiana corporation to indemnify its officers and directors under certain circumstances against liability incurred in connection with any threatened, pending or completed action, suit or proceeding, whether civil, criminal, administrative or investigative and whether formal or informal, to which the officers or directors are made a party by reason of their relationship to the corporation. Officers and directors may be indemnified where they have acted in good faith; in the case of official action, the individual reasonably believed that the conduct was in the corporation’s best interests and in all other cases, that the conduct was not against the best interests of the corporation; and in the case of criminal proceedings, the individual either had reasonable cause to believe his or her conduct was lawful or no reasonable cause to believe his or her conduct was unlawful. Chapter 37 also requires every Indiana corporation to indemnify any of its officers or directors (unless limited by the articles of incorporation of the corporation) who were wholly successful, on the merits or otherwise, in the defense of any such proceeding against reasonable expenses incurred in connection with the proceeding. A corporation may also, under certain circumstances, pay for or reimburse the reasonable expenses incurred by an officer or director who is a party to a proceeding in advance of final disposition of the proceeding (“advancement of expenses”). Chapter 37 states that the indemnification provided for therein is not exclusive of any other rights to which a person may be entitled under the articles of incorporation, bylaws or resolutions of the board of directors or shareholders.</w:t>
      </w:r>
    </w:p>
    <w:p>
      <w:pPr>
        <w:spacing w:after="0" w:line="33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Company’s articles of incorporation and bylaws, as currently in effect, provide for indemnification, to the fullest extent permitted by the IBCL, of its directors, officers, employees, and agents against liability and reasonable expenses that may be incurred by them, arising out of any threatened, pending or completed investigation, claim, suit or proceeding, whether civil, administrative, investigative, or criminal in which they may become involved by reason of being or having been a director, officer, employee, or agent. To be entitled to indemnification, (a) those persons must have been wholly successful in the claim or action or</w:t>
      </w:r>
    </w:p>
    <w:p>
      <w:pPr>
        <w:spacing w:after="0" w:line="5" w:lineRule="exact"/>
        <w:rPr>
          <w:sz w:val="20"/>
          <w:szCs w:val="20"/>
          <w:color w:val="auto"/>
        </w:rPr>
      </w:pPr>
    </w:p>
    <w:p>
      <w:pPr>
        <w:ind w:left="1260" w:right="559"/>
        <w:spacing w:after="0" w:line="253" w:lineRule="auto"/>
        <w:tabs>
          <w:tab w:leader="none" w:pos="15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independent legal counsel or the shareholders must have determined that such persons acted in good faith in what they reasonably believed to be in the Company’s best interest, or in the case of conduct not in the individual’s official capacity with us, did not act in opposition to the Company’s best interest. In addition, in any criminal action, such persons must have had reasonable cause to believe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1" w:lineRule="auto"/>
        <w:rPr>
          <w:sz w:val="20"/>
          <w:szCs w:val="20"/>
          <w:color w:val="auto"/>
        </w:rPr>
      </w:pPr>
      <w:r>
        <w:rPr>
          <w:rFonts w:ascii="Times New Roman" w:cs="Times New Roman" w:eastAsia="Times New Roman" w:hAnsi="Times New Roman"/>
          <w:sz w:val="18"/>
          <w:szCs w:val="18"/>
          <w:color w:val="auto"/>
        </w:rPr>
        <w:t>their conduct was lawful or had no reasonable cause to believe that their conduct was unlawful. The Company’s articles of incorporation and bylaws provide for mandatory advancement of expenses to such persons provided certain conditions are met, including provision of a written undertaking to repay such advancements, should it be determined that the person is not entitled to indemnification.</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Company’s articles of incorporation contain a provision stating that a director’s responsibility to the Company will be limited to discharging his or her duties as a director, including his or her duties as a member of any committee of the board of directors upon which he or she may serve, in good faith, with the care an ordinarily prudent person in a like position would exercise under similar circumstances, and in a manner the director reasonably believes to be in the best interests of the Company, all based on the facts then known to the director. In discharging his or her duties, a director is entitled to rely on information, opinions, reports, or statements, including financial statements and other financial data, if prepared or presented by: (i) one or more officers or employees of the Company whom the director reasonably believes to be reliable and competent in the matters presented; (ii) legal counsel, public accountants, or other persons as to matters the director reasonably believes are within such person’s professional or expert competence; or</w:t>
      </w:r>
    </w:p>
    <w:p>
      <w:pPr>
        <w:spacing w:after="0" w:line="5" w:lineRule="exact"/>
        <w:rPr>
          <w:sz w:val="20"/>
          <w:szCs w:val="20"/>
          <w:color w:val="auto"/>
        </w:rPr>
      </w:pPr>
    </w:p>
    <w:p>
      <w:pPr>
        <w:ind w:left="1260" w:right="419"/>
        <w:spacing w:after="0" w:line="252" w:lineRule="auto"/>
        <w:tabs>
          <w:tab w:leader="none" w:pos="15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of the board of directors of which the director is not a member if the director reasonably believes the committee merits confidence (but a director is not acting in good faith if the director has knowledge concerning the matter in question that makes reliance otherwise permitted by this paragraph unwarranted). The articles of incorporation further provide that a director shall not be liable for any action taken as a director, or any failure to take any action, unless (x) the director has breached or failed to perform the duties of the director’s office in compliance with the preceding provisions of this paragraph; and (y) the breach or failure to perform constitutes willful misconduct or recklessness.</w:t>
      </w:r>
    </w:p>
    <w:p>
      <w:pPr>
        <w:spacing w:after="0" w:line="12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limited partnership agreement of the Operating Partnership provides for indemnification of the officers and directors of each general partner of the Operating Partnership to the same extent indemnification is provided to officers and directors of the Company in its articles of incorporation, and limits the liability of such general partners and their officers and directors to the Operating Partnership and their partners to the same extent liability of officers and directors of the Company to the Company and its stockholders is limited under the Company’s articles of incorporation.</w:t>
      </w:r>
    </w:p>
    <w:p>
      <w:pPr>
        <w:spacing w:after="0" w:line="10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officers. The indemnification agreements require, among other things, that the Company indemnify its directors and officers to the fullest extent permitted by law, and advance to the directors and officers all related expenses, subject to reimbursement if it is subsequently determined that indemnification is not permitted. The Company also must indemnify and advance all expenses incurred by directors and officers seeking to enforce their rights under the indemnification agreements, and cover each director and officer if the Company obtains directors’ and officers’ liability insurance.</w:t>
      </w:r>
    </w:p>
    <w:p>
      <w:pPr>
        <w:spacing w:after="0" w:line="121"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addition, the Company has a directors’ and officers’ liability and company reimbursement policy that insures against certain liabilities, including liabilities under the Securities Act, subject to applicable retentions.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ectPr>
          <w:pgSz w:w="11900" w:h="16838" w:orient="portrait"/>
          <w:cols w:equalWidth="0" w:num="1">
            <w:col w:w="9879"/>
          </w:cols>
          <w:pgMar w:left="580" w:top="97" w:right="1440" w:bottom="1440" w:gutter="0" w:footer="0" w:header="0"/>
        </w:sectPr>
      </w:pPr>
    </w:p>
    <w:p>
      <w:pPr>
        <w:spacing w:after="0" w:line="2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b w:val="1"/>
          <w:bCs w:val="1"/>
          <w:color w:val="auto"/>
        </w:rPr>
        <w:t>Exhibit</w:t>
      </w:r>
    </w:p>
    <w:p>
      <w:pPr>
        <w:ind w:left="1420" w:hanging="160"/>
        <w:spacing w:after="0" w:line="183" w:lineRule="auto"/>
        <w:tabs>
          <w:tab w:leader="none" w:pos="1420" w:val="left"/>
        </w:tabs>
        <w:numPr>
          <w:ilvl w:val="0"/>
          <w:numId w:val="78"/>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2"/>
          <w:szCs w:val="12"/>
          <w:b w:val="1"/>
          <w:bCs w:val="1"/>
          <w:color w:val="auto"/>
        </w:rPr>
        <w:t>No.</w:t>
      </w:r>
    </w:p>
    <w:p>
      <w:pPr>
        <w:spacing w:after="0" w:line="28" w:lineRule="exact"/>
        <w:rPr>
          <w:rFonts w:ascii="Times New Roman" w:cs="Times New Roman" w:eastAsia="Times New Roman" w:hAnsi="Times New Roman"/>
          <w:sz w:val="23"/>
          <w:szCs w:val="23"/>
          <w:b w:val="1"/>
          <w:bCs w:val="1"/>
          <w:color w:val="auto"/>
          <w:vertAlign w:val="subscript"/>
        </w:rPr>
      </w:pPr>
    </w:p>
    <w:p>
      <w:pPr>
        <w:ind w:left="1360" w:hanging="100"/>
        <w:spacing w:after="0" w:line="185" w:lineRule="auto"/>
        <w:tabs>
          <w:tab w:leader="none" w:pos="136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color w:val="auto"/>
        </w:rPr>
        <w:t>1.1*</w:t>
      </w:r>
    </w:p>
    <w:p>
      <w:pPr>
        <w:spacing w:after="0" w:line="69" w:lineRule="exact"/>
        <w:rPr>
          <w:rFonts w:ascii="Times New Roman" w:cs="Times New Roman" w:eastAsia="Times New Roman" w:hAnsi="Times New Roman"/>
          <w:sz w:val="30"/>
          <w:szCs w:val="30"/>
          <w:color w:val="auto"/>
          <w:vertAlign w:val="superscript"/>
        </w:rPr>
      </w:pPr>
    </w:p>
    <w:p>
      <w:pPr>
        <w:ind w:left="1360" w:hanging="100"/>
        <w:spacing w:after="0" w:line="186" w:lineRule="auto"/>
        <w:tabs>
          <w:tab w:leader="none" w:pos="1360" w:val="left"/>
        </w:tabs>
        <w:numPr>
          <w:ilvl w:val="0"/>
          <w:numId w:val="7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1.2*</w:t>
      </w:r>
    </w:p>
    <w:p>
      <w:pPr>
        <w:spacing w:after="0" w:line="56" w:lineRule="exact"/>
        <w:rPr>
          <w:rFonts w:ascii="Times New Roman" w:cs="Times New Roman" w:eastAsia="Times New Roman" w:hAnsi="Times New Roman"/>
          <w:sz w:val="24"/>
          <w:szCs w:val="24"/>
          <w:color w:val="auto"/>
          <w:vertAlign w:val="superscript"/>
        </w:rPr>
      </w:pPr>
    </w:p>
    <w:p>
      <w:pPr>
        <w:ind w:left="1360" w:hanging="100"/>
        <w:spacing w:after="0"/>
        <w:tabs>
          <w:tab w:leader="none" w:pos="1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86"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306"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-1156335</wp:posOffset>
            </wp:positionV>
            <wp:extent cx="325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7"/>
        <w:spacing w:after="0"/>
        <w:tabs>
          <w:tab w:leader="none" w:pos="3286"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36195</wp:posOffset>
            </wp:positionV>
            <wp:extent cx="4740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ind w:left="107" w:hanging="107"/>
        <w:spacing w:after="0" w:line="229" w:lineRule="auto"/>
        <w:tabs>
          <w:tab w:leader="none" w:pos="107" w:val="left"/>
        </w:tabs>
        <w:numPr>
          <w:ilvl w:val="0"/>
          <w:numId w:val="7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Form of underwriting or purchase agreement for equity securities.</w:t>
      </w:r>
    </w:p>
    <w:p>
      <w:pPr>
        <w:spacing w:after="0" w:line="1" w:lineRule="exact"/>
        <w:rPr>
          <w:rFonts w:ascii="Times New Roman" w:cs="Times New Roman" w:eastAsia="Times New Roman" w:hAnsi="Times New Roman"/>
          <w:sz w:val="36"/>
          <w:szCs w:val="36"/>
          <w:color w:val="auto"/>
          <w:vertAlign w:val="superscript"/>
        </w:rPr>
      </w:pPr>
    </w:p>
    <w:p>
      <w:pPr>
        <w:ind w:left="107" w:hanging="107"/>
        <w:spacing w:after="0" w:line="181" w:lineRule="auto"/>
        <w:tabs>
          <w:tab w:leader="none" w:pos="107" w:val="left"/>
        </w:tabs>
        <w:numPr>
          <w:ilvl w:val="0"/>
          <w:numId w:val="7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Form of underwriting or purchase agreement for debt securities.</w:t>
      </w:r>
    </w:p>
    <w:p>
      <w:pPr>
        <w:spacing w:after="0" w:line="1" w:lineRule="exact"/>
        <w:rPr>
          <w:rFonts w:ascii="Times New Roman" w:cs="Times New Roman" w:eastAsia="Times New Roman" w:hAnsi="Times New Roman"/>
          <w:sz w:val="31"/>
          <w:szCs w:val="31"/>
          <w:color w:val="auto"/>
          <w:vertAlign w:val="superscript"/>
        </w:rPr>
      </w:pPr>
    </w:p>
    <w:p>
      <w:pPr>
        <w:ind w:left="207" w:right="220" w:hanging="207"/>
        <w:spacing w:after="0" w:line="258" w:lineRule="auto"/>
        <w:tabs>
          <w:tab w:leader="none" w:pos="99" w:val="left"/>
        </w:tabs>
        <w:numPr>
          <w:ilvl w:val="0"/>
          <w:numId w:val="7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Plan of Conversion of Simon Property Group, Inc. (incorporated by reference to Exhibit 2.1 of</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Simon Property Group, Inc.’s and Simon Property Group, L.P.’s Form 8-K filed May 15, 2025).</w:t>
        </w:r>
      </w:hyperlink>
    </w:p>
    <w:p>
      <w:pPr>
        <w:spacing w:after="0" w:line="20" w:lineRule="exact"/>
        <w:rPr>
          <w:rFonts w:ascii="Times New Roman" w:cs="Times New Roman" w:eastAsia="Times New Roman" w:hAnsi="Times New Roman"/>
          <w:sz w:val="18"/>
          <w:szCs w:val="18"/>
          <w:u w:val="single" w:color="auto"/>
          <w:color w:val="0000EE"/>
        </w:rPr>
      </w:pPr>
    </w:p>
    <w:p>
      <w:pPr>
        <w:ind w:left="207" w:right="220" w:hanging="207"/>
        <w:spacing w:after="0" w:line="297" w:lineRule="auto"/>
        <w:tabs>
          <w:tab w:leader="none" w:pos="99" w:val="left"/>
        </w:tabs>
        <w:numPr>
          <w:ilvl w:val="0"/>
          <w:numId w:val="7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EE"/>
          </w:rPr>
          <w:t>Plan of Conversion of Simon Property Group, L.P. (incorporated by reference to Exhibit 2.2 of</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EE"/>
          </w:rPr>
          <w:t>Simon Property Group, Inc.’s and Simon Property Group, L.P.’s Form 8-K filed May 15, 2025).</w:t>
        </w:r>
      </w:hyperlink>
    </w:p>
    <w:p>
      <w:pPr>
        <w:jc w:val="right"/>
        <w:ind w:left="207" w:hanging="207"/>
        <w:spacing w:after="0" w:line="313" w:lineRule="auto"/>
        <w:tabs>
          <w:tab w:leader="none" w:pos="99" w:val="left"/>
        </w:tabs>
        <w:numPr>
          <w:ilvl w:val="0"/>
          <w:numId w:val="7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EE"/>
          </w:rPr>
          <w:t>Articles of Incorporation of Simon Property Group, Inc. (incorporated by reference to Exhibit 3.1</w:t>
        </w:r>
      </w:hyperlink>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EE"/>
          </w:rPr>
          <w:t>of Simon Property Group, Inc.’s and Simon Property Group, L.P.’s Form 8-K filed May 15, 2025).</w:t>
        </w:r>
      </w:hyperlink>
    </w:p>
    <w:p>
      <w:pPr>
        <w:spacing w:after="0" w:line="378" w:lineRule="exact"/>
        <w:rPr>
          <w:rFonts w:ascii="Times New Roman" w:cs="Times New Roman" w:eastAsia="Times New Roman" w:hAnsi="Times New Roman"/>
          <w:sz w:val="18"/>
          <w:szCs w:val="18"/>
          <w:color w:val="auto"/>
        </w:rPr>
      </w:pPr>
    </w:p>
    <w:p>
      <w:pPr>
        <w:ind w:left="3427"/>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-1135380</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1720" w:space="53"/>
            <w:col w:w="7647" w:space="40"/>
            <w:col w:w="41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14"/>
        </w:trPr>
        <w:tc>
          <w:tcPr>
            <w:tcW w:w="520" w:type="dxa"/>
            <w:vAlign w:val="bottom"/>
            <w:tcBorders>
              <w:bottom w:val="single" w:sz="8" w:color="auto"/>
            </w:tcBorders>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480" w:type="dxa"/>
            <w:vAlign w:val="bottom"/>
            <w:tcBorders>
              <w:bottom w:val="single" w:sz="8" w:color="auto"/>
            </w:tcBorders>
            <w:gridSpan w:val="2"/>
          </w:tcPr>
          <w:p>
            <w:pPr>
              <w:ind w:left="3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4.2</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71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Certificate of Powers, Designations, Preferences and Rights of the 8 3∕8% Series J Cumulative</w:t>
              </w:r>
            </w:hyperlink>
          </w:p>
        </w:tc>
        <w:tc>
          <w:tcPr>
            <w:tcW w:w="340" w:type="dxa"/>
            <w:vAlign w:val="bottom"/>
          </w:tcPr>
          <w:p>
            <w:pPr>
              <w:spacing w:after="0"/>
              <w:rPr>
                <w:sz w:val="17"/>
                <w:szCs w:val="17"/>
                <w:color w:val="auto"/>
              </w:rPr>
            </w:pPr>
          </w:p>
        </w:tc>
      </w:tr>
    </w:tbl>
    <w:p>
      <w:pPr>
        <w:spacing w:after="0" w:line="9" w:lineRule="exact"/>
        <w:rPr>
          <w:sz w:val="20"/>
          <w:szCs w:val="20"/>
          <w:color w:val="auto"/>
        </w:rPr>
      </w:pPr>
    </w:p>
    <w:p>
      <w:pPr>
        <w:ind w:left="1980" w:right="220"/>
        <w:spacing w:after="0" w:line="261" w:lineRule="auto"/>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Redeemable Preferred Stock, $0.0001 Par Value (incorporated by reference to Exhibit 3.2 of the</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Current Report on Form 8-K filed by Simon Property Group, Inc. on October 20, 2004).</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78"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6"/>
        </w:trPr>
        <w:tc>
          <w:tcPr>
            <w:tcW w:w="7520" w:type="dxa"/>
            <w:vAlign w:val="bottom"/>
            <w:gridSpan w:val="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4.3  ​ ​ </w:t>
            </w:r>
            <w:hyperlink r:id="rId126">
              <w:r>
                <w:rPr>
                  <w:rFonts w:ascii="Times New Roman" w:cs="Times New Roman" w:eastAsia="Times New Roman" w:hAnsi="Times New Roman"/>
                  <w:sz w:val="18"/>
                  <w:szCs w:val="18"/>
                  <w:color w:val="0000EE"/>
                </w:rPr>
                <w:t>Bylaws of Simon Property Group, Inc. (incorporated by reference to Exhibit 3.2 of Simon</w:t>
              </w:r>
            </w:hyperlink>
          </w:p>
        </w:tc>
        <w:tc>
          <w:tcPr>
            <w:tcW w:w="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20" w:type="dxa"/>
            <w:vAlign w:val="bottom"/>
          </w:tcPr>
          <w:p>
            <w:pPr>
              <w:spacing w:after="0"/>
              <w:rPr>
                <w:sz w:val="17"/>
                <w:szCs w:val="17"/>
                <w:color w:val="auto"/>
              </w:rPr>
            </w:pPr>
          </w:p>
        </w:tc>
        <w:tc>
          <w:tcPr>
            <w:tcW w:w="6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Property Group, Inc.’s and Simon Property Group, L.P.’s Form 8-K filed May 15, 2025).</w:t>
              </w:r>
            </w:hyperlink>
          </w:p>
        </w:tc>
        <w:tc>
          <w:tcPr>
            <w:tcW w:w="10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r>
    </w:tbl>
    <w:p>
      <w:pPr>
        <w:spacing w:after="0" w:line="22"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7" w:lineRule="exact"/>
        <w:rPr>
          <w:sz w:val="20"/>
          <w:szCs w:val="20"/>
          <w:color w:val="auto"/>
        </w:rPr>
      </w:pPr>
    </w:p>
    <w:p>
      <w:pPr>
        <w:ind w:left="1360" w:hanging="100"/>
        <w:spacing w:after="0"/>
        <w:tabs>
          <w:tab w:leader="none" w:pos="13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w:t>
      </w: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br w:type="column"/>
      </w:r>
    </w:p>
    <w:p>
      <w:pPr>
        <w:ind w:left="200" w:right="379" w:hanging="215"/>
        <w:spacing w:after="0" w:line="267"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127">
        <w:r>
          <w:rPr>
            <w:rFonts w:ascii="Times New Roman" w:cs="Times New Roman" w:eastAsia="Times New Roman" w:hAnsi="Times New Roman"/>
            <w:sz w:val="18"/>
            <w:szCs w:val="18"/>
            <w:u w:val="single" w:color="auto"/>
            <w:color w:val="0000EE"/>
          </w:rPr>
          <w:t>Ninth Amended and Restated Limited Partnership Agreement of Simon Property Group, L.P. dated</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EE"/>
          </w:rPr>
          <w:t>as of May 15, 2025 (incorporated by reference to Exhibit 3.4 of Simon Property Group, Inc.’s and</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Simon Property Group, L.P.’s Form 8-K filed May 15, 2025).</w:t>
        </w:r>
      </w:hyperlink>
    </w:p>
    <w:p>
      <w:pPr>
        <w:spacing w:after="0" w:line="3"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8">
              <w:r>
                <w:rPr>
                  <w:rFonts w:ascii="Times New Roman" w:cs="Times New Roman" w:eastAsia="Times New Roman" w:hAnsi="Times New Roman"/>
                  <w:sz w:val="18"/>
                  <w:szCs w:val="18"/>
                  <w:color w:val="0000EE"/>
                </w:rPr>
                <w:t>Certificate of Limited Partnership of Simon Property Group, L.P. (incorporated by reference to</w:t>
              </w:r>
            </w:hyperlink>
          </w:p>
        </w:tc>
        <w:tc>
          <w:tcPr>
            <w:tcW w:w="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Exhibit 3.3 of Simon Property Group, Inc.’s and Simon Property Group, L.P.’s Form 8-K filed</w:t>
              </w:r>
            </w:hyperlink>
          </w:p>
        </w:tc>
        <w:tc>
          <w:tcPr>
            <w:tcW w:w="4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7160" w:type="dxa"/>
            <w:vAlign w:val="bottom"/>
            <w:gridSpan w:val="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May 15, 2025).</w:t>
              </w:r>
            </w:hyperlink>
          </w:p>
        </w:tc>
        <w:tc>
          <w:tcPr>
            <w:tcW w:w="3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2">
            <w:col w:w="1580" w:space="200"/>
            <w:col w:w="80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760" w:type="dxa"/>
            <w:vAlign w:val="bottom"/>
            <w:gridSpan w:val="8"/>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29">
              <w:r>
                <w:rPr>
                  <w:rFonts w:ascii="Times New Roman" w:cs="Times New Roman" w:eastAsia="Times New Roman" w:hAnsi="Times New Roman"/>
                  <w:sz w:val="18"/>
                  <w:szCs w:val="18"/>
                  <w:color w:val="0000EE"/>
                </w:rPr>
                <w:t>Registration Rights Agreement, dated as of September 24, 1998, by and among Simon Property</w:t>
              </w:r>
            </w:hyperlink>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Group, Inc. and the persons named therein (incorporated by reference to Exhibit 4.4 of the Current</w:t>
              </w:r>
            </w:hyperlink>
          </w:p>
        </w:tc>
        <w:tc>
          <w:tcPr>
            <w:tcW w:w="6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Report on Form 8-K filed by Simon Property Group, Inc. on October 9, 1998).</w:t>
              </w:r>
            </w:hyperlink>
          </w:p>
        </w:tc>
        <w:tc>
          <w:tcPr>
            <w:tcW w:w="152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7760" w:type="dxa"/>
            <w:vAlign w:val="bottom"/>
            <w:gridSpan w:val="8"/>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30">
              <w:r>
                <w:rPr>
                  <w:rFonts w:ascii="Times New Roman" w:cs="Times New Roman" w:eastAsia="Times New Roman" w:hAnsi="Times New Roman"/>
                  <w:sz w:val="18"/>
                  <w:szCs w:val="18"/>
                  <w:color w:val="0000EE"/>
                </w:rPr>
                <w:t>Registration Rights Agreement, dated as of August 27, 1999, by and among Simon Property</w:t>
              </w:r>
            </w:hyperlink>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Group, Inc. and the persons named therein (incorporated by reference to Exhibit 4.4 to the</w:t>
              </w:r>
            </w:hyperlink>
          </w:p>
        </w:tc>
        <w:tc>
          <w:tcPr>
            <w:tcW w:w="140" w:type="dxa"/>
            <w:vAlign w:val="bottom"/>
            <w:tcBorders>
              <w:top w:val="single" w:sz="8" w:color="0000EE"/>
            </w:tcBorders>
          </w:tcPr>
          <w:p>
            <w:pPr>
              <w:spacing w:after="0"/>
              <w:rPr>
                <w:sz w:val="17"/>
                <w:szCs w:val="17"/>
                <w:color w:val="auto"/>
              </w:rPr>
            </w:pPr>
          </w:p>
        </w:tc>
        <w:tc>
          <w:tcPr>
            <w:tcW w:w="50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7"/>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Registration Statement on Form S-3 filed by Simon Property Group, Inc. on March 24, 2004 (Reg.</w:t>
              </w:r>
            </w:hyperlink>
          </w:p>
        </w:tc>
        <w:tc>
          <w:tcPr>
            <w:tcW w:w="6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No. 333-113884)).</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ind w:left="1780" w:right="40" w:hanging="728"/>
        <w:spacing w:after="0" w:line="263" w:lineRule="auto"/>
        <w:tabs>
          <w:tab w:leader="none" w:pos="1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4.8</w:t>
        <w:tab/>
        <w:t xml:space="preserve">​ ​ </w:t>
      </w:r>
      <w:hyperlink r:id="rId131">
        <w:r>
          <w:rPr>
            <w:rFonts w:ascii="Times New Roman" w:cs="Times New Roman" w:eastAsia="Times New Roman" w:hAnsi="Times New Roman"/>
            <w:sz w:val="18"/>
            <w:szCs w:val="18"/>
            <w:u w:val="single" w:color="auto"/>
            <w:color w:val="0000EE"/>
          </w:rPr>
          <w:t>Registration Rights Agreement, dated as of November 14, 1997 by and between O’Connor Retail</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EE"/>
          </w:rPr>
          <w:t>Partners, L.P. and Simon DeBartolo Group, Inc. (incorporated by reference to Exhibit 4.8 to the</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Registration Statement on Form S-3 filed by Simon Property Group, Inc. on December 7, 2001</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(Reg. No. 333-74722)).</w:t>
        </w:r>
      </w:hyperlink>
    </w:p>
    <w:p>
      <w:pPr>
        <w:ind w:left="1360" w:hanging="100"/>
        <w:spacing w:after="0" w:line="182" w:lineRule="auto"/>
        <w:tabs>
          <w:tab w:leader="none" w:pos="1360" w:val="left"/>
        </w:tabs>
        <w:numPr>
          <w:ilvl w:val="0"/>
          <w:numId w:val="8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Form of Designation for Preferred Stock.</w:t>
      </w:r>
    </w:p>
    <w:p>
      <w:pPr>
        <w:ind w:left="1360" w:hanging="100"/>
        <w:spacing w:after="0" w:line="184" w:lineRule="auto"/>
        <w:tabs>
          <w:tab w:leader="none" w:pos="136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4.10*</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Form of Preferred Stock Certificate.</w:t>
      </w:r>
    </w:p>
    <w:p>
      <w:pPr>
        <w:ind w:left="1360" w:hanging="100"/>
        <w:spacing w:after="0" w:line="184" w:lineRule="auto"/>
        <w:tabs>
          <w:tab w:leader="none" w:pos="136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4.11*</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Form of Warrant Agreement.</w:t>
      </w:r>
    </w:p>
    <w:p>
      <w:pPr>
        <w:ind w:left="1360" w:hanging="100"/>
        <w:spacing w:after="0" w:line="184" w:lineRule="auto"/>
        <w:tabs>
          <w:tab w:leader="none" w:pos="1360" w:val="left"/>
        </w:tabs>
        <w:numPr>
          <w:ilvl w:val="0"/>
          <w:numId w:val="8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4.12*</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Form of Warrant Certificate.</w:t>
      </w:r>
    </w:p>
    <w:p>
      <w:pPr>
        <w:ind w:left="1360" w:hanging="100"/>
        <w:spacing w:after="0" w:line="181" w:lineRule="auto"/>
        <w:tabs>
          <w:tab w:leader="none" w:pos="1360" w:val="left"/>
        </w:tabs>
        <w:numPr>
          <w:ilvl w:val="0"/>
          <w:numId w:val="8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4.13*</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xml:space="preserve"> Form of Deposit Agreement.</w:t>
      </w:r>
    </w:p>
    <w:p>
      <w:pPr>
        <w:ind w:left="1980" w:hanging="720"/>
        <w:spacing w:after="0" w:line="250" w:lineRule="auto"/>
        <w:tabs>
          <w:tab w:leader="none" w:pos="1341" w:val="left"/>
        </w:tabs>
        <w:numPr>
          <w:ilvl w:val="0"/>
          <w:numId w:val="8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4.14 ​ ​ </w:t>
      </w:r>
      <w:hyperlink r:id="rId132">
        <w:r>
          <w:rPr>
            <w:rFonts w:ascii="Times New Roman" w:cs="Times New Roman" w:eastAsia="Times New Roman" w:hAnsi="Times New Roman"/>
            <w:sz w:val="18"/>
            <w:szCs w:val="18"/>
            <w:u w:val="single" w:color="auto"/>
            <w:color w:val="0000EE"/>
          </w:rPr>
          <w:t>Indenture dated November 26, 1996, by and among Simon Property Group, L.P. and The Bank of</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EE"/>
          </w:rPr>
          <w:t>New York Mellon Trust Company, N.A. (as successor to The Chase Manhattan Bank), as trustee,</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and other persons (incorporated by reference to the form of this document filed as Exhibit 4.1 to</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the Registration Statement on Form S-3 filed by Simon Property Group, L.P. on October 21, 1996</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(Reg. No. 333-11491)).</w:t>
        </w:r>
      </w:hyperlink>
    </w:p>
    <w:tbl>
      <w:tblPr>
        <w:tblLayout w:type="fixed"/>
        <w:tblInd w:w="1260" w:type="dxa"/>
        <w:tblCellMar>
          <w:top w:w="0" w:type="dxa"/>
          <w:left w:w="0" w:type="dxa"/>
          <w:bottom w:w="0" w:type="dxa"/>
          <w:right w:w="0" w:type="dxa"/>
        </w:tblCellMar>
      </w:tblPr>
      <w:tr>
        <w:trPr>
          <w:trHeight w:val="230"/>
        </w:trPr>
        <w:tc>
          <w:tcPr>
            <w:tcW w:w="440" w:type="dxa"/>
            <w:vAlign w:val="bottom"/>
          </w:tcPr>
          <w:p>
            <w:pPr>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 5.1</w:t>
            </w:r>
          </w:p>
        </w:tc>
        <w:tc>
          <w:tcPr>
            <w:tcW w:w="7360" w:type="dxa"/>
            <w:vAlign w:val="bottom"/>
            <w:gridSpan w:val="14"/>
          </w:tcPr>
          <w:p>
            <w:pPr>
              <w:ind w:left="80"/>
              <w:spacing w:after="0" w:line="230" w:lineRule="exact"/>
              <w:rPr>
                <w:sz w:val="20"/>
                <w:szCs w:val="20"/>
                <w:color w:val="auto"/>
              </w:rPr>
            </w:pPr>
            <w:r>
              <w:rPr>
                <w:rFonts w:ascii="Times New Roman" w:cs="Times New Roman" w:eastAsia="Times New Roman" w:hAnsi="Times New Roman"/>
                <w:sz w:val="26"/>
                <w:szCs w:val="26"/>
                <w:color w:val="000000"/>
                <w:vertAlign w:val="superscript"/>
              </w:rPr>
              <w:t>​ ​</w:t>
            </w:r>
            <w:r>
              <w:rPr>
                <w:rFonts w:ascii="Times New Roman" w:cs="Times New Roman" w:eastAsia="Times New Roman" w:hAnsi="Times New Roman"/>
                <w:sz w:val="15"/>
                <w:szCs w:val="15"/>
                <w:color w:val="0000EE"/>
              </w:rPr>
              <w:t xml:space="preserve"> Opinion of Latham &amp; Watkins LLP.</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5.2</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Barnes &amp; Thornburg LLP.</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8.1</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5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Tax Opinion of Latham &amp; Watkins LLP regarding REIT qualification.</w:t>
            </w:r>
          </w:p>
        </w:tc>
        <w:tc>
          <w:tcPr>
            <w:tcW w:w="17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4660" w:type="dxa"/>
            <w:vAlign w:val="bottom"/>
            <w:gridSpan w:val="1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23.1</w:t>
            </w:r>
          </w:p>
        </w:tc>
        <w:tc>
          <w:tcPr>
            <w:tcW w:w="280" w:type="dxa"/>
            <w:vAlign w:val="bottom"/>
          </w:tcPr>
          <w:p>
            <w:pPr>
              <w:spacing w:after="0"/>
              <w:rPr>
                <w:sz w:val="5"/>
                <w:szCs w:val="5"/>
                <w:color w:val="auto"/>
              </w:rPr>
            </w:pPr>
          </w:p>
        </w:tc>
        <w:tc>
          <w:tcPr>
            <w:tcW w:w="2420" w:type="dxa"/>
            <w:vAlign w:val="bottom"/>
            <w:tcBorders>
              <w:bottom w:val="single" w:sz="8" w:color="0000EE"/>
            </w:tcBorders>
            <w:vMerge w:val="continue"/>
          </w:tcPr>
          <w:p>
            <w:pPr>
              <w:spacing w:after="0"/>
              <w:rPr>
                <w:sz w:val="5"/>
                <w:szCs w:val="5"/>
                <w:color w:val="auto"/>
              </w:rPr>
            </w:pPr>
          </w:p>
        </w:tc>
        <w:tc>
          <w:tcPr>
            <w:tcW w:w="46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rPr>
              <w:t xml:space="preserve">Consent of Latham &amp; Watkins LLP (contained in their opinions filed as Exhibits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23.2</w:t>
            </w:r>
          </w:p>
        </w:tc>
        <w:tc>
          <w:tcPr>
            <w:tcW w:w="280" w:type="dxa"/>
            <w:vAlign w:val="bottom"/>
          </w:tcPr>
          <w:p>
            <w:pPr>
              <w:spacing w:after="0"/>
              <w:rPr>
                <w:sz w:val="5"/>
                <w:szCs w:val="5"/>
                <w:color w:val="auto"/>
              </w:rPr>
            </w:pPr>
          </w:p>
        </w:tc>
        <w:tc>
          <w:tcPr>
            <w:tcW w:w="708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0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rPr>
              <w:t xml:space="preserve">Consent of Barnes &amp; Thornburg LLP (contained in their opinions filed as </w:t>
            </w:r>
            <w:r>
              <w:rPr>
                <w:rFonts w:ascii="Times New Roman" w:cs="Times New Roman" w:eastAsia="Times New Roman" w:hAnsi="Times New Roman"/>
                <w:sz w:val="18"/>
                <w:szCs w:val="18"/>
                <w:color w:val="0000EE"/>
              </w:rPr>
              <w:t>Exhibit 5.2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23.3</w:t>
            </w:r>
          </w:p>
        </w:tc>
        <w:tc>
          <w:tcPr>
            <w:tcW w:w="280" w:type="dxa"/>
            <w:vAlign w:val="bottom"/>
          </w:tcPr>
          <w:p>
            <w:pPr>
              <w:spacing w:after="0"/>
              <w:rPr>
                <w:sz w:val="5"/>
                <w:szCs w:val="5"/>
                <w:color w:val="auto"/>
              </w:rPr>
            </w:pPr>
          </w:p>
        </w:tc>
        <w:tc>
          <w:tcPr>
            <w:tcW w:w="708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gridSpan w:val="5"/>
            <w:vMerge w:val="restart"/>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Power of Attorney (included on the Signature Page).</w:t>
              </w:r>
            </w:hyperlink>
          </w:p>
        </w:tc>
        <w:tc>
          <w:tcPr>
            <w:tcW w:w="1620" w:type="dxa"/>
            <w:vAlign w:val="bottom"/>
            <w:gridSpan w:val="2"/>
            <w:vMerge w:val="restart"/>
          </w:tcPr>
          <w:p>
            <w:pPr>
              <w:spacing w:after="0"/>
              <w:rPr>
                <w:sz w:val="14"/>
                <w:szCs w:val="14"/>
                <w:color w:val="auto"/>
              </w:rPr>
            </w:pPr>
          </w:p>
        </w:tc>
        <w:tc>
          <w:tcPr>
            <w:tcW w:w="840" w:type="dxa"/>
            <w:vAlign w:val="bottom"/>
            <w:tcBorders>
              <w:top w:val="single" w:sz="8" w:color="0000EE"/>
            </w:tcBorders>
            <w:gridSpan w:val="3"/>
            <w:vMerge w:val="restart"/>
          </w:tcPr>
          <w:p>
            <w:pPr>
              <w:spacing w:after="0"/>
              <w:rPr>
                <w:sz w:val="14"/>
                <w:szCs w:val="14"/>
                <w:color w:val="auto"/>
              </w:rPr>
            </w:pPr>
          </w:p>
        </w:tc>
        <w:tc>
          <w:tcPr>
            <w:tcW w:w="64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24</w:t>
            </w:r>
          </w:p>
        </w:tc>
        <w:tc>
          <w:tcPr>
            <w:tcW w:w="280" w:type="dxa"/>
            <w:vAlign w:val="bottom"/>
          </w:tcPr>
          <w:p>
            <w:pPr>
              <w:spacing w:after="0"/>
              <w:rPr>
                <w:sz w:val="5"/>
                <w:szCs w:val="5"/>
                <w:color w:val="auto"/>
              </w:rPr>
            </w:pPr>
          </w:p>
        </w:tc>
        <w:tc>
          <w:tcPr>
            <w:tcW w:w="3980" w:type="dxa"/>
            <w:vAlign w:val="bottom"/>
            <w:tcBorders>
              <w:bottom w:val="single" w:sz="8" w:color="0000EE"/>
            </w:tcBorders>
            <w:gridSpan w:val="5"/>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3640" w:type="dxa"/>
            <w:vAlign w:val="bottom"/>
            <w:gridSpan w:val="4"/>
            <w:vMerge w:val="restart"/>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Statement of Eligibility of Trustee on Form T-1.</w:t>
              </w:r>
            </w:hyperlink>
          </w:p>
        </w:tc>
        <w:tc>
          <w:tcPr>
            <w:tcW w:w="3440" w:type="dxa"/>
            <w:vAlign w:val="bottom"/>
            <w:gridSpan w:val="9"/>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25+</w:t>
            </w:r>
          </w:p>
        </w:tc>
        <w:tc>
          <w:tcPr>
            <w:tcW w:w="280" w:type="dxa"/>
            <w:vAlign w:val="bottom"/>
          </w:tcPr>
          <w:p>
            <w:pPr>
              <w:spacing w:after="0"/>
              <w:rPr>
                <w:sz w:val="5"/>
                <w:szCs w:val="5"/>
                <w:color w:val="auto"/>
              </w:rPr>
            </w:pPr>
          </w:p>
        </w:tc>
        <w:tc>
          <w:tcPr>
            <w:tcW w:w="3640" w:type="dxa"/>
            <w:vAlign w:val="bottom"/>
            <w:tcBorders>
              <w:bottom w:val="single" w:sz="8" w:color="0000EE"/>
            </w:tcBorders>
            <w:gridSpan w:val="4"/>
            <w:vMerge w:val="continue"/>
          </w:tcPr>
          <w:p>
            <w:pPr>
              <w:spacing w:after="0"/>
              <w:rPr>
                <w:sz w:val="5"/>
                <w:szCs w:val="5"/>
                <w:color w:val="auto"/>
              </w:rPr>
            </w:pPr>
          </w:p>
        </w:tc>
        <w:tc>
          <w:tcPr>
            <w:tcW w:w="34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2420" w:type="dxa"/>
            <w:vAlign w:val="bottom"/>
            <w:vMerge w:val="restart"/>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Calculation of Filing Fee Table.</w:t>
              </w:r>
            </w:hyperlink>
          </w:p>
        </w:tc>
        <w:tc>
          <w:tcPr>
            <w:tcW w:w="4660" w:type="dxa"/>
            <w:vAlign w:val="bottom"/>
            <w:gridSpan w:val="1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107+</w:t>
            </w:r>
          </w:p>
        </w:tc>
        <w:tc>
          <w:tcPr>
            <w:tcW w:w="280" w:type="dxa"/>
            <w:vAlign w:val="bottom"/>
          </w:tcPr>
          <w:p>
            <w:pPr>
              <w:spacing w:after="0"/>
              <w:rPr>
                <w:sz w:val="5"/>
                <w:szCs w:val="5"/>
                <w:color w:val="auto"/>
              </w:rPr>
            </w:pPr>
          </w:p>
        </w:tc>
        <w:tc>
          <w:tcPr>
            <w:tcW w:w="2420" w:type="dxa"/>
            <w:vAlign w:val="bottom"/>
            <w:tcBorders>
              <w:bottom w:val="single" w:sz="8" w:color="0000EE"/>
            </w:tcBorders>
            <w:vMerge w:val="continue"/>
          </w:tcPr>
          <w:p>
            <w:pPr>
              <w:spacing w:after="0"/>
              <w:rPr>
                <w:sz w:val="5"/>
                <w:szCs w:val="5"/>
                <w:color w:val="auto"/>
              </w:rPr>
            </w:pPr>
          </w:p>
        </w:tc>
        <w:tc>
          <w:tcPr>
            <w:tcW w:w="46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620" w:hanging="360"/>
        <w:spacing w:after="0"/>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77" w:lineRule="exact"/>
        <w:rPr>
          <w:sz w:val="20"/>
          <w:szCs w:val="20"/>
          <w:color w:val="auto"/>
        </w:rPr>
      </w:pPr>
    </w:p>
    <w:p>
      <w:pPr>
        <w:ind w:left="1620" w:right="120" w:hanging="360"/>
        <w:spacing w:after="0" w:line="282"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with a prospectus supplement or incorporated by reference from a Current Report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24" w:lineRule="exact"/>
        <w:rPr>
          <w:sz w:val="20"/>
          <w:szCs w:val="20"/>
          <w:color w:val="auto"/>
        </w:rPr>
      </w:pPr>
    </w:p>
    <w:p>
      <w:pPr>
        <w:sectPr>
          <w:pgSz w:w="11900" w:h="16838" w:orient="portrait"/>
          <w:cols w:equalWidth="0" w:num="2">
            <w:col w:w="9360" w:space="100"/>
            <w:col w:w="419"/>
          </w:cols>
          <w:pgMar w:left="580" w:top="97" w:right="1440" w:bottom="1440" w:gutter="0" w:footer="0" w:header="0"/>
          <w:type w:val="continuous"/>
        </w:sectPr>
      </w:pPr>
    </w:p>
    <w:p>
      <w:pPr>
        <w:spacing w:after="0" w:line="1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980" w:hanging="360"/>
        <w:spacing w:after="0"/>
        <w:tabs>
          <w:tab w:leader="none" w:pos="1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undersigned Registrant hereby undertakes:</w:t>
      </w:r>
    </w:p>
    <w:p>
      <w:pPr>
        <w:spacing w:after="0" w:line="157" w:lineRule="exact"/>
        <w:rPr>
          <w:rFonts w:ascii="Times New Roman" w:cs="Times New Roman" w:eastAsia="Times New Roman" w:hAnsi="Times New Roman"/>
          <w:sz w:val="18"/>
          <w:szCs w:val="18"/>
          <w:color w:val="auto"/>
        </w:rPr>
      </w:pPr>
    </w:p>
    <w:p>
      <w:pPr>
        <w:ind w:left="1620" w:right="1339" w:firstLine="360"/>
        <w:spacing w:after="0" w:line="282" w:lineRule="auto"/>
        <w:tabs>
          <w:tab w:leader="none" w:pos="234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ind w:left="1980" w:right="419" w:firstLine="360"/>
        <w:spacing w:after="0" w:line="261" w:lineRule="auto"/>
        <w:tabs>
          <w:tab w:leader="none" w:pos="2717"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12" w:lineRule="exact"/>
        <w:rPr>
          <w:rFonts w:ascii="Times New Roman" w:cs="Times New Roman" w:eastAsia="Times New Roman" w:hAnsi="Times New Roman"/>
          <w:sz w:val="18"/>
          <w:szCs w:val="18"/>
          <w:color w:val="auto"/>
        </w:rPr>
      </w:pPr>
    </w:p>
    <w:p>
      <w:pPr>
        <w:ind w:left="1980" w:right="419" w:firstLine="360"/>
        <w:spacing w:after="0" w:line="266" w:lineRule="auto"/>
        <w:tabs>
          <w:tab w:leader="none" w:pos="277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3" w:lineRule="exact"/>
        <w:rPr>
          <w:sz w:val="20"/>
          <w:szCs w:val="20"/>
          <w:color w:val="auto"/>
        </w:rPr>
      </w:pPr>
    </w:p>
    <w:p>
      <w:pPr>
        <w:ind w:left="1620" w:right="5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such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338" w:lineRule="exact"/>
        <w:rPr>
          <w:sz w:val="20"/>
          <w:szCs w:val="20"/>
          <w:color w:val="auto"/>
        </w:rPr>
      </w:pPr>
    </w:p>
    <w:p>
      <w:pPr>
        <w:ind w:left="1620" w:right="499" w:firstLine="360"/>
        <w:spacing w:after="0" w:line="261" w:lineRule="auto"/>
        <w:tabs>
          <w:tab w:leader="none" w:pos="23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620" w:right="739" w:firstLine="360"/>
        <w:spacing w:after="0" w:line="282" w:lineRule="auto"/>
        <w:tabs>
          <w:tab w:leader="none" w:pos="23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1" w:lineRule="exact"/>
        <w:rPr>
          <w:sz w:val="20"/>
          <w:szCs w:val="20"/>
          <w:color w:val="auto"/>
        </w:rPr>
      </w:pPr>
    </w:p>
    <w:p>
      <w:pPr>
        <w:ind w:left="1620" w:right="1139" w:firstLine="360"/>
        <w:spacing w:after="0" w:line="282" w:lineRule="auto"/>
        <w:tabs>
          <w:tab w:leader="none" w:pos="234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94" w:lineRule="exact"/>
        <w:rPr>
          <w:rFonts w:ascii="Times New Roman" w:cs="Times New Roman" w:eastAsia="Times New Roman" w:hAnsi="Times New Roman"/>
          <w:sz w:val="18"/>
          <w:szCs w:val="18"/>
          <w:color w:val="auto"/>
        </w:rPr>
      </w:pPr>
    </w:p>
    <w:p>
      <w:pPr>
        <w:ind w:left="1980" w:right="619" w:firstLine="360"/>
        <w:spacing w:after="0" w:line="266" w:lineRule="auto"/>
        <w:tabs>
          <w:tab w:leader="none" w:pos="266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such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1980" w:right="419" w:firstLine="360"/>
        <w:spacing w:after="0" w:line="252" w:lineRule="auto"/>
        <w:tabs>
          <w:tab w:leader="none" w:pos="27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it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effective date, supersede or modify any statement that was made in the registration statement or the prospectus that was part of the registration statement or made in any such document immediately prior to such effective date.</w:t>
      </w: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hanging="360"/>
        <w:spacing w:after="0"/>
        <w:tabs>
          <w:tab w:leader="none" w:pos="2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each Registrant under the Securities Act of</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to any purchaser in the initial distribution of the securities:</w:t>
      </w:r>
    </w:p>
    <w:p>
      <w:pPr>
        <w:spacing w:after="0" w:line="139" w:lineRule="exact"/>
        <w:rPr>
          <w:sz w:val="20"/>
          <w:szCs w:val="20"/>
          <w:color w:val="auto"/>
        </w:rPr>
      </w:pPr>
    </w:p>
    <w:p>
      <w:pPr>
        <w:ind w:left="1620" w:right="639" w:firstLine="360"/>
        <w:spacing w:after="0" w:line="258" w:lineRule="auto"/>
        <w:rPr>
          <w:sz w:val="20"/>
          <w:szCs w:val="20"/>
          <w:color w:val="auto"/>
        </w:rPr>
      </w:pPr>
      <w:r>
        <w:rPr>
          <w:rFonts w:ascii="Times New Roman" w:cs="Times New Roman" w:eastAsia="Times New Roman" w:hAnsi="Times New Roman"/>
          <w:sz w:val="18"/>
          <w:szCs w:val="18"/>
          <w:color w:val="auto"/>
        </w:rPr>
        <w:t>Such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to sell such securities to such purchaser:</w:t>
      </w:r>
    </w:p>
    <w:p>
      <w:pPr>
        <w:spacing w:after="0" w:line="116" w:lineRule="exact"/>
        <w:rPr>
          <w:sz w:val="20"/>
          <w:szCs w:val="20"/>
          <w:color w:val="auto"/>
        </w:rPr>
      </w:pPr>
    </w:p>
    <w:p>
      <w:pPr>
        <w:ind w:left="1980" w:right="579" w:firstLine="360"/>
        <w:spacing w:after="0" w:line="282" w:lineRule="auto"/>
        <w:tabs>
          <w:tab w:leader="none" w:pos="265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such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1980" w:right="799" w:firstLine="360"/>
        <w:spacing w:after="0" w:line="282" w:lineRule="auto"/>
        <w:tabs>
          <w:tab w:leader="none" w:pos="27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such undersigned Registrant or used or referred to by such undersigned Registrant;</w:t>
      </w:r>
    </w:p>
    <w:p>
      <w:pPr>
        <w:spacing w:after="0" w:line="94" w:lineRule="exact"/>
        <w:rPr>
          <w:rFonts w:ascii="Times New Roman" w:cs="Times New Roman" w:eastAsia="Times New Roman" w:hAnsi="Times New Roman"/>
          <w:sz w:val="18"/>
          <w:szCs w:val="18"/>
          <w:color w:val="auto"/>
        </w:rPr>
      </w:pPr>
    </w:p>
    <w:p>
      <w:pPr>
        <w:ind w:left="1980" w:right="579" w:firstLine="360"/>
        <w:spacing w:after="0" w:line="266" w:lineRule="auto"/>
        <w:tabs>
          <w:tab w:leader="none" w:pos="277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08" w:lineRule="exact"/>
        <w:rPr>
          <w:rFonts w:ascii="Times New Roman" w:cs="Times New Roman" w:eastAsia="Times New Roman" w:hAnsi="Times New Roman"/>
          <w:sz w:val="18"/>
          <w:szCs w:val="18"/>
          <w:color w:val="auto"/>
        </w:rPr>
      </w:pPr>
    </w:p>
    <w:p>
      <w:pPr>
        <w:ind w:left="1980" w:right="839" w:firstLine="360"/>
        <w:spacing w:after="0" w:line="282" w:lineRule="auto"/>
        <w:tabs>
          <w:tab w:leader="none" w:pos="27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such undersigned Registrant to the purchaser.</w:t>
      </w:r>
    </w:p>
    <w:p>
      <w:pPr>
        <w:spacing w:after="0" w:line="80" w:lineRule="exact"/>
        <w:rPr>
          <w:rFonts w:ascii="Times New Roman" w:cs="Times New Roman" w:eastAsia="Times New Roman" w:hAnsi="Times New Roman"/>
          <w:sz w:val="18"/>
          <w:szCs w:val="18"/>
          <w:color w:val="auto"/>
        </w:rPr>
      </w:pPr>
    </w:p>
    <w:p>
      <w:pPr>
        <w:ind w:left="1260" w:right="519" w:firstLine="360"/>
        <w:spacing w:after="0" w:line="255" w:lineRule="auto"/>
        <w:tabs>
          <w:tab w:leader="none" w:pos="198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undersigned Registrant hereby undertakes that, for the purposes of determining any liability under the Securities Act of 1933, each filing of such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1260" w:right="439" w:firstLine="360"/>
        <w:spacing w:after="0" w:line="253" w:lineRule="auto"/>
        <w:tabs>
          <w:tab w:leader="none" w:pos="19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a Registrant pursuant to the provisions described under Item 15 of this registration statement, or otherwise, such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such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each registrant certifies that it has reasonable grounds to believe that it meets all of the requirements for filing on Form S-3 and has duly caused this registration statement to be signed on its behalf by the undersigned, thereunto duly authorized, in the City of Indianapolis, State of Indiana, on January 6, 2026.</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34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 ​ SIMON PROPERTY GROUP,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David Simon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Simon,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SIMON PROPERTY GROUP, L.P.</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4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By: Simon Property Group, Inc., General Partner</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David Simon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Simon,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Each person whose signature appears below hereby authorizes David Simon, Brian J. McDade and Steven E. Fivel, or any of them, each with full power of substitution, to execute in the name and on behalf of such person any amendment to this Registration Statement, including post-effective amendments, and to file the same, with exhibits thereto, and other documents in connection therewith, making such changes in this Registration Statement as the Registrants deem appropriate.</w:t>
      </w:r>
    </w:p>
    <w:p>
      <w:pPr>
        <w:spacing w:after="0" w:line="105" w:lineRule="exact"/>
        <w:rPr>
          <w:sz w:val="20"/>
          <w:szCs w:val="20"/>
          <w:color w:val="auto"/>
        </w:rPr>
      </w:pPr>
    </w:p>
    <w:p>
      <w:pPr>
        <w:ind w:left="1260" w:right="479" w:firstLine="36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their respective capacities and on January 6, 2026.</w:t>
      </w:r>
    </w:p>
    <w:p>
      <w:pPr>
        <w:sectPr>
          <w:pgSz w:w="11900" w:h="16838" w:orient="portrait"/>
          <w:cols w:equalWidth="0" w:num="1">
            <w:col w:w="9879"/>
          </w:cols>
          <w:pgMar w:left="580" w:top="97" w:right="1440" w:bottom="1440" w:gutter="0" w:footer="0" w:header="0"/>
        </w:sectPr>
      </w:pPr>
    </w:p>
    <w:p>
      <w:pPr>
        <w:spacing w:after="0" w:line="17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1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600" w:type="dxa"/>
            <w:vAlign w:val="bottom"/>
          </w:tcPr>
          <w:p>
            <w:pPr>
              <w:spacing w:after="0"/>
              <w:rPr>
                <w:sz w:val="24"/>
                <w:szCs w:val="24"/>
                <w:color w:val="auto"/>
              </w:rPr>
            </w:pPr>
          </w:p>
        </w:tc>
        <w:tc>
          <w:tcPr>
            <w:tcW w:w="32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/s/ David Simon</w:t>
            </w:r>
          </w:p>
        </w:tc>
        <w:tc>
          <w:tcPr>
            <w:tcW w:w="2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of Directors, Chief</w:t>
            </w:r>
          </w:p>
        </w:tc>
        <w:tc>
          <w:tcPr>
            <w:tcW w:w="0" w:type="dxa"/>
            <w:vAlign w:val="bottom"/>
          </w:tcPr>
          <w:p>
            <w:pPr>
              <w:spacing w:after="0"/>
              <w:rPr>
                <w:sz w:val="1"/>
                <w:szCs w:val="1"/>
                <w:color w:val="auto"/>
              </w:rPr>
            </w:pPr>
          </w:p>
        </w:tc>
      </w:tr>
      <w:tr>
        <w:trPr>
          <w:trHeight w:val="59"/>
        </w:trPr>
        <w:tc>
          <w:tcPr>
            <w:tcW w:w="60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Executive Officer (Principal Executive Officer) and</w:t>
            </w:r>
          </w:p>
        </w:tc>
        <w:tc>
          <w:tcPr>
            <w:tcW w:w="0" w:type="dxa"/>
            <w:vAlign w:val="bottom"/>
          </w:tcPr>
          <w:p>
            <w:pPr>
              <w:spacing w:after="0"/>
              <w:rPr>
                <w:sz w:val="1"/>
                <w:szCs w:val="1"/>
                <w:color w:val="auto"/>
              </w:rPr>
            </w:pPr>
          </w:p>
        </w:tc>
      </w:tr>
      <w:tr>
        <w:trPr>
          <w:trHeight w:val="137"/>
        </w:trPr>
        <w:tc>
          <w:tcPr>
            <w:tcW w:w="600" w:type="dxa"/>
            <w:vAlign w:val="bottom"/>
          </w:tcPr>
          <w:p>
            <w:pPr>
              <w:spacing w:after="0"/>
              <w:rPr>
                <w:sz w:val="11"/>
                <w:szCs w:val="11"/>
                <w:color w:val="auto"/>
              </w:rPr>
            </w:pP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rPr>
              <w:t>David Simon</w:t>
            </w:r>
          </w:p>
        </w:tc>
        <w:tc>
          <w:tcPr>
            <w:tcW w:w="220" w:type="dxa"/>
            <w:vAlign w:val="bottom"/>
          </w:tcPr>
          <w:p>
            <w:pPr>
              <w:spacing w:after="0"/>
              <w:rPr>
                <w:sz w:val="11"/>
                <w:szCs w:val="11"/>
                <w:color w:val="auto"/>
              </w:rPr>
            </w:pPr>
          </w:p>
        </w:tc>
        <w:tc>
          <w:tcPr>
            <w:tcW w:w="4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491"/>
              <w:spacing w:after="0"/>
              <w:rPr>
                <w:sz w:val="20"/>
                <w:szCs w:val="20"/>
                <w:color w:val="auto"/>
              </w:rPr>
            </w:pPr>
            <w:r>
              <w:rPr>
                <w:rFonts w:ascii="Times New Roman" w:cs="Times New Roman" w:eastAsia="Times New Roman" w:hAnsi="Times New Roman"/>
                <w:sz w:val="18"/>
                <w:szCs w:val="18"/>
                <w:color w:val="auto"/>
              </w:rPr>
              <w:t>/s/ Eli Simon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 and Chief Investment Officer</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Eli Simon</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 and Vice Chairman</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Richard S. Sokolov</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Glyn F. Aeppel</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Larry C. Glasscock</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Nina P. Jones</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Reuben S. Leibowitz</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Randall J. Lewis</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Gary M. Rodkin</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Pr>
          <w:p>
            <w:pPr>
              <w:spacing w:after="0"/>
              <w:rPr>
                <w:sz w:val="21"/>
                <w:szCs w:val="21"/>
                <w:color w:val="auto"/>
              </w:rPr>
            </w:pPr>
          </w:p>
        </w:tc>
        <w:tc>
          <w:tcPr>
            <w:tcW w:w="32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Peggy F. Roe</w:t>
            </w:r>
          </w:p>
        </w:tc>
        <w:tc>
          <w:tcPr>
            <w:tcW w:w="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25400</wp:posOffset>
            </wp:positionV>
            <wp:extent cx="24688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5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Stefan M. Selig</w:t>
      </w: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64" w:lineRule="exact"/>
        <w:rPr>
          <w:sz w:val="20"/>
          <w:szCs w:val="20"/>
          <w:color w:val="auto"/>
        </w:rPr>
      </w:pPr>
    </w:p>
    <w:p>
      <w:pPr>
        <w:ind w:left="1260"/>
        <w:spacing w:after="0"/>
        <w:tabs>
          <w:tab w:leader="none" w:pos="29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24688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4688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Daniel C. Smith</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24688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Marta R. Stewart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24688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Brian J. McDade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jc w:val="center"/>
        <w:ind w:left="1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24688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Adam J. Reuille</w:t>
      </w: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color w:val="auto"/>
        </w:rPr>
        <w:t>*By:</w:t>
        <w:tab/>
        <w:t>/s/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34290</wp:posOffset>
            </wp:positionV>
            <wp:extent cx="2125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David Simon</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auto"/>
            </w:tcBorders>
          </w:tcPr>
          <w:p>
            <w:pPr>
              <w:spacing w:after="0"/>
              <w:rPr>
                <w:sz w:val="18"/>
                <w:szCs w:val="18"/>
                <w:color w:val="auto"/>
              </w:rPr>
            </w:pPr>
          </w:p>
        </w:tc>
        <w:tc>
          <w:tcPr>
            <w:tcW w:w="4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5"/>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7"/>
        </w:trPr>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0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73" w:lineRule="exact"/>
        <w:rPr>
          <w:sz w:val="20"/>
          <w:szCs w:val="20"/>
          <w:color w:val="auto"/>
        </w:rPr>
      </w:pPr>
    </w:p>
    <w:p>
      <w:pPr>
        <w:sectPr>
          <w:pgSz w:w="11900" w:h="16838" w:orient="portrait"/>
          <w:cols w:equalWidth="0" w:num="2">
            <w:col w:w="4420" w:space="720"/>
            <w:col w:w="473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3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355 South Grand Avenue, Suite 100</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Los Angeles, California 90071-1560</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Tel: +1.213.485.1234 Fax: +1.213.891.8763</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2408555"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2408555"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9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306"/>
        </w:trPr>
        <w:tc>
          <w:tcPr>
            <w:tcW w:w="4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Austin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Beijing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Boston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Brussels</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Chicago</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6, 2026</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Dubai</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Düsseldorf</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Frankfurt</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Hamburg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Hong Kong</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Houston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London</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Property Group, Inc.</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Los Angeles</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Property Group, L.P.</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Madrid</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225 West Washington Street</w:t>
            </w: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Indianapolis, Indiana 46204</w:t>
            </w:r>
          </w:p>
        </w:tc>
        <w:tc>
          <w:tcPr>
            <w:tcW w:w="2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Simon Property Group, Inc. and Simon Property Group, L.P.</w:t>
            </w: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Simon Property Group, Inc.,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Simon Property Group, L.P., an Indiana limited partnership (the “</w:t>
      </w:r>
      <w:r>
        <w:rPr>
          <w:rFonts w:ascii="Times New Roman" w:cs="Times New Roman" w:eastAsia="Times New Roman" w:hAnsi="Times New Roman"/>
          <w:sz w:val="18"/>
          <w:szCs w:val="18"/>
          <w:b w:val="1"/>
          <w:bCs w:val="1"/>
          <w:i w:val="1"/>
          <w:iCs w:val="1"/>
          <w:color w:val="auto"/>
        </w:rPr>
        <w:t>Operating Partnership</w:t>
      </w:r>
      <w:r>
        <w:rPr>
          <w:rFonts w:ascii="Times New Roman" w:cs="Times New Roman" w:eastAsia="Times New Roman" w:hAnsi="Times New Roman"/>
          <w:sz w:val="18"/>
          <w:szCs w:val="18"/>
          <w:color w:val="auto"/>
        </w:rPr>
        <w:t>”), in connection with their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Post-Effective Amendment No. 1 to the registration statement on Form S-3 (File Nos. 333-277297 and 333-277297-01) filed with the Securities and Exchange Commission on February 23, 2024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including a base prospectus (the “</w:t>
      </w:r>
      <w:r>
        <w:rPr>
          <w:rFonts w:ascii="Times New Roman" w:cs="Times New Roman" w:eastAsia="Times New Roman" w:hAnsi="Times New Roman"/>
          <w:sz w:val="18"/>
          <w:szCs w:val="18"/>
          <w:b w:val="1"/>
          <w:bCs w:val="1"/>
          <w:i w:val="1"/>
          <w:i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which provides that it will be supplemented by one or more prospectus supplements (each such prospectus supplement, together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Prospectus, a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for issue and sale (i) by the Company of shares of the Company’s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by the Company of shares of one or more series of the Company’s preferred stock, $0.0001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(iii) by the Company of depositary shares, representing an interest in Preferred Stock (“</w:t>
      </w:r>
      <w:r>
        <w:rPr>
          <w:rFonts w:ascii="Times New Roman" w:cs="Times New Roman" w:eastAsia="Times New Roman" w:hAnsi="Times New Roman"/>
          <w:sz w:val="18"/>
          <w:szCs w:val="18"/>
          <w:b w:val="1"/>
          <w:bCs w:val="1"/>
          <w:i w:val="1"/>
          <w:iCs w:val="1"/>
          <w:color w:val="auto"/>
        </w:rPr>
        <w:t>Depositary Shares</w:t>
      </w:r>
      <w:r>
        <w:rPr>
          <w:rFonts w:ascii="Times New Roman" w:cs="Times New Roman" w:eastAsia="Times New Roman" w:hAnsi="Times New Roman"/>
          <w:sz w:val="18"/>
          <w:szCs w:val="18"/>
          <w:color w:val="auto"/>
        </w:rPr>
        <w:t>”), (iv) by the Company of warrants to purchase shares of Common Stock or shares of Preferred Stock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1" w:lineRule="auto"/>
        <w:tabs>
          <w:tab w:leader="none" w:pos="25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Operating Partnership of one or more series of the Operating Partnership’s debt securities (collectively,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to be issued under an Indenture, dated as of November 26, 1996, as amended and supplemented as of the date hereof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among Simon DeBartolo Group, L.P., Simon Property Group, L.P., a Delaware limited partnership that, effective December 31, 1997, was merged into Simon DeBartolo Group, L.P. (the merged entity being the Operating Partnership), and The Bank of New York Mellon Trust Company, N.A. (successor to The Chase Manhattan Bank), as trustee (the “Trustee”), and one or more board resolutions, supplements thereto or officer’s certificates thereunder (such Indenture, together with the applicable board resolutions, supplements or officer’s certificates pertaining to the applicable series of Debt Securities, the “</w:t>
      </w:r>
      <w:r>
        <w:rPr>
          <w:rFonts w:ascii="Times New Roman" w:cs="Times New Roman" w:eastAsia="Times New Roman" w:hAnsi="Times New Roman"/>
          <w:sz w:val="18"/>
          <w:szCs w:val="18"/>
          <w:b w:val="1"/>
          <w:bCs w:val="1"/>
          <w:i w:val="1"/>
          <w:iCs w:val="1"/>
          <w:color w:val="auto"/>
        </w:rPr>
        <w:t>Applicable Indenture</w:t>
      </w:r>
      <w:r>
        <w:rPr>
          <w:rFonts w:ascii="Times New Roman" w:cs="Times New Roman" w:eastAsia="Times New Roman" w:hAnsi="Times New Roman"/>
          <w:sz w:val="18"/>
          <w:szCs w:val="18"/>
          <w:color w:val="auto"/>
        </w:rPr>
        <w:t>”), and (vi) by certain securityholders of the Company (each, a “</w:t>
      </w:r>
      <w:r>
        <w:rPr>
          <w:rFonts w:ascii="Times New Roman" w:cs="Times New Roman" w:eastAsia="Times New Roman" w:hAnsi="Times New Roman"/>
          <w:sz w:val="18"/>
          <w:szCs w:val="18"/>
          <w:b w:val="1"/>
          <w:bCs w:val="1"/>
          <w:i w:val="1"/>
          <w:iCs w:val="1"/>
          <w:color w:val="auto"/>
        </w:rPr>
        <w:t>Selling Securityholder</w:t>
      </w:r>
      <w:r>
        <w:rPr>
          <w:rFonts w:ascii="Times New Roman" w:cs="Times New Roman" w:eastAsia="Times New Roman" w:hAnsi="Times New Roman"/>
          <w:sz w:val="18"/>
          <w:szCs w:val="18"/>
          <w:color w:val="auto"/>
        </w:rPr>
        <w:t>”) of shares of Common Stock (“</w:t>
      </w:r>
      <w:r>
        <w:rPr>
          <w:rFonts w:ascii="Times New Roman" w:cs="Times New Roman" w:eastAsia="Times New Roman" w:hAnsi="Times New Roman"/>
          <w:sz w:val="18"/>
          <w:szCs w:val="18"/>
          <w:b w:val="1"/>
          <w:bCs w:val="1"/>
          <w:i w:val="1"/>
          <w:iCs w:val="1"/>
          <w:color w:val="auto"/>
        </w:rPr>
        <w:t>Selling Securityholder Shares</w:t>
      </w:r>
      <w:r>
        <w:rPr>
          <w:rFonts w:ascii="Times New Roman" w:cs="Times New Roman" w:eastAsia="Times New Roman" w:hAnsi="Times New Roman"/>
          <w:sz w:val="18"/>
          <w:szCs w:val="18"/>
          <w:color w:val="auto"/>
        </w:rPr>
        <w:t>”) that may be offered and sold from time to time following the issuance thereof by the Company upon the exchange of common units of limited partnership interest in the Operating Partnership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in each case, as described in the Prospectus forming a part of the Registration Statement. The Common Stock, the Preferred Stock, the Depositary Shares, the Warrants, the Debt Securities and the Selling Securityholder Shares are referred to herein, collectively,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January 6,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6306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166306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enforceability of the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 Various issues pertaining to Indiana law, including the validity of the Common Stock, Preferred Stock and Units and the due authorization of the Securities by the Company, are addressed in the opinion of Barnes &amp; Thornburg LLP, which has been separately provided to you. We express no opinion with respect to those matters herein, and to the extent elements of those opinions are necessary to the conclusions expressed herein, we have, with your consent, assumed such matters.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            When the Applicable Indenture has been duly authorized by all necessary corporate action of the Company, as the sole general partner of the Operating Partnership, and duly executed and delivered by the Company, as the sole general partner of the Operating Partnership, and when the specific terms of a particular series of Debt Securities have been duly established in accordance with the terms of the Applicable Indenture and authorized by all necessary corporate action of the Company, as sole general partner of the Operating Partnership, and such Debt Securities have been duly executed, authenticated, issued and delivered against payment therefor in accordance with the terms of the Applicable Indenture and in the manner contemplated by the applicable Prospectus and by such limited partnership action, such Debt Securities will be the legally valid and binding obligations of the Operating Partnership, enforceable against the Operating Partnership in accordance with their terms.</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2.            When the applicable deposit agreement has been duly authorized, executed and delivered by all necessary corporate action of the Company, and when the specific terms of a particular issuance of Depositary Shares have been duly established in accordance with the terms of the applicable deposit agreement and authorized by all necessary corporate action of the Company, and such Depositary Shares have been duly executed, authenticated, issued and delivered against payment therefor in accordance with the terms of the applicable deposit agreement and in the manner contemplated by the applicable Prospectus and by such corporate action (assuming the underlying securities have been validly issued and deposited with the depositary), such Depositary Shares will be the legally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January 6,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6306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166306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8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w:t>
      </w:r>
    </w:p>
    <w:p>
      <w:pPr>
        <w:spacing w:after="0" w:line="1" w:lineRule="exact"/>
        <w:rPr>
          <w:sz w:val="20"/>
          <w:szCs w:val="20"/>
          <w:color w:val="auto"/>
        </w:rPr>
      </w:pPr>
    </w:p>
    <w:p>
      <w:pPr>
        <w:jc w:val="both"/>
        <w:ind w:firstLine="8"/>
        <w:spacing w:after="0" w:line="253" w:lineRule="auto"/>
        <w:tabs>
          <w:tab w:leader="none" w:pos="27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January 6,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6306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166306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your consent, we have assumed (a) that each of the Debt Securities, Depositary Shares and Warrants and the Applicable Indenture and warrant agreements governing such Securities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w:t>
      </w:r>
    </w:p>
    <w:p>
      <w:pPr>
        <w:spacing w:after="0" w:line="3" w:lineRule="exact"/>
        <w:rPr>
          <w:sz w:val="20"/>
          <w:szCs w:val="20"/>
          <w:color w:val="auto"/>
        </w:rPr>
      </w:pPr>
    </w:p>
    <w:p>
      <w:pPr>
        <w:ind w:firstLine="8"/>
        <w:spacing w:after="0" w:line="260" w:lineRule="auto"/>
        <w:tabs>
          <w:tab w:leader="none" w:pos="2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11555" cy="514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10115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11 S. Meridian Street</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Indianapolis, IN 46204-3535 U.S.A.</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(317) 236-1313</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Fax (317) 231-7433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2026</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www.btlaw.com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West Washington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 46204</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Simon Property Group, Inc. and Simon Property Group, L.P.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Above Addressees:</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Indiana counsel to Simon Property Group, Inc.,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Simon Property Group, L.P., an Indiana limited partnership (the “</w:t>
      </w:r>
      <w:r>
        <w:rPr>
          <w:rFonts w:ascii="Times New Roman" w:cs="Times New Roman" w:eastAsia="Times New Roman" w:hAnsi="Times New Roman"/>
          <w:sz w:val="18"/>
          <w:szCs w:val="18"/>
          <w:b w:val="1"/>
          <w:bCs w:val="1"/>
          <w:i w:val="1"/>
          <w:iCs w:val="1"/>
          <w:color w:val="auto"/>
        </w:rPr>
        <w:t>Operating Partnership</w:t>
      </w:r>
      <w:r>
        <w:rPr>
          <w:rFonts w:ascii="Times New Roman" w:cs="Times New Roman" w:eastAsia="Times New Roman" w:hAnsi="Times New Roman"/>
          <w:sz w:val="18"/>
          <w:szCs w:val="18"/>
          <w:color w:val="auto"/>
        </w:rPr>
        <w:t>”), in connection with their filing of a Post-Effective Amendment No. 1 to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including a base prospectus constituting a part thereof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relating to the registration for issuance and sale, from to time to time pursuant to Rule 415 under the Securities Act, of an undetermined dollar amount: (i) by the Company of shares of the Company’s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(ii) by the Company of shares of one or more series of the Company’s preferred stock, $0.0001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(iii) by the Company of depositary shares, representing an interest in Preferred Stock (“</w:t>
      </w:r>
      <w:r>
        <w:rPr>
          <w:rFonts w:ascii="Times New Roman" w:cs="Times New Roman" w:eastAsia="Times New Roman" w:hAnsi="Times New Roman"/>
          <w:sz w:val="18"/>
          <w:szCs w:val="18"/>
          <w:b w:val="1"/>
          <w:bCs w:val="1"/>
          <w:i w:val="1"/>
          <w:iCs w:val="1"/>
          <w:color w:val="auto"/>
        </w:rPr>
        <w:t>Depositary Shares</w:t>
      </w:r>
      <w:r>
        <w:rPr>
          <w:rFonts w:ascii="Times New Roman" w:cs="Times New Roman" w:eastAsia="Times New Roman" w:hAnsi="Times New Roman"/>
          <w:sz w:val="18"/>
          <w:szCs w:val="18"/>
          <w:color w:val="auto"/>
        </w:rPr>
        <w:t>”), (iv) by the Company of warrants to purchase shares of Common Stock or shares of Preferred Stock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1" w:lineRule="auto"/>
        <w:tabs>
          <w:tab w:leader="none" w:pos="25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Operating Partnership of one or more series of the Operating Partnership’s debt securities (collectively,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to be issued under an Indenture, dated as of November 26, 1996, as amended and supplemented as of the date hereof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among Simon DeBartolo Group, L.P., Simon Property Group, L.P., an Indiana limited partnership that, effective December 31, 1997, was merged into Simon DeBartolo Group, L.P. (the merged entity being the Operating Partnership), and The Bank of New York Mellon Trust Company, N.A. (successor to The Chase Manhattan Bank),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one or more board resolutions, supplements thereto or officer’s certificates thereunder (such Indenture, together with the applicable board resolutions, supplements or officer’s certificates pertaining to the applicable series of Debt Securities, the “</w:t>
      </w:r>
      <w:r>
        <w:rPr>
          <w:rFonts w:ascii="Times New Roman" w:cs="Times New Roman" w:eastAsia="Times New Roman" w:hAnsi="Times New Roman"/>
          <w:sz w:val="18"/>
          <w:szCs w:val="18"/>
          <w:b w:val="1"/>
          <w:bCs w:val="1"/>
          <w:i w:val="1"/>
          <w:iCs w:val="1"/>
          <w:color w:val="auto"/>
        </w:rPr>
        <w:t>Applicable Indenture</w:t>
      </w:r>
      <w:r>
        <w:rPr>
          <w:rFonts w:ascii="Times New Roman" w:cs="Times New Roman" w:eastAsia="Times New Roman" w:hAnsi="Times New Roman"/>
          <w:sz w:val="18"/>
          <w:szCs w:val="18"/>
          <w:color w:val="auto"/>
        </w:rPr>
        <w:t>”), and (vi) by certain securityholders of the Company (each, a “</w:t>
      </w:r>
      <w:r>
        <w:rPr>
          <w:rFonts w:ascii="Times New Roman" w:cs="Times New Roman" w:eastAsia="Times New Roman" w:hAnsi="Times New Roman"/>
          <w:sz w:val="18"/>
          <w:szCs w:val="18"/>
          <w:b w:val="1"/>
          <w:bCs w:val="1"/>
          <w:i w:val="1"/>
          <w:iCs w:val="1"/>
          <w:color w:val="auto"/>
        </w:rPr>
        <w:t>Selling Securityholder</w:t>
      </w:r>
      <w:r>
        <w:rPr>
          <w:rFonts w:ascii="Times New Roman" w:cs="Times New Roman" w:eastAsia="Times New Roman" w:hAnsi="Times New Roman"/>
          <w:sz w:val="18"/>
          <w:szCs w:val="18"/>
          <w:color w:val="auto"/>
        </w:rPr>
        <w:t>”) of shares of Common Stock (“</w:t>
      </w:r>
      <w:r>
        <w:rPr>
          <w:rFonts w:ascii="Times New Roman" w:cs="Times New Roman" w:eastAsia="Times New Roman" w:hAnsi="Times New Roman"/>
          <w:sz w:val="18"/>
          <w:szCs w:val="18"/>
          <w:b w:val="1"/>
          <w:bCs w:val="1"/>
          <w:i w:val="1"/>
          <w:iCs w:val="1"/>
          <w:color w:val="auto"/>
        </w:rPr>
        <w:t>Selling Securityholder Shares</w:t>
      </w:r>
      <w:r>
        <w:rPr>
          <w:rFonts w:ascii="Times New Roman" w:cs="Times New Roman" w:eastAsia="Times New Roman" w:hAnsi="Times New Roman"/>
          <w:sz w:val="18"/>
          <w:szCs w:val="18"/>
          <w:color w:val="auto"/>
        </w:rPr>
        <w:t>”) that may be offered and sold from time to time following the issuance thereof by the Company upon the exchange of common units of limited partnership interest in the Operating Partnership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in each case, as described in the Prospectus forming a part of the Registration Statement. The Common Stock, Preferred Stock, Depositary Shares, Warrants, Debt Securities, and Selling Securityholder Shares are referred to herein, collectively,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and the Depositary Shares, Warrants, and Debt Securities are referred to herein as the “</w:t>
      </w:r>
      <w:r>
        <w:rPr>
          <w:rFonts w:ascii="Times New Roman" w:cs="Times New Roman" w:eastAsia="Times New Roman" w:hAnsi="Times New Roman"/>
          <w:sz w:val="18"/>
          <w:szCs w:val="18"/>
          <w:b w:val="1"/>
          <w:bCs w:val="1"/>
          <w:i w:val="1"/>
          <w:iCs w:val="1"/>
          <w:color w:val="auto"/>
        </w:rPr>
        <w:t>Covered Securities</w:t>
      </w:r>
      <w:r>
        <w:rPr>
          <w:rFonts w:ascii="Times New Roman" w:cs="Times New Roman" w:eastAsia="Times New Roman" w:hAnsi="Times New Roman"/>
          <w:sz w:val="18"/>
          <w:szCs w:val="18"/>
          <w:color w:val="auto"/>
        </w:rPr>
        <w:t>.” This opinion letter is being furnished to the Company and Operating Partnership in accordance with the requirements of Item 601(b)(5) of Regulation S-K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913765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133350</wp:posOffset>
            </wp:positionV>
            <wp:extent cx="5657850" cy="351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5657850" cy="3511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(i) the Registration Statement, including the Prospectus and the exhibits (including those incorporated by reference) constituting a part of the Registration Statement; (ii) the Applicable Indenture; (iii) the Company’s Articles of Incorporation (the “</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 (iv) the Company’s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(v) the Ninth Amended and Restated Limited Partnership Agreement of the Operating Partnership dated May 15, 2025 (the “</w:t>
      </w:r>
      <w:r>
        <w:rPr>
          <w:rFonts w:ascii="Times New Roman" w:cs="Times New Roman" w:eastAsia="Times New Roman" w:hAnsi="Times New Roman"/>
          <w:sz w:val="18"/>
          <w:szCs w:val="18"/>
          <w:b w:val="1"/>
          <w:bCs w:val="1"/>
          <w:i w:val="1"/>
          <w:iCs w:val="1"/>
          <w:color w:val="auto"/>
        </w:rPr>
        <w:t>Partnership Agreement</w:t>
      </w:r>
      <w:r>
        <w:rPr>
          <w:rFonts w:ascii="Times New Roman" w:cs="Times New Roman" w:eastAsia="Times New Roman" w:hAnsi="Times New Roman"/>
          <w:sz w:val="18"/>
          <w:szCs w:val="18"/>
          <w:color w:val="auto"/>
        </w:rPr>
        <w:t>”); (v) corporate proceedings of the Company relating to the Registration Statement and the transactions contemplated thereby; and (vi) such other agreements, proceedings, documents, and records and such matters of law as we have deemed necessary or appropriate to enable us to render this opinion. As to certain facts material to our opinion, we have relied, to the extent we deem such reliance proper, upon certificates of public officials and officers of the Company, and we have not otherwise independently investigated or verified such facts.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(a) the legal capacity of all natural persons; (b) the genuineness of all signatures; (c) the authenticity of all documents submitted to us as originals; (d) the conformity to original documents of all documents submitted to us as certified, conformed, photostatic, or facsimile copies; (e) the authenticity of the originals of such latter documents; (f) the truth, accuracy, and completeness of the information, representations, and warranties contained in the records, documents, instruments, certificates, and records we have reviewed; and (g) the absence of any undisclosed modifications to the Articles, Bylaws, Limited Partnership Agreement, or the agreements and instruments reviewed by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Preferred Stock will be issued in one or more series and the relative powers, designations, preferences, rights and qualifications, limitations, or restrictions of such Preferred Stock will be set forth in one or more articles of amendment amending the Articles of Incorporation of the Company, to be adopted by the Company’s board of directors and filed with the Secretary of State of the State of Indiana (each, an “</w:t>
      </w:r>
      <w:r>
        <w:rPr>
          <w:rFonts w:ascii="Times New Roman" w:cs="Times New Roman" w:eastAsia="Times New Roman" w:hAnsi="Times New Roman"/>
          <w:sz w:val="18"/>
          <w:szCs w:val="18"/>
          <w:b w:val="1"/>
          <w:bCs w:val="1"/>
          <w:i w:val="1"/>
          <w:iCs w:val="1"/>
          <w:color w:val="auto"/>
        </w:rPr>
        <w:t>Articles of Amendment</w:t>
      </w:r>
      <w:r>
        <w:rPr>
          <w:rFonts w:ascii="Times New Roman" w:cs="Times New Roman" w:eastAsia="Times New Roman" w:hAnsi="Times New Roman"/>
          <w:sz w:val="18"/>
          <w:szCs w:val="18"/>
          <w:color w:val="auto"/>
        </w:rPr>
        <w:t>”). Each of the Articles of Amendment will be in a form to be filed as an exhibit to the Registration Statement or incorporated by reference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and subject to the foregoing and to the other qualifications, assumptions, and limitations set forth herein, we are of the opinion that:</w:t>
      </w:r>
    </w:p>
    <w:p>
      <w:pPr>
        <w:spacing w:after="0" w:line="225"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an Indiana corporation, and the Operating Partnership is validly existing as an Indiana limited partnership.</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offering of Common Stock (other than Selling Securityholder Shares), including Common Stock issuable upon conversion of Preferred Stock, when (i) a prospectus supplement and any other offering material with respect to the Common Stock have been filed with the Commission in compliance with the Securities Act and the rules and regulations thereunder; (ii) the appropriate corporate action has been taken by the Company to authorize the issuance of the Common Stock; (iii) any legally required consents, approvals, authorizations, and other orders of the Commission and any other regulatory authorities have been obtained; (iv) unless issued without certificates, certificates representing the Common Stock have been duly executed by the duly authorized officers of the Company, countersigned by the transfer agent therefor and delivered to the purchasers thereof or other persons entitled thereto; (v) the Common Stock has been issued by the Company against payment of the agreed-upon consideration therefor in accordance with any relevant agreements and such corporate action; and (vi) in the case of Common Stock issuable upon conversion of Preferred Stock, the actions in respect of such Preferred Stock referred to in paragraph 3 hereof have been completed, then, upon the happening of such events, such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904875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1705610" cy="342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1705610" cy="3429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980" w:hanging="324"/>
        <w:spacing w:after="0" w:line="261"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offering of any series of Preferred Stock, when (i) a prospectus supplement and any other offering material with respect to the Preferred Stock have been filed with the Commission in compliance with the Securities Act and the rules and regulations thereunder;</w:t>
      </w:r>
    </w:p>
    <w:p>
      <w:pPr>
        <w:jc w:val="both"/>
        <w:ind w:left="980"/>
        <w:spacing w:after="0" w:line="251" w:lineRule="auto"/>
        <w:tabs>
          <w:tab w:leader="none" w:pos="12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Amendment establishing the designations, preferences, rights, qualifications, limitations, or restrictions of such series of Preferred Stock have been duly approved by appropriate corporate action, executed by duly authorized officers of the Company and filed by the Company with the Secretary of State of the State of Indiana, all in accordance with the laws of the State of Indiana; (iii) appropriate corporate action has been taken by the Company to authorize the issuance of the Preferred Stock; (iv) any legally required consents, approvals, authorizations, and other orders of the Commission and any other regulatory authorities have been obtained; (v) Preferred Stock with terms so fixed have been issued by the Company against payment of the agreed-upon consideration therefor in accordance with any relevant agreements and such corporate action; and (vi) unless issued without certificates, certificates representing the Preferred Stock have been duly executed by the duly authorized officers of the Company, countersigned by the transfer agent therefor and delivered to the purchasers thereof, then, upon the happening of such events, such shares of Preferred Stock will be validly issued, fully paid, and non-assessable.</w:t>
      </w:r>
    </w:p>
    <w:p>
      <w:pPr>
        <w:spacing w:after="0" w:line="19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and executed by the Operating Partnership. The Company has the corporate power to create one or more series of the Securities, including the Debt Securities, and to enter into supplements to the Indenture and the other agreements required for issuance of the Securities that are contemplated in the Registration Statement, including but not limited to deposit agreements with respect to the Depositary Shares and warrant agreements with respect to the Warrants.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offering of Covered Securities, if the Covered Securities are convertible into Common Stock or Preferred Stock, or if shares of Common Stock or Preferred Stock may be acquired upon exercise or otherwise upon fulfillment of the terms of the Covered Securities, when (i) a prospectus supplement and any other offering material with respect to the Covered Securities have been filed with the Commission in compliance with the Securities Act and the rules and regulations thereunder; (ii) Articles of Amendment establishing the designations, preferences, rights, qualifications, limitations, or restrictions of any series of Preferred Stock have been duly approved by appropriate corporate action, executed by duly authorized officers of the Company and filed by the Company with the Secretary of State of the State of Indiana, all in accordance with the laws of the State of Indiana; (iii) the appropriate corporate action has been taken by the Company to authorize the issuance of such Covered Securities and such Common Stock or Preferred Stock as described in paragraphs 2 and 3, above, respectively; (iv) any legally required consents, approvals, authorizations, and other orders of the Commission and any other regulatory authorities have been obtained; (v) the Covered Securities have been presented for conversion, exercise or fulfillment in accordance with the terms thereof together with any consideration, certificates, and/or instructions required in connection therewith by such Covered Security; and (vi) unless issued without certificates, certificates representing such Common Stock or Preferred Stock have been duly executed by the duly authorized officers of the Company, countersigned by the transfer agent therefor and delivered upon such conversion, exercise, or fulfillment to the persons entitled thereto, in accordance with the terms of such Covered Securities, then, upon the happening of such events, the shares of Common Stock or Preferred Stock issuable upon conversion, exercise, or fulfillment of the Covered Securities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1705610" cy="342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1705610" cy="3429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left="980" w:hanging="324"/>
        <w:spacing w:after="0" w:line="254"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 an issuance of Selling Securityholder Shares to a Selling Securityholder upon the exchange of Units by such Selling Securityholder in accordance with the terms of the Partnership Agreement has been duly authorized by all necessary corporate action of the Company; and (ii) such Selling Securityholder has exercised its right under the Partnership Agreement to exchange Units for Selling Securityholder Shares or cash, in the discretion of the Company, as the sole general partner of the Operating Partnership, and, in such capacity, the Company has determined to issue Selling Securityholder Shares to such Selling Securityholder in exchange for such Units in accordance with the terms of the Partnership Agreement, upon issuance, delivery and payment therefor in exchange for Units in accordance with the terms of the Partnership Agreement in the manner contemplated by the applicable Prospectus and by such corporate action, such Selling Securityholder Shares will be validly issued, fully paid, and non-assessable.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the purposes of this opinion letter, we have assumed that, at the time of the issuance, sale and delivery of each issue of Securities: (i) the Company and Operating Partnership each will remain validly existing under Indiana law; (ii) the Registration Statement and any additional required post-effective amendments thereto have all become effective under the Securities Act, such effectiveness has not been terminated or rescinded, and comply with all applicable laws; (iii) any Securities being offered will be issued and sold in compliance with applicable federal and state securities laws and as contemplated in the Registration Statement or the prospectus supplement relating thereto; (iv) any legally required consents, approvals, authorizations, and other orders of the Commission and any other governmental or regulatory authorities have been obtained; (v) the information, representations, and warranties contained in the instruments, documents, certificates, and records we have reviewed continue to be true, accurate, and complete; (vi) all actions necessary for the issuance of any Common Stock or Preferred Stock and the form and terms thereof will not (a) contravene the Articles of Incorporation or Bylaws, (b) violate any law, rule, or regulation applicable to the Company, or (c) result in any conflict with or breach of any agreement or document binding on the Company or the Operating Partnership; (vii) the authorization of any Common Stock or Preferred Stock by the Company will not have been modified or rescinded, and there will not have occurred any change in law affecting the issuance thereof; (viii) the Articles of Incorporation, Bylaws, and Partnership Agreement, as currently in effect, will not have been modified or amended and will be in full force and effect, and the number of shares of Common Stock or Preferred Stock, as the case may be, offered and sold will not exceed the number of shares of Common Stock or Preferred Stock, as the case may be, authorized under the Articles of Incorporation (as then in effect) and not otherwise reserved for issuance; (ix) the certificates, if any, evidencing the Common Stock or the Preferred Stock will be in a form approved for issuance by the Company, which complies with the Indiana Business Corporation Law; and (x) there shall not have occurred any change in law affecting the validity of any Securities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1705610" cy="342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1705610" cy="3429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further assumed that, at the time of the issuance, sale, and delivery of Covered Securities: (i) the execution, delivery, and performance by the Company and Operating Partnership of any supplemental indentures, and any agreements or other documents relating to the issuance of the Covered Securities, as applicable, and all actions necessary for the issuance of the Covered Securities, and the forms and terms thereof, will comply with all requirements and restrictions, if any, applicable to the Company or Operating Partnership, as applicable, whether imposed by any agreement or instrument to which the Company or Operating Partnership is a party or by which it is bound or any court or other governmental or regulatory body having jurisdiction over the Company or Operating Partnership; and (ii) there will not have occurred any change in law affecting the legally binding character or enforceability thereof.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foregoing opinions, we express no opinion with respect to the laws of any jurisdiction other than the laws of the State of Indiana.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furnishing this opinion letter to you in connection with the filing of the Registration Statement. This opinion letter is limited to the matters set forth herein, and no other opinion should be inferred beyond the matters expressly stated. The opinions set forth herein are given as of the date hereof, and we undertake no obligation to update or supplement this letter if any applicable law changes after the date hereof or if we become aware of any fact or other circumstances that changes or may change any opinion set forth herein after the date hereof or for any other reason.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an exhibit to the Registration Statement and the reference to our firm under the heading “Legal Matters” in the Prospectus which forms a part of the Registration Statement. In giving such consent, we do not thereby admit that we are within the category of persons whose consent is required by Section 7 of the Securities Act or the related rules promulgated by the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BARNES &amp; THORNBURG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705610" cy="342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1705610" cy="34290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10240"/>
        <w:spacing w:after="0"/>
        <w:rPr>
          <w:sz w:val="20"/>
          <w:szCs w:val="20"/>
          <w:color w:val="auto"/>
        </w:rPr>
      </w:pPr>
      <w:r>
        <w:rPr>
          <w:rFonts w:ascii="Times New Roman" w:cs="Times New Roman" w:eastAsia="Times New Roman" w:hAnsi="Times New Roman"/>
          <w:sz w:val="21"/>
          <w:szCs w:val="21"/>
          <w:b w:val="1"/>
          <w:bCs w:val="1"/>
          <w:color w:val="auto"/>
        </w:rPr>
        <w:t>Exhibit 8.1</w:t>
      </w:r>
    </w:p>
    <w:p>
      <w:pPr>
        <w:spacing w:after="0" w:line="25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Tel: +1.424.653.5500 Fax: +1.424.653.5501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785745" cy="3257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2785745" cy="325755"/>
                    </a:xfrm>
                    <a:prstGeom prst="rect">
                      <a:avLst/>
                    </a:prstGeom>
                    <a:noFill/>
                  </pic:spPr>
                </pic:pic>
              </a:graphicData>
            </a:graphic>
          </wp:anchor>
        </w:drawing>
      </w:r>
    </w:p>
    <w:p>
      <w:pPr>
        <w:ind w:left="7880"/>
        <w:spacing w:after="0"/>
        <w:rPr>
          <w:sz w:val="20"/>
          <w:szCs w:val="20"/>
          <w:color w:val="auto"/>
        </w:rPr>
      </w:pPr>
      <w:r>
        <w:rPr>
          <w:rFonts w:ascii="Times New Roman" w:cs="Times New Roman" w:eastAsia="Times New Roman" w:hAnsi="Times New Roman"/>
          <w:sz w:val="18"/>
          <w:szCs w:val="18"/>
          <w:color w:val="auto"/>
        </w:rPr>
        <w:t>www.lw.com</w:t>
      </w:r>
    </w:p>
    <w:p>
      <w:pPr>
        <w:spacing w:after="0" w:line="20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Austin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Milan</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Beijing</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Munich</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Boston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Brussels</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Orange County</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Chicago</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Paris</w:t>
            </w: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6, 2026</w:t>
            </w: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Dubai</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Riyadh</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Düsseldorf</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Diego</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Frankfurt</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Francisco</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Hamburg</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Seoul</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Hong Kong</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Silicon Valley</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Houston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London</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Tel Aviv</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Los Angeles</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Tokyo</w:t>
            </w:r>
          </w:p>
        </w:tc>
        <w:tc>
          <w:tcPr>
            <w:tcW w:w="0" w:type="dxa"/>
            <w:vAlign w:val="bottom"/>
          </w:tcPr>
          <w:p>
            <w:pPr>
              <w:spacing w:after="0"/>
              <w:rPr>
                <w:sz w:val="1"/>
                <w:szCs w:val="1"/>
                <w:color w:val="auto"/>
              </w:rPr>
            </w:pPr>
          </w:p>
        </w:tc>
      </w:tr>
      <w:tr>
        <w:trPr>
          <w:trHeight w:val="243"/>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Simon Property Group, Inc.</w:t>
            </w:r>
          </w:p>
        </w:tc>
        <w:tc>
          <w:tcPr>
            <w:tcW w:w="27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Madrid</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Washington, D.C.</w:t>
            </w:r>
          </w:p>
        </w:tc>
        <w:tc>
          <w:tcPr>
            <w:tcW w:w="0" w:type="dxa"/>
            <w:vAlign w:val="bottom"/>
          </w:tcPr>
          <w:p>
            <w:pPr>
              <w:spacing w:after="0"/>
              <w:rPr>
                <w:sz w:val="1"/>
                <w:szCs w:val="1"/>
                <w:color w:val="auto"/>
              </w:rPr>
            </w:pPr>
          </w:p>
        </w:tc>
      </w:tr>
      <w:tr>
        <w:trPr>
          <w:trHeight w:val="211"/>
        </w:trPr>
        <w:tc>
          <w:tcPr>
            <w:tcW w:w="644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Property Group, L.P.</w:t>
            </w:r>
          </w:p>
        </w:tc>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225 West Washington Street</w:t>
            </w:r>
          </w:p>
        </w:tc>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Indianapolis, Indiana 46204</w:t>
            </w:r>
          </w:p>
        </w:tc>
        <w:tc>
          <w:tcPr>
            <w:tcW w:w="2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Simon Property Group, Inc. and Simon Property Group, L.P.</w:t>
            </w: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special tax counsel to Simon Property Group, Inc., an Indiana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Simon Property Group, L.P., an Indiana limited partnership (the “</w:t>
      </w:r>
      <w:r>
        <w:rPr>
          <w:rFonts w:ascii="Times New Roman" w:cs="Times New Roman" w:eastAsia="Times New Roman" w:hAnsi="Times New Roman"/>
          <w:sz w:val="18"/>
          <w:szCs w:val="18"/>
          <w:b w:val="1"/>
          <w:bCs w:val="1"/>
          <w:i w:val="1"/>
          <w:iCs w:val="1"/>
          <w:color w:val="auto"/>
        </w:rPr>
        <w:t>Operating Partnership</w:t>
      </w:r>
      <w:r>
        <w:rPr>
          <w:rFonts w:ascii="Times New Roman" w:cs="Times New Roman" w:eastAsia="Times New Roman" w:hAnsi="Times New Roman"/>
          <w:sz w:val="18"/>
          <w:szCs w:val="18"/>
          <w:color w:val="auto"/>
        </w:rPr>
        <w:t>”), in connection with their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Post-Effective Amendment No. 1 to the registration statement on Form S-3 (File Nos. 333-277297 and 333-277297-01) filed with the Commission on February 23, 2024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including a base prospectus relating to equity securities of the Company and a base prospectus relating to debt securities of the Operating Partnership (each, a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Prospectuses</w:t>
      </w:r>
      <w:r>
        <w:rPr>
          <w:rFonts w:ascii="Times New Roman" w:cs="Times New Roman" w:eastAsia="Times New Roman" w:hAnsi="Times New Roman"/>
          <w:sz w:val="18"/>
          <w:szCs w:val="18"/>
          <w:color w:val="auto"/>
        </w:rPr>
        <w:t>”), which provide that either Base Prospectus may be supplemented by one or more prospectus supplements (each such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together with the applicable Base Prospectus, a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have requested our opinion concerning certain of the federal income tax considerations relating to the Company, including with respect to its election to be taxed as a real estate investment trust (“</w:t>
      </w:r>
      <w:r>
        <w:rPr>
          <w:rFonts w:ascii="Times New Roman" w:cs="Times New Roman" w:eastAsia="Times New Roman" w:hAnsi="Times New Roman"/>
          <w:sz w:val="18"/>
          <w:szCs w:val="18"/>
          <w:b w:val="1"/>
          <w:bCs w:val="1"/>
          <w:i w:val="1"/>
          <w:iCs w:val="1"/>
          <w:color w:val="auto"/>
        </w:rPr>
        <w:t>REIT</w:t>
      </w:r>
      <w:r>
        <w:rPr>
          <w:rFonts w:ascii="Times New Roman" w:cs="Times New Roman" w:eastAsia="Times New Roman" w:hAnsi="Times New Roman"/>
          <w:sz w:val="18"/>
          <w:szCs w:val="18"/>
          <w:color w:val="auto"/>
        </w:rPr>
        <w:t>”) under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This opinion is based on certain assumptions and factual representations, including the facts set forth in the Registration Statement and the Base Prospectuses, concerning the business, assets and governing documents of the Company and its subsidiaries. We have also been furnished with, and with your consent have relied upon, certain representations made by the Company and its subsidiaries with respect to certain factual matters through a certificate of an officer of the Company, dated as of the date hereof (the “</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January 6,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928495"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19284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our capacity as special tax counsel to the Company and the Operating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For purposes of our opinion, we have not made an independent investigation or audit of the facts set forth in the above referenced documents or in the Officer’s Certificate. In addition, in rendering this opinion we have assumed the truth and accuracy of all representations and statements made to us that are qualified as to knowledge or belief, without regard to such qualification.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opining herein only with respect to the federal income tax laws of the United States, and we express no opinion with respect to the applicability thereto, or the effect thereon, of other federal laws or the laws of any state or other jurisdiction, or as to any matters of municipal law or the laws of any other local agencies within any state.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Based on such facts, and subject to the qualifications, assumptions, representations and limitations referenced herein, it is our opinion that:</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Company’s taxable year ended December 31, 2016, the Company has been organized and has operated in conformity with the requirements for qualification and taxation as a REIT under the Code, and its proposed method of operation will enable it to continue to meet the requirements for qualification and taxation as a REIT under the Code;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each Base Prospectus under the caption “U.S. Federal Income Tax Considerations,” insofar as they purport to describe or summarize certain provisions of the statutes or regulations referred to therein, are accurate descriptions or summaries in all material respects.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opinion is expressed as to any matter not discussed herein.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opinion is rendered to you as of the date of this letter,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Any such change may affect the conclusions stated herein. Also, any variation or difference in the facts from those set forth in the Registration Statement, either Base Prospectus or the Officer’s Certificate may affect the conclusions stated herein. As described in the Base Prospectuses, the Company’s qualification and taxation as a REIT depend upon the Company’s ability to meet the various requirements imposed under the Code, including through actual annual operating results, asset composition, distribution levels and diversity of stock ownership, the results of which have not been and will not be reviewed by Latham &amp; Watkins LLP. Accordingly, no assurance can be given that the actual results of the Company’s operation for any particular taxable year will satisfy such requirements. In addition, the opinion set forth above does not foreclose the possibility that the Company may have to pay a deficiency dividend, or an excise or penalty tax, which could be significant in amount, in order to maintain its REIT qualification.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January 6,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928495"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19284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rendered only to you and is solely for your benefit in connection with the Registration Statement upon the understanding that we are not hereby assuming professional responsibility to any other person whatsoever. This opinion may not be relied upon by you for any other purpose, or furnished to, assigned to, quoted to or relied upon by any other person, firm or other entity for any purpose, without our prior written consent, which may be granted or withheld in our sole discretion, provided that this opinion may be relied upon by persons entitled to rely on it pursuant to applicable provisions of federal securities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your filing this opinion as an exhibit to the Registration Statement and to the reference to our firm contained in each Base Prospectus under the headings “U.S. Federal Income Tax Considerations” and “Legal Matters.” In giving such consent, we do not thereby admit that we are in the category of persons whose consent is required under Section 7 of the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1 to the Registration Statement (Form S-3) and the related prospectuses of Simon Property Group, Inc. for the registration of common stock, preferred stock, warrants and depositary shares; and for Simon Property Group, L.P. for the registration of debt securities and to the incorporation by reference therein of our reports dated February 21, 2025, with respect to the consolidated financial statements and schedule of Simon Property Group, Inc., and the effectiveness of internal control over financial reporting of Simon Property Group, Inc., included in its Annual Report (Form 10-K) for the year ended December 31, 2024, filed with the Securities and Exchange Commission. We also consent to the incorporation by reference therein of our reports dated February 21, 2025, with respect to the consolidated financial statements and schedule of Simon Property Group, L.P., and the effectiveness of internal control over financial reporting of Simon Property Group, L.P., included in its Annual Report (Form 10-K) for the year ended December 31, 2024, filed with the Securities and Exchange Commission.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 ERNST &amp; YOUNG LLP</w:t>
            </w: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Indianapolis, Indiana</w:t>
            </w:r>
          </w:p>
        </w:tc>
        <w:tc>
          <w:tcPr>
            <w:tcW w:w="766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January 6, 2026</w:t>
            </w:r>
          </w:p>
        </w:tc>
        <w:tc>
          <w:tcPr>
            <w:tcW w:w="76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 </w:t>
            </w:r>
          </w:p>
        </w:tc>
      </w:tr>
      <w:tr>
        <w:trPr>
          <w:trHeight w:val="432"/>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3"/>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1)"/>
      <w:numFmt w:val="decimal"/>
      <w:start w:val="2"/>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1)"/>
      <w:numFmt w:val="lowerRoman"/>
      <w:start w:val="2"/>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lowerLetter"/>
      <w:start w:val="2"/>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lvl w:ilvl="1">
      <w:lvlJc w:val="left"/>
      <w:lvlText w:val="•"/>
      <w:numFmt w:val="bullet"/>
      <w:start w:val="1"/>
    </w:lvl>
  </w:abstractNum>
  <w:abstractNum w:abstractNumId="48">
    <w:nsid w:val="1EBA5D23"/>
    <w:multiLevelType w:val="hybridMultilevel"/>
    <w:lvl w:ilvl="0">
      <w:lvlJc w:val="left"/>
      <w:lvlText w:val="•"/>
      <w:numFmt w:val="bullet"/>
      <w:start w:val="1"/>
    </w:lvl>
    <w:lvl w:ilvl="1">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6"/>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lowerLetter"/>
      <w:start w:val="2"/>
    </w:lvl>
  </w:abstractNum>
  <w:abstractNum w:abstractNumId="76">
    <w:nsid w:val="76272110"/>
    <w:multiLevelType w:val="hybridMultilevel"/>
    <w:lvl w:ilvl="0">
      <w:lvlJc w:val="left"/>
      <w:lvlText w:val="(%1)"/>
      <w:numFmt w:val="lowerRoman"/>
      <w:start w:val="3"/>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4">
    <w:nsid w:val="46B7D447"/>
    <w:multiLevelType w:val="hybridMultilevel"/>
    <w:lvl w:ilvl="0">
      <w:lvlJc w:val="left"/>
      <w:lvlText w:val="(%1)"/>
      <w:numFmt w:val="decimal"/>
      <w:start w:val="2"/>
    </w:lvl>
  </w:abstractNum>
  <w:abstractNum w:abstractNumId="85">
    <w:nsid w:val="4A2AC315"/>
    <w:multiLevelType w:val="hybridMultilevel"/>
    <w:lvl w:ilvl="0">
      <w:lvlJc w:val="left"/>
      <w:lvlText w:val="(%1)"/>
      <w:numFmt w:val="decimal"/>
      <w:start w:val="5"/>
    </w:lvl>
    <w:lvl w:ilvl="1">
      <w:lvlJc w:val="left"/>
      <w:lvlText w:val="(%2)"/>
      <w:numFmt w:val="lowerRoman"/>
      <w:start w:val="1"/>
    </w:lvl>
  </w:abstractNum>
  <w:abstractNum w:abstractNumId="86">
    <w:nsid w:val="39EE015C"/>
    <w:multiLevelType w:val="hybridMultilevel"/>
    <w:lvl w:ilvl="0">
      <w:lvlJc w:val="left"/>
      <w:lvlText w:val="(%1)"/>
      <w:numFmt w:val="decimal"/>
      <w:start w:val="6"/>
    </w:lvl>
  </w:abstractNum>
  <w:abstractNum w:abstractNumId="87">
    <w:nsid w:val="57FC4FBB"/>
    <w:multiLevelType w:val="hybridMultilevel"/>
    <w:lvl w:ilvl="0">
      <w:lvlJc w:val="left"/>
      <w:lvlText w:val="%1"/>
      <w:numFmt w:val="lowerLetter"/>
      <w:start w:val="1"/>
    </w:lvl>
    <w:lvl w:ilvl="1">
      <w:lvlJc w:val="left"/>
      <w:lvlText w:val="(%2)"/>
      <w:numFmt w:val="lowerRoman"/>
      <w:start w:val="1"/>
    </w:lvl>
  </w:abstractNum>
  <w:abstractNum w:abstractNumId="88">
    <w:nsid w:val="CC1016F"/>
    <w:multiLevelType w:val="hybridMultilevel"/>
    <w:lvl w:ilvl="0">
      <w:lvlJc w:val="left"/>
      <w:lvlText w:val="(%1)"/>
      <w:numFmt w:val="lowerLetter"/>
      <w:start w:val="2"/>
    </w:lvl>
    <w:lvl w:ilvl="1">
      <w:lvlJc w:val="left"/>
      <w:lvlText w:val="%2"/>
      <w:numFmt w:val="lowerRoman"/>
      <w:start w:val="1"/>
    </w:lvl>
  </w:abstractNum>
  <w:abstractNum w:abstractNumId="89">
    <w:nsid w:val="43F18422"/>
    <w:multiLevelType w:val="hybridMultilevel"/>
    <w:lvl w:ilvl="0">
      <w:lvlJc w:val="left"/>
      <w:lvlText w:val="(%1)"/>
      <w:numFmt w:val="lowerRoman"/>
      <w:start w:val="5"/>
    </w:lvl>
  </w:abstractNum>
  <w:abstractNum w:abstractNumId="90">
    <w:nsid w:val="60EF0119"/>
    <w:multiLevelType w:val="hybridMultilevel"/>
    <w:lvl w:ilvl="0">
      <w:lvlJc w:val="left"/>
      <w:lvlText w:val="(%1)"/>
      <w:numFmt w:val="lowerRoman"/>
      <w:start w:val="1"/>
    </w:lvl>
  </w:abstractNum>
  <w:abstractNum w:abstractNumId="91">
    <w:nsid w:val="26F324BA"/>
    <w:multiLevelType w:val="hybridMultilevel"/>
    <w:lvl w:ilvl="0">
      <w:lvlJc w:val="left"/>
      <w:lvlText w:val="(%1)"/>
      <w:numFmt w:val="lowerRoman"/>
      <w:start w:val="1"/>
    </w:lvl>
  </w:abstractNum>
  <w:abstractNum w:abstractNumId="92">
    <w:nsid w:val="7F01579B"/>
    <w:multiLevelType w:val="hybridMultilevel"/>
    <w:lvl w:ilvl="0">
      <w:lvlJc w:val="left"/>
      <w:lvlText w:val="(%1)"/>
      <w:numFmt w:val="lowerRoman"/>
      <w:start w:val="5"/>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decimal"/>
      <w:start w:val="3"/>
    </w:lvl>
    <w:lvl w:ilvl="1">
      <w:lvlJc w:val="left"/>
      <w:lvlText w:val="(%2)"/>
      <w:numFmt w:val="lowerRoman"/>
      <w:start w:val="2"/>
    </w:lvl>
  </w:abstractNum>
  <w:abstractNum w:abstractNumId="95">
    <w:nsid w:val="5FB8370B"/>
    <w:multiLevelType w:val="hybridMultilevel"/>
    <w:lvl w:ilvl="0">
      <w:lvlJc w:val="left"/>
      <w:lvlText w:val="%1."/>
      <w:numFmt w:val="decimal"/>
      <w:start w:val="6"/>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jpe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4"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jpeg"/><Relationship Id="rId151" Type="http://schemas.openxmlformats.org/officeDocument/2006/relationships/image" Target="media/image115.png"/><Relationship Id="rId152" Type="http://schemas.openxmlformats.org/officeDocument/2006/relationships/image" Target="media/image116.jpeg"/><Relationship Id="rId153" Type="http://schemas.openxmlformats.org/officeDocument/2006/relationships/image" Target="media/image117.png"/><Relationship Id="rId154" Type="http://schemas.openxmlformats.org/officeDocument/2006/relationships/image" Target="media/image118.jpeg"/><Relationship Id="rId155" Type="http://schemas.openxmlformats.org/officeDocument/2006/relationships/image" Target="media/image119.png"/><Relationship Id="rId156" Type="http://schemas.openxmlformats.org/officeDocument/2006/relationships/image" Target="media/image120.jpeg"/><Relationship Id="rId157" Type="http://schemas.openxmlformats.org/officeDocument/2006/relationships/image" Target="media/image121.png"/><Relationship Id="rId158" Type="http://schemas.openxmlformats.org/officeDocument/2006/relationships/image" Target="media/image122.jpeg"/><Relationship Id="rId159" Type="http://schemas.openxmlformats.org/officeDocument/2006/relationships/image" Target="media/image123.png"/><Relationship Id="rId160" Type="http://schemas.openxmlformats.org/officeDocument/2006/relationships/image" Target="media/image124.jpeg"/><Relationship Id="rId161" Type="http://schemas.openxmlformats.org/officeDocument/2006/relationships/image" Target="media/image125.png"/><Relationship Id="rId162" Type="http://schemas.openxmlformats.org/officeDocument/2006/relationships/image" Target="media/image126.jpeg"/><Relationship Id="rId163" Type="http://schemas.openxmlformats.org/officeDocument/2006/relationships/image" Target="media/image127.png"/><Relationship Id="rId164" Type="http://schemas.openxmlformats.org/officeDocument/2006/relationships/image" Target="media/image128.jpeg"/><Relationship Id="rId165" Type="http://schemas.openxmlformats.org/officeDocument/2006/relationships/image" Target="media/image129.png"/><Relationship Id="rId166" Type="http://schemas.openxmlformats.org/officeDocument/2006/relationships/image" Target="media/image130.jpeg"/><Relationship Id="rId167" Type="http://schemas.openxmlformats.org/officeDocument/2006/relationships/image" Target="media/image131.png"/><Relationship Id="rId168" Type="http://schemas.openxmlformats.org/officeDocument/2006/relationships/image" Target="media/image132.jpeg"/><Relationship Id="rId169" Type="http://schemas.openxmlformats.org/officeDocument/2006/relationships/image" Target="media/image133.jpeg"/><Relationship Id="rId170" Type="http://schemas.openxmlformats.org/officeDocument/2006/relationships/image" Target="media/image134.png"/><Relationship Id="rId171" Type="http://schemas.openxmlformats.org/officeDocument/2006/relationships/image" Target="media/image135.jpeg"/><Relationship Id="rId172" Type="http://schemas.openxmlformats.org/officeDocument/2006/relationships/image" Target="media/image136.png"/><Relationship Id="rId173" Type="http://schemas.openxmlformats.org/officeDocument/2006/relationships/image" Target="media/image137.jpeg"/><Relationship Id="rId174" Type="http://schemas.openxmlformats.org/officeDocument/2006/relationships/image" Target="media/image138.png"/><Relationship Id="rId72" Type="http://schemas.openxmlformats.org/officeDocument/2006/relationships/hyperlink" Target="https://www.sec.gov/ix?doc=/Archives/edgar/data/1022344/000155837025001271/spg-20241231x10k.htm" TargetMode="External"/><Relationship Id="rId74" Type="http://schemas.openxmlformats.org/officeDocument/2006/relationships/hyperlink" Target="http://www.sec.gov/ix?doc=/Archives/edgar/data/1022344/000155837025007380/spg-20250331x10q.htm" TargetMode="External"/><Relationship Id="rId75" Type="http://schemas.openxmlformats.org/officeDocument/2006/relationships/hyperlink" Target="http://www.sec.gov/ix?doc=/Archives/edgar/data/1022344/000155837025010639/spg-20250630x10q.htm" TargetMode="External"/><Relationship Id="rId76" Type="http://schemas.openxmlformats.org/officeDocument/2006/relationships/hyperlink" Target="http://www.sec.gov/ix?doc=/Archives/edgar/data/1022344/000110465925107395/spg-20250930x10q.htm" TargetMode="External"/><Relationship Id="rId77" Type="http://schemas.openxmlformats.org/officeDocument/2006/relationships/hyperlink" Target="https://www.sec.gov/Archives/edgar/data/1063761/000110465909036645/a09-14855_18a12ba.htm" TargetMode="External"/><Relationship Id="rId78" Type="http://schemas.openxmlformats.org/officeDocument/2006/relationships/hyperlink" Target="https://www.sec.gov/Archives/edgar/data/1022344/000155837025001271/spg-20241231xex4d2.htm" TargetMode="External"/><Relationship Id="rId79" Type="http://schemas.openxmlformats.org/officeDocument/2006/relationships/hyperlink" Target="https://www.sec.gov/Archives/edgar/data/1063761/000104746904035887/a2147367z8-a12b.htm" TargetMode="External"/><Relationship Id="rId80" Type="http://schemas.openxmlformats.org/officeDocument/2006/relationships/hyperlink" Target="https://www.sec.gov/ix?doc=/Archives/edgar/data/1063761/000155837025004238/spg-20250514xdef14a.htm" TargetMode="External"/><Relationship Id="rId81" Type="http://schemas.openxmlformats.org/officeDocument/2006/relationships/hyperlink" Target="https://www.sec.gov/Archives/edgar/data/1063761/000110465925044379/tm2513869-1_defa14a.htm" TargetMode="External"/><Relationship Id="rId82" Type="http://schemas.openxmlformats.org/officeDocument/2006/relationships/hyperlink" Target="https://www.sec.gov/ix?doc=/Archives/edgar/data/1022344/000110465925049284/tm2515129d1_8k.htm" TargetMode="External"/><Relationship Id="rId83" Type="http://schemas.openxmlformats.org/officeDocument/2006/relationships/hyperlink" Target="https://www.sec.gov/ix?doc=/Archives/edgar/data/1063761/000110465925074993/tm2522784d1_8k.htm" TargetMode="External"/><Relationship Id="rId84" Type="http://schemas.openxmlformats.org/officeDocument/2006/relationships/hyperlink" Target="https://www.sec.gov/ix?doc=/Archives/edgar/data/1022344/000110465925080255/tm2523714d1_8k.htm" TargetMode="External"/><Relationship Id="rId114" Type="http://schemas.openxmlformats.org/officeDocument/2006/relationships/hyperlink" Target="https://www.sec.gov/ix?doc=/Archives/edgar/data/1022344/000155837025007380/spg-20250331x10q.htm" TargetMode="External"/><Relationship Id="rId115" Type="http://schemas.openxmlformats.org/officeDocument/2006/relationships/hyperlink" Target="https://www.sec.gov/ix?doc=/Archives/edgar/data/1022344/000155837025010639/spg-20250630x10q.htm" TargetMode="External"/><Relationship Id="rId116" Type="http://schemas.openxmlformats.org/officeDocument/2006/relationships/hyperlink" Target="https://www.sec.gov/ix?doc=/Archives/edgar/data/1022344/000110465925107395/spg-20250930x10q.htm" TargetMode="External"/><Relationship Id="rId121" Type="http://schemas.openxmlformats.org/officeDocument/2006/relationships/hyperlink" Target="https://www.sec.gov/Archives/edgar/data/1022344/000110465925049284/tm2515129d1_ex2-1.htm" TargetMode="External"/><Relationship Id="rId122" Type="http://schemas.openxmlformats.org/officeDocument/2006/relationships/hyperlink" Target="https://www.sec.gov/Archives/edgar/data/1022344/000110465925049284/tm2515129d1_ex2-2.htm" TargetMode="External"/><Relationship Id="rId123" Type="http://schemas.openxmlformats.org/officeDocument/2006/relationships/hyperlink" Target="https://www.sec.gov/Archives/edgar/data/1022344/000110465925049284/tm2515129d1_ex3-1.htm" TargetMode="External"/><Relationship Id="rId125" Type="http://schemas.openxmlformats.org/officeDocument/2006/relationships/hyperlink" Target="https://www.sec.gov/Archives/edgar/data/1063761/000110465904031080/a04-11680_1ex3d2.htm" TargetMode="External"/><Relationship Id="rId126" Type="http://schemas.openxmlformats.org/officeDocument/2006/relationships/hyperlink" Target="https://www.sec.gov/Archives/edgar/data/1022344/000110465925049284/tm2515129d1_ex3-2.htm" TargetMode="External"/><Relationship Id="rId127" Type="http://schemas.openxmlformats.org/officeDocument/2006/relationships/hyperlink" Target="https://www.sec.gov/Archives/edgar/data/1022344/000110465925049284/tm2515129d1_ex3-4.htm" TargetMode="External"/><Relationship Id="rId128" Type="http://schemas.openxmlformats.org/officeDocument/2006/relationships/hyperlink" Target="https://www.sec.gov/Archives/edgar/data/1022344/000110465925049284/tm2515129d1_ex3-3.htm" TargetMode="External"/><Relationship Id="rId129" Type="http://schemas.openxmlformats.org/officeDocument/2006/relationships/hyperlink" Target="https://www.sec.gov/Archives/edgar/data/1063761/0000950123-98-008890.txt" TargetMode="External"/><Relationship Id="rId130" Type="http://schemas.openxmlformats.org/officeDocument/2006/relationships/hyperlink" Target="https://www.sec.gov/Archives/edgar/data/1063761/000104746904009131/a2131689zex-4_4.htm" TargetMode="External"/><Relationship Id="rId131" Type="http://schemas.openxmlformats.org/officeDocument/2006/relationships/hyperlink" Target="https://www.sec.gov/Archives/edgar/data/1063761/000091205701542393/a2065357zex-4_8.htm" TargetMode="External"/><Relationship Id="rId132" Type="http://schemas.openxmlformats.org/officeDocument/2006/relationships/hyperlink" Target="https://www.sec.gov/Archives/edgar/data/1022344/0000950142-96-000546.txt" TargetMode="External"/><Relationship Id="rId133" Type="http://schemas.openxmlformats.org/officeDocument/2006/relationships/hyperlink" Target="https://www.sec.gov/Archives/edgar/data/1022344/000110465924026836/tm246840-1_s3asr.htm#tSIG" TargetMode="External"/><Relationship Id="rId134" Type="http://schemas.openxmlformats.org/officeDocument/2006/relationships/hyperlink" Target="https://www.sec.gov/Archives/edgar/data/1022344/000110465924026836/tm246840d2_ex25.htm" TargetMode="External"/><Relationship Id="rId135" Type="http://schemas.openxmlformats.org/officeDocument/2006/relationships/hyperlink" Target="https://www.sec.gov/Archives/edgar/data/1022344/000110465924026836/tm246840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2026-01-06T08:49:51Z</dcterms:created>
  <dcterms:modified xsi:type="dcterms:W3CDTF">2026-01-06T08:49:51Z</dcterms:modified>
</cp:coreProperties>
</file>