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428625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16" w:lineRule="exact"/>
        <w:rPr>
          <w:sz w:val="24"/>
          <w:szCs w:val="24"/>
          <w:color w:val="auto"/>
        </w:rPr>
      </w:pPr>
    </w:p>
    <w:p>
      <w:pPr>
        <w:ind w:left="140" w:right="139" w:hanging="8"/>
        <w:spacing w:after="0" w:line="286" w:lineRule="auto"/>
        <w:rPr>
          <w:sz w:val="20"/>
          <w:szCs w:val="20"/>
          <w:color w:val="auto"/>
        </w:rPr>
      </w:pPr>
      <w:r>
        <w:rPr>
          <w:rFonts w:ascii="Times New Roman" w:cs="Times New Roman" w:eastAsia="Times New Roman" w:hAnsi="Times New Roman"/>
          <w:sz w:val="21"/>
          <w:szCs w:val="21"/>
          <w:b w:val="1"/>
          <w:bCs w:val="1"/>
          <w:color w:val="auto"/>
        </w:rPr>
        <w:t>FOR ANNUAL REPORTS OF EMPLOYEE STOCK PURCHASE, SAVINGS AND SIMLIAR PLANS PURSUANT TO SECTION 15(d) OF THE SECURITIES EXCHANGE ACT OF 1934</w:t>
      </w:r>
    </w:p>
    <w:p>
      <w:pPr>
        <w:spacing w:after="0" w:line="1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w:t>
      </w:r>
    </w:p>
    <w:p>
      <w:pPr>
        <w:spacing w:after="0" w:line="221" w:lineRule="exact"/>
        <w:rPr>
          <w:rFonts w:ascii="MS PGothic" w:cs="MS PGothic" w:eastAsia="MS PGothic" w:hAnsi="MS PGothic"/>
          <w:sz w:val="18"/>
          <w:szCs w:val="18"/>
          <w:color w:val="auto"/>
        </w:rPr>
      </w:pPr>
    </w:p>
    <w:p>
      <w:pPr>
        <w:ind w:left="28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9" w:lineRule="exact"/>
        <w:rPr>
          <w:sz w:val="24"/>
          <w:szCs w:val="24"/>
          <w:color w:val="auto"/>
        </w:rPr>
      </w:pPr>
    </w:p>
    <w:p>
      <w:pPr>
        <w:ind w:left="380" w:hanging="330"/>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15(d) OF THE SECURITIES EXCHANGE ACT OF 1934</w:t>
      </w:r>
    </w:p>
    <w:p>
      <w:pPr>
        <w:spacing w:after="0" w:line="225" w:lineRule="exact"/>
        <w:rPr>
          <w:sz w:val="24"/>
          <w:szCs w:val="24"/>
          <w:color w:val="auto"/>
        </w:rPr>
      </w:pPr>
    </w:p>
    <w:p>
      <w:pPr>
        <w:ind w:left="2420"/>
        <w:spacing w:after="0"/>
        <w:tabs>
          <w:tab w:leader="none" w:pos="54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2923540</wp:posOffset>
            </wp:positionH>
            <wp:positionV relativeFrom="paragraph">
              <wp:posOffset>-7620</wp:posOffset>
            </wp:positionV>
            <wp:extent cx="125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001-14469</w:t>
      </w:r>
    </w:p>
    <w:p>
      <w:pPr>
        <w:spacing w:after="0" w:line="2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2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SIMON PROPERTY GROUP</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AND ADOPTING ENTITIES</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MATCHING SAVINGS PLAN</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3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SIMON PROPERTY GROUP, INC.</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Indianapolis, IN 46204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29" w:lineRule="exact"/>
        <w:rPr>
          <w:sz w:val="24"/>
          <w:szCs w:val="24"/>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Item 4. The Plan’s financial statements and schedules have been prepared in accordance with the financial reporting requirements of the Employee Retirement Income Security Act of 1974 (“ERISA”). To the extent required by ERISA, the plan financial statements have been examined by independent accountants, except that the “limited scope exemption” contained in Section 103(a) (3) (C) of ERISA was not available. Such financial statements and schedules are included in this Report in lieu of the information required by Items 1-3 of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753745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102235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AUDITED FINANCIAL STATEMENTS AND SUPPLEMENTAL SCHEDULE</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Simon Property Group and Adopting Entities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Matching Savings Plan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2024, and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7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22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color w:val="auto"/>
                <w:w w:val="99"/>
              </w:rPr>
              <w:t>Simon Property Group and Adopting Entities Matching Savings Plan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6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rPr>
              <w:t>Audited Financial Statements and Supplemental Schedule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2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w w:val="99"/>
              </w:rPr>
              <w:t>December 31, 2025 and 2024, and for the Year Ended December 31, 2025</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8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0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92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gridSpan w:val="2"/>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2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2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gridSpan w:val="2"/>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2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Supplemental Schedule</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gridSpan w:val="2"/>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2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2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2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48"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To the Plan Participants and the Plan Administrator of Simon Property Group and Adopting Entities Matching Savings Plan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Simon Property Group and Adopting Entities Matching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 ended December 31, 2025, in conformity with U.S. generally accepted accounting principles.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Simon Property Group and Adopting Entities Matching Savings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0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tcPr>
          <w:p>
            <w:pPr>
              <w:spacing w:after="0"/>
              <w:rPr>
                <w:sz w:val="12"/>
                <w:szCs w:val="12"/>
                <w:color w:val="auto"/>
              </w:rPr>
            </w:pPr>
          </w:p>
        </w:tc>
        <w:tc>
          <w:tcPr>
            <w:tcW w:w="2080" w:type="dxa"/>
            <w:vAlign w:val="bottom"/>
            <w:gridSpan w:val="2"/>
          </w:tcPr>
          <w:p>
            <w:pPr>
              <w:ind w:left="19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$ 633,646,907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$ 558,765,242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35,292,847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33,957,609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668,939,754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592,722,851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5,421,872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available for benefits</w:t>
            </w:r>
          </w:p>
        </w:tc>
        <w:tc>
          <w:tcPr>
            <w:tcW w:w="1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$ 674,361,626</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$ 597,638,417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Simon Property Group and Adopting Entities Matching Savings Plan</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8"/>
              </w:rPr>
              <w:t>For the Year Ended December 31, 2025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Rollover</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Transfer-in of plan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94,692,747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139,418,393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61,814,920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62,695,184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76,723,209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597,638,417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 of year</w:t>
            </w:r>
          </w:p>
        </w:tc>
        <w:tc>
          <w:tcPr>
            <w:tcW w:w="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674,361,626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Simon Property Group and Adopting Entities Matching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Simon Property Group and Adopting Entities Matching Savings Plan (the Plan) provides general information about the Plan’s provisions. Simon Property Group, L.P. and affiliated companies (the Employer or the Company) is the plan sponsor. Participants should refer to the plan document for a more complete description of the Plan’s provisions, copies of which may be obtained from the plan sponsor. Simon Property Group, Inc. (SPG), a publicly traded real estate investment trust (REIT), owned a controlling 85.4% and 86.5% of Simon Property Group, L.P. at December 31, 2025 and 2024,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covering substantially all employees of the Company who have at least 60 days of service and are age 21 or older.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Plan Administrative Committee is responsible for the general administration of the Plan. Fidelity Management Trust Company is the trustee and record-keeper of the Plan. The Plan is subject to the provisions of the Employee Retirement Income Security Act of 1974, as amended (ERISA).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Contributions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purposes of making contributions to the Plan, employees become eligible on the first day of the month coincident with or following completion of 60 days of active employment and upon reaching age 21. Each year, participants may contribute from 1% to 50% of their before-tax compensation, as defined in the Plan. If automatically enrolled, a participant’s deferral is set at 3% of his or her eligible compensation and will increase 1% annually, with a maximum automatic contribution of 10% of eligible compensation, unless changed by the participant. Contributions are subject to maximum limitations, as defined in the Internal Revenue Code (the Code).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the purpose of receiving the employer match and any discretionary employer contribution, an employee becomes eligible on the first day of the month coincident with or following completion of one year of eligible service (at least 1,000 hours of employment) and upon reaching age 21. The Employer currently matches 100% of eligible participants’ first 3% elected salary deductions and 50% of the participants’ next 2% elected salary deductions. In addition, the employer made discretionary profit-sharing contributions, net of forfeitures, which totaled $2,874,044 and $2,736,661 during 2025 and 2024, respectively. The discretionary contributions applied to all eligible employees, as defined. As of December 31, 2025 and 2024, unallocated participant forfeitures totaled $161,849 and $116,982, respectively, and are used to reduce future employer contributions. Forfeitures used to reduce employer contributions during 2025 were $170,222.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for participant contributions and allocations of the Employer’s contributions and the Plan’s earnings. Investment earnings are allocated proportionately among all participants’ accounts in an amount that bears the same ratio of their account balances to the total fund balance. The benefit to which a participant is entitled is the benefit that can be provided from the participants’ vested accounts.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employees that participate in the Plan can borrow from their accounts in accordance with the provisions of the Plan. The participant pays interest on the loan based on market interest rates at the date of the loan. This interest is credited to the participant’s account balance. Both the maximum amounts available and repayment terms for such borrowings are restricted under provisions of the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contributions and related investment earnings become vested at the time they are credited to the participants’ accounts. In addition, employees vest immediately in employer-matching contributions.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Discretionary profit-sharing contributions vest according to the following schedule: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of Vesting Service</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0" w:type="dxa"/>
            <w:vAlign w:val="bottom"/>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Percentage Vested and Non-forfeitable</w:t>
            </w:r>
          </w:p>
        </w:tc>
      </w:tr>
      <w:tr>
        <w:trPr>
          <w:trHeight w:val="209"/>
        </w:trPr>
        <w:tc>
          <w:tcPr>
            <w:tcW w:w="4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2</w:t>
            </w:r>
          </w:p>
        </w:tc>
        <w:tc>
          <w:tcPr>
            <w:tcW w:w="24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or more</w:t>
            </w:r>
          </w:p>
        </w:tc>
        <w:tc>
          <w:tcPr>
            <w:tcW w:w="2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Upon separation from service with the Company due to death, disability, retirement or termination, a participant, or their beneficiary whose vested account balance exceeds $5,000 may elect to receive either a lump sum or may elect installment payments. A participant whose vested account balance is $5,000 or less and has not commenced receiving installment payments will automatically receive an immediate lump-sum distribution equal to his or her vested account balance.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In-service withdrawals are available in certain limited circumstances, as defined by the Plan. Hardship withdrawals are allowed for participants incurring an immediate and heavy financial need, as defined by the Plan. Hardship withdrawals are strictly regulated by the Internal Revenue Service (IRS), and a participant must exhaust all available distributions prior to requesting a hardship withdrawal.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administrative expenses are paid by the Plan with the exception of legal expenses which are paid by the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Stock Fund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Plan invests in common stock of SPG through its Simon Property Group Stock Fund (the Company Stock Fund). The Company Stock Fund may also hold cash or other short-term securities, although these are expected to be a small percentage of the fund.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shares allocated to his or her account and is notified by the Company prior to the time that such rights may be exercised. The trustee votes any allocated shares for which timely instructions have not been given by a participant and any unallocated shares in the same proportion as it votes those shares for which it has received timely voting instructions from participants. Participants have the same voting rights in the event of a tender or exchange offer.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the Plan terminates, participants will become 100% vested in their accounts.</w:t>
      </w:r>
    </w:p>
    <w:p>
      <w:pPr>
        <w:spacing w:after="0" w:line="172" w:lineRule="exact"/>
        <w:rPr>
          <w:sz w:val="20"/>
          <w:szCs w:val="20"/>
          <w:color w:val="auto"/>
        </w:rPr>
      </w:pPr>
    </w:p>
    <w:p>
      <w:pPr>
        <w:ind w:left="60" w:right="5419" w:hanging="10"/>
        <w:spacing w:after="0" w:line="503" w:lineRule="auto"/>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ind w:left="60"/>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Employer are recorded in the year in which the employee contributions are withheld from compensation.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(U.S. GAAP) requires management to make estimates that affect the amounts reported in the financial statements and accompanying notes and supplemental schedule. Actual results could differ from those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Investments held by the Plan are stated at fair value. Fair value is defined as the price that would be received to sell an asset or paid to transfer a liability in an orderly transaction between market participants at the measurement date (an exit price). See Note 7 for further discussion of fair value measurements.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as earned. Dividends are recorded on the ex-dividend date. Net appreciation (depreciation) includes the Plan’s gains and losses on investments bought and sold, as well as held, during the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Tax Status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 has received a determination letter from the IRS dated June 1, 2015,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qualified status. The plan administrator believes the Plan is being operated in compliance with the applicable requirements of the Code and therefore, believes the Plan, as amended, is qualified and the related trust is tax-exempt.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tax positions taken by the Plan and recognize a tax liability if the Plan has taken an uncertain position that more likely than not would not be sustained upon examination by the IRS. Plan management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Risks and Uncertainties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volatility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Related-Party and Party in Interest Transactions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Plan holds units of common/collective trust funds managed by Mercer, the investment advisor of the Plan. This Plan also invests in the common stock of SPG. These transactions qualify as party-in-interest transactions; however, they are exempt from the prohibited transaction rules under ERISA. During 2025, the Plan received $1,632,678 in common stock dividends from SPG.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net assets available for benefits per the Form 5500 totaled $674,361,626 and $597,638,417, respectively, and are equal to the net assets available for benefits per the financial statements. There were no reconciliation differences for 2025 and 2024.</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benefits paid to participants per the Form 5500 for the year ended December 31, 2025 totaled $61,814,920 and is equal to the benefits paid to participants per the financial statements with no reconciling differences.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(i.e., an exit price). The fair value hierarchy prioritizes the inputs to valuation techniques used to measure fair value.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and liabilities (Level 1) and the lowest priority to unobservable inputs (Level 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225"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Observable inputs other than quoted prices that are used in the valuation of the assets or liabilities (e.g., interest rate and yield curve quotes at commonly quoted intervals)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(i.e., supported by little or no market activity). Level 3 inputs include management’s own assumption about the assumptions that market participants would use in pricing the asset or liability (including assumptions about risk).</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measurement in its entirety.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techniques and inputs used for each general type of investment measured at fair value by the Plan.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Common stock includes SPG common stock.</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Common/Collective Trust Funds: </w:t>
      </w:r>
      <w:r>
        <w:rPr>
          <w:rFonts w:ascii="Times New Roman" w:cs="Times New Roman" w:eastAsia="Times New Roman" w:hAnsi="Times New Roman"/>
          <w:sz w:val="18"/>
          <w:szCs w:val="18"/>
          <w:color w:val="auto"/>
        </w:rPr>
        <w:t>Common/collective trust funds are valued using the net asset value (NAV).</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of the Plan’s assets carried at fair value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54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3760" w:type="dxa"/>
            <w:vAlign w:val="bottom"/>
            <w:gridSpan w:val="14"/>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r>
      <w:tr>
        <w:trPr>
          <w:trHeight w:val="20"/>
        </w:trPr>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42"/>
        </w:trPr>
        <w:tc>
          <w:tcPr>
            <w:tcW w:w="3600" w:type="dxa"/>
            <w:vAlign w:val="bottom"/>
          </w:tcPr>
          <w:p>
            <w:pPr>
              <w:spacing w:after="0"/>
              <w:rPr>
                <w:sz w:val="12"/>
                <w:szCs w:val="12"/>
                <w:color w:val="auto"/>
              </w:rPr>
            </w:pPr>
          </w:p>
        </w:tc>
        <w:tc>
          <w:tcPr>
            <w:tcW w:w="1540" w:type="dxa"/>
            <w:vAlign w:val="bottom"/>
            <w:gridSpan w:val="3"/>
          </w:tcPr>
          <w:p>
            <w:pPr>
              <w:ind w:left="1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35,292,847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35,292,847</w:t>
            </w:r>
          </w:p>
        </w:tc>
      </w:tr>
      <w:tr>
        <w:trPr>
          <w:trHeight w:val="21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633,646,907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633,646,907</w:t>
            </w: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$ 668,939,754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$ 668,939,754</w:t>
            </w:r>
          </w:p>
        </w:tc>
      </w:tr>
      <w:tr>
        <w:trPr>
          <w:trHeight w:val="20"/>
        </w:trPr>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72"/>
        </w:trPr>
        <w:tc>
          <w:tcPr>
            <w:tcW w:w="3600" w:type="dxa"/>
            <w:vAlign w:val="bottom"/>
          </w:tcPr>
          <w:p>
            <w:pPr>
              <w:spacing w:after="0"/>
              <w:rPr>
                <w:sz w:val="24"/>
                <w:szCs w:val="24"/>
                <w:color w:val="auto"/>
              </w:rPr>
            </w:pPr>
          </w:p>
        </w:tc>
        <w:tc>
          <w:tcPr>
            <w:tcW w:w="154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w:t>
            </w:r>
          </w:p>
        </w:tc>
        <w:tc>
          <w:tcPr>
            <w:tcW w:w="3760" w:type="dxa"/>
            <w:vAlign w:val="bottom"/>
            <w:gridSpan w:val="14"/>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r>
      <w:tr>
        <w:trPr>
          <w:trHeight w:val="20"/>
        </w:trPr>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42"/>
        </w:trPr>
        <w:tc>
          <w:tcPr>
            <w:tcW w:w="3600" w:type="dxa"/>
            <w:vAlign w:val="bottom"/>
          </w:tcPr>
          <w:p>
            <w:pPr>
              <w:spacing w:after="0"/>
              <w:rPr>
                <w:sz w:val="12"/>
                <w:szCs w:val="12"/>
                <w:color w:val="auto"/>
              </w:rPr>
            </w:pPr>
          </w:p>
        </w:tc>
        <w:tc>
          <w:tcPr>
            <w:tcW w:w="1540" w:type="dxa"/>
            <w:vAlign w:val="bottom"/>
            <w:gridSpan w:val="3"/>
          </w:tcPr>
          <w:p>
            <w:pPr>
              <w:ind w:left="1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Level 2</w:t>
            </w: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33,957,609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33,957,609</w:t>
            </w:r>
          </w:p>
        </w:tc>
      </w:tr>
      <w:tr>
        <w:trPr>
          <w:trHeight w:val="21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4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558,765,242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558,765,242</w:t>
            </w: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$ 592,722,851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$ 592,722,851</w:t>
            </w:r>
          </w:p>
        </w:tc>
      </w:tr>
      <w:tr>
        <w:trPr>
          <w:trHeight w:val="20"/>
        </w:trPr>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Subsequent Event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31, 2025, the Company closed on the acquisition of the remaining 12% interest in The Taubman Realty Group, LLC (TRG) which it did not previously own. As a result of this acquisition, the Company obtained control of and consolidated TRG. Effective January 1, 2026, former employees of TRG who remained active and became employees of the Company began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Simon Property Group and Adopting Entities Matching Savings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EIN 34-1755769</w:t>
            </w:r>
          </w:p>
        </w:tc>
        <w:tc>
          <w:tcPr>
            <w:tcW w:w="2320" w:type="dxa"/>
            <w:vAlign w:val="bottom"/>
            <w:gridSpan w:val="3"/>
          </w:tcPr>
          <w:p>
            <w:pPr>
              <w:jc w:val="right"/>
              <w:ind w:right="1391"/>
              <w:spacing w:after="0"/>
              <w:rPr>
                <w:sz w:val="20"/>
                <w:szCs w:val="20"/>
                <w:color w:val="auto"/>
              </w:rPr>
            </w:pPr>
            <w:r>
              <w:rPr>
                <w:rFonts w:ascii="Times New Roman" w:cs="Times New Roman" w:eastAsia="Times New Roman" w:hAnsi="Times New Roman"/>
                <w:sz w:val="18"/>
                <w:szCs w:val="18"/>
                <w:color w:val="auto"/>
              </w:rPr>
              <w:t>Plan #002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780" w:type="dxa"/>
            <w:vAlign w:val="bottom"/>
            <w:gridSpan w:val="4"/>
          </w:tcPr>
          <w:p>
            <w:pPr>
              <w:jc w:val="right"/>
              <w:ind w:right="1751"/>
              <w:spacing w:after="0"/>
              <w:rPr>
                <w:sz w:val="20"/>
                <w:szCs w:val="20"/>
                <w:color w:val="auto"/>
              </w:rPr>
            </w:pPr>
            <w:r>
              <w:rPr>
                <w:rFonts w:ascii="Times New Roman" w:cs="Times New Roman" w:eastAsia="Times New Roman" w:hAnsi="Times New Roman"/>
                <w:sz w:val="18"/>
                <w:szCs w:val="18"/>
                <w:color w:val="auto"/>
              </w:rPr>
              <w:t>December 31, 2025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Identity of Issue, Borrower,</w:t>
            </w:r>
          </w:p>
        </w:tc>
        <w:tc>
          <w:tcPr>
            <w:tcW w:w="820" w:type="dxa"/>
            <w:vAlign w:val="bottom"/>
          </w:tcPr>
          <w:p>
            <w:pPr>
              <w:spacing w:after="0"/>
              <w:rPr>
                <w:sz w:val="24"/>
                <w:szCs w:val="24"/>
                <w:color w:val="auto"/>
              </w:rPr>
            </w:pPr>
          </w:p>
        </w:tc>
        <w:tc>
          <w:tcPr>
            <w:tcW w:w="15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Description of</w:t>
            </w:r>
          </w:p>
        </w:tc>
        <w:tc>
          <w:tcPr>
            <w:tcW w:w="4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Lessor, or Similar Party</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Property Group, Inc. Corporate Common Stock*</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190,619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35,292,847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Common/collective trust funds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Stable Value B1</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25,464,422 units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Mercer Small Mid Cap Stock Fund *</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1,613,133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35,472,797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Mercer Diversified Bond *</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1,003,721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Mercer International Stock *</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1,406,587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US Index X</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449,638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Real Asset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596,278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Small Mid Cap Index</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766,555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S&amp;P 500 Index X</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18,178,651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219,416,316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US Bond Index X</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1,111,742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Income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Income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1,211,254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2025 IV</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1,777,699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32,343,460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2030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1,951,782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38,387,658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2035 IV</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2,355,811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48,562,679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2040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2,042,462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43,810,811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2045 IV</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1,436,314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31,854,563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2050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1,063,050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2055 IV</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766,213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2060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392,082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Target Return 2065 IV</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171,539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Target Return 2070 IV</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37,818 shares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collective trust funds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633,646,907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Participant loans*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Interest rates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range from 4% to</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5,421,872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674,361,626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party in interest to the Plan.</w:t>
      </w:r>
    </w:p>
    <w:p>
      <w:pPr>
        <w:spacing w:after="0" w:line="27"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all of the fund is participant directed, cost information is not required.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SIMON PROPERTY GROUP</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AND ADOPTING ENTITIES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MATCHING SAVINGS PLAN</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17, 2026</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Adam Reuille</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Adam Reuille</w:t>
            </w:r>
          </w:p>
        </w:tc>
        <w:tc>
          <w:tcPr>
            <w:tcW w:w="2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1006"/>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Index</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0" w:type="dxa"/>
            <w:vAlign w:val="bottom"/>
            <w:gridSpan w:val="3"/>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0" w:type="dxa"/>
            <w:vAlign w:val="bottom"/>
            <w:gridSpan w:val="2"/>
            <w:vMerge w:val="continue"/>
          </w:tcPr>
          <w:p>
            <w:pPr>
              <w:spacing w:after="0"/>
              <w:rPr>
                <w:sz w:val="15"/>
                <w:szCs w:val="15"/>
                <w:color w:val="auto"/>
              </w:rPr>
            </w:pPr>
          </w:p>
        </w:tc>
        <w:tc>
          <w:tcPr>
            <w:tcW w:w="6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right"/>
              <w:ind w:right="122"/>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4"/>
                <w:szCs w:val="14"/>
                <w:color w:val="auto"/>
              </w:rPr>
            </w:pPr>
          </w:p>
        </w:tc>
        <w:tc>
          <w:tcPr>
            <w:tcW w:w="80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40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333-82471) pertaining to the Simon Property Group and Adopting Entities Matching Savings Plan of our report dated June 17, 2026, with respect to the financial statements and schedule of the Simon Property Group and Adopting Entities Matching Savings Plan included in this Annual Report (Form 11-K) for the year ended December 31, 2025.</w:t>
      </w:r>
    </w:p>
    <w:p>
      <w:pPr>
        <w:spacing w:after="0" w:line="20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2026-06-17T12:12:48Z</dcterms:created>
  <dcterms:modified xsi:type="dcterms:W3CDTF">2026-06-17T12:12:48Z</dcterms:modified>
</cp:coreProperties>
</file>