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624890-2_424b5.htm"/>
        <w:bookmarkStart w:id="1" w:name="kstm26248902_424b5"/>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557" w:after="437"/>
        <w:ind w:left="540" w:right="0" w:hanging="0"/>
        <w:jc w:val="right"/>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Filed Pursuant to Rule 424(b)(5)</w:t>
      </w:r>
      <w:r>
        <w:rPr>
          <w:rFonts w:ascii="Times New Roman;Times;serif" w:hAnsi="Times New Roman;Times;serif"/>
          <w:b/>
          <w:i w:val="false"/>
          <w:caps w:val="false"/>
          <w:smallCaps w:val="false"/>
          <w:color w:val="000000"/>
          <w:sz w:val="20"/>
        </w:rPr>
        <w:t>​</w:t>
      </w:r>
    </w:p>
    <w:p>
      <w:pPr>
        <w:pStyle w:val="TextBody"/>
        <w:bidi w:val="0"/>
        <w:spacing w:lineRule="atLeast" w:line="200" w:before="557" w:after="437"/>
        <w:jc w:val="right"/>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Registration No. 333-277297-01</w:t>
      </w:r>
      <w:r>
        <w:rPr>
          <w:rFonts w:ascii="Times New Roman;Times;serif" w:hAnsi="Times New Roman;Times;serif"/>
          <w:b/>
          <w:i w:val="false"/>
          <w:caps w:val="false"/>
          <w:smallCaps w:val="false"/>
          <w:color w:val="000000"/>
          <w:sz w:val="20"/>
        </w:rPr>
        <w:t>​</w:t>
      </w:r>
    </w:p>
    <w:p>
      <w:pPr>
        <w:pStyle w:val="TextBody"/>
        <w:bidi w:val="0"/>
        <w:spacing w:lineRule="atLeast" w:line="240" w:before="557" w:after="437"/>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 SUPPLEMENT</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(To Prospectus dated January 6, 2026)</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320" w:before="8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$800,000,000</w:t>
      </w:r>
      <w:r>
        <w:rPr>
          <w:rFonts w:ascii="Times New Roman;Times;serif" w:hAnsi="Times New Roman;Times;serif"/>
          <w:b/>
          <w:i w:val="false"/>
          <w:caps w:val="false"/>
          <w:smallCaps w:val="false"/>
          <w:color w:val="000000"/>
          <w:spacing w:val="6"/>
          <w:sz w:val="28"/>
        </w:rPr>
        <w:t xml:space="preserve"> </w:t>
      </w:r>
    </w:p>
    <w:p>
      <w:pPr>
        <w:pStyle w:val="TextBody"/>
        <w:bidi w:val="0"/>
        <w:spacing w:before="140" w:after="283"/>
        <w:jc w:val="center"/>
        <w:rPr>
          <w:caps w:val="false"/>
          <w:smallCaps w:val="false"/>
          <w:color w:val="000000"/>
        </w:rPr>
      </w:pPr>
      <w:r>
        <w:rPr>
          <w:caps w:val="false"/>
          <w:smallCaps w:val="false"/>
          <w:color w:val="000000"/>
        </w:rPr>
        <w:drawing>
          <wp:inline distT="0" distB="0" distL="0" distR="0">
            <wp:extent cx="1981200" cy="7810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81200" cy="781050"/>
                    </a:xfrm>
                    <a:prstGeom prst="rect">
                      <a:avLst/>
                    </a:prstGeom>
                  </pic:spPr>
                </pic:pic>
              </a:graphicData>
            </a:graphic>
          </wp:inline>
        </w:drawing>
      </w:r>
      <w:r>
        <w:rPr>
          <w:caps w:val="false"/>
          <w:smallCaps w:val="false"/>
          <w:color w:val="000000"/>
        </w:rPr>
        <w:t xml:space="preserve"> </w:t>
      </w:r>
    </w:p>
    <w:p>
      <w:pPr>
        <w:pStyle w:val="TextBody"/>
        <w:bidi w:val="0"/>
        <w:spacing w:lineRule="atLeast" w:line="400" w:before="170" w:after="283"/>
        <w:jc w:val="center"/>
        <w:rPr>
          <w:rFonts w:ascii="Times New Roman;Times;serif" w:hAnsi="Times New Roman;Times;serif"/>
          <w:b/>
          <w:i w:val="false"/>
          <w:caps w:val="false"/>
          <w:smallCaps w:val="false"/>
          <w:color w:val="000000"/>
          <w:sz w:val="36"/>
        </w:rPr>
      </w:pPr>
      <w:r>
        <w:rPr>
          <w:rFonts w:ascii="Times New Roman;Times;serif" w:hAnsi="Times New Roman;Times;serif"/>
          <w:b/>
          <w:i w:val="false"/>
          <w:caps w:val="false"/>
          <w:smallCaps w:val="false"/>
          <w:color w:val="000000"/>
          <w:spacing w:val="-7"/>
          <w:sz w:val="36"/>
        </w:rPr>
        <w:t>SIMON PROPERTY GROUP, L.P.</w:t>
      </w:r>
      <w:r>
        <w:rPr>
          <w:rFonts w:ascii="Times New Roman;Times;serif" w:hAnsi="Times New Roman;Times;serif"/>
          <w:b/>
          <w:i w:val="false"/>
          <w:caps w:val="false"/>
          <w:smallCaps w:val="false"/>
          <w:color w:val="000000"/>
          <w:spacing w:val="7"/>
          <w:sz w:val="36"/>
        </w:rPr>
        <w:t xml:space="preserve"> </w:t>
      </w:r>
    </w:p>
    <w:p>
      <w:pPr>
        <w:pStyle w:val="TextBody"/>
        <w:bidi w:val="0"/>
        <w:spacing w:lineRule="atLeast" w:line="320" w:before="10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$400,000,000 5.250% Notes due 2032</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320" w:before="8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$400,000,000 5.650% Notes due 2036</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230" w:before="100" w:after="283"/>
        <w:ind w:left="540"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offering $400,000,000 aggregate principal amount of 5.250% Notes due 2032 (the “2032 Notes”) and $400,000,000 aggregate principal amount of 5.650% Notes due 2036 (the “2036 Notes” and, together with the 2032 Notes, the “notes”). We will pay interest on the 2032 Notes on February 15 and August 15 of each year, commencing on February 15, 2027. We will pay interest on the 2036 Notes on April 1 and October 1 of each year, commencing on April 1, 2027. </w:t>
      </w:r>
    </w:p>
    <w:p>
      <w:pPr>
        <w:pStyle w:val="TextBody"/>
        <w:bidi w:val="0"/>
        <w:spacing w:lineRule="atLeast" w:line="230" w:before="100" w:after="283"/>
        <w:ind w:left="540"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Unless earlier redeemed, the 2032 Notes will mature on February 15, 2032 and the 2036 Notes will mature on October 1, 2036. We may redeem the notes of either series prior to maturity, in whole or, from time to time, in part, at the redemption prices described in this prospectus supplement under “</w:t>
      </w:r>
      <w:r>
        <w:rPr>
          <w:rFonts w:ascii="Times New Roman;Times;serif" w:hAnsi="Times New Roman;Times;serif"/>
          <w:b w:val="false"/>
          <w:i/>
          <w:caps w:val="false"/>
          <w:smallCaps w:val="false"/>
          <w:color w:val="000000"/>
          <w:spacing w:val="4"/>
          <w:sz w:val="20"/>
        </w:rPr>
        <w:t>Description of Notes —  Optional Redemption</w:t>
      </w:r>
      <w:r>
        <w:rPr>
          <w:rFonts w:ascii="Times New Roman;Times;serif" w:hAnsi="Times New Roman;Times;serif"/>
          <w:b w:val="false"/>
          <w:i w:val="false"/>
          <w:caps w:val="false"/>
          <w:smallCaps w:val="false"/>
          <w:color w:val="000000"/>
          <w:spacing w:val="4"/>
          <w:sz w:val="20"/>
        </w:rPr>
        <w:t xml:space="preserve">.” If the 2032 Notes or the 2036 Notes are redeemed on or after January 15, 2032 or July 1, 2036, respectively, the redemption price will not include the Make-Whole Amount (defined herein). </w:t>
      </w:r>
    </w:p>
    <w:p>
      <w:pPr>
        <w:pStyle w:val="TextBody"/>
        <w:bidi w:val="0"/>
        <w:spacing w:lineRule="atLeast" w:line="230" w:before="100" w:after="283"/>
        <w:ind w:left="540"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be our unsecured and unsubordinated obligations and will rank equally with all of our other existing and future unsecured and unsubordinated indebtedness. </w:t>
      </w:r>
    </w:p>
    <w:p>
      <w:pPr>
        <w:pStyle w:val="TextBody"/>
        <w:bidi w:val="0"/>
        <w:spacing w:lineRule="atLeast" w:line="230" w:before="100" w:after="283"/>
        <w:ind w:left="540"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read carefully this prospectus supplement and the accompanying prospectus and the other information incorporated herein and therein by reference before you decide to invest in any notes. </w:t>
      </w:r>
    </w:p>
    <w:p>
      <w:pPr>
        <w:pStyle w:val="TextBody"/>
        <w:bidi w:val="0"/>
        <w:spacing w:lineRule="atLeast" w:line="230" w:before="100" w:after="283"/>
        <w:ind w:left="540" w:right="0" w:firstLine="400"/>
        <w:jc w:val="left"/>
        <w:rPr/>
      </w:pPr>
      <w:r>
        <w:rPr>
          <w:rFonts w:ascii="Times New Roman;Times;serif" w:hAnsi="Times New Roman;Times;serif"/>
          <w:b/>
          <w:i w:val="false"/>
          <w:caps w:val="false"/>
          <w:smallCaps w:val="false"/>
          <w:color w:val="000000"/>
          <w:spacing w:val="-4"/>
          <w:sz w:val="20"/>
        </w:rPr>
        <w:t>Investing in the notes involves risks that are described in the “</w:t>
      </w:r>
      <w:r>
        <w:rPr>
          <w:rFonts w:ascii="Times New Roman;Times;serif" w:hAnsi="Times New Roman;Times;serif"/>
          <w:b/>
          <w:i/>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section beginning on page </w:t>
      </w:r>
      <w:hyperlink w:anchor="sRIFA">
        <w:r>
          <w:rPr>
            <w:rStyle w:val="InternetLink"/>
          </w:rPr>
          <w:t>S-4</w:t>
        </w:r>
      </w:hyperlink>
      <w:r>
        <w:rPr>
          <w:rFonts w:ascii="Times New Roman;Times;serif" w:hAnsi="Times New Roman;Times;serif"/>
          <w:b/>
          <w:i w:val="false"/>
          <w:caps w:val="false"/>
          <w:smallCaps w:val="false"/>
          <w:color w:val="000000"/>
          <w:spacing w:val="-4"/>
          <w:sz w:val="20"/>
        </w:rPr>
        <w:t xml:space="preserve"> of this prospectus supplement and page 11 of our </w:t>
      </w:r>
      <w:hyperlink r:id="rId3">
        <w:r>
          <w:rPr>
            <w:rStyle w:val="InternetLink"/>
          </w:rPr>
          <w:t>Annual Report on Form 10-K for the year ended December 31, 2025</w:t>
        </w:r>
      </w:hyperlink>
      <w:r>
        <w:rPr>
          <w:rFonts w:ascii="Times New Roman;Times;serif" w:hAnsi="Times New Roman;Times;serif"/>
          <w:b/>
          <w:i w:val="false"/>
          <w:caps w:val="false"/>
          <w:smallCaps w:val="false"/>
          <w:color w:val="000000"/>
          <w:spacing w:val="-4"/>
          <w:sz w:val="20"/>
        </w:rPr>
        <w:t>, which is incorporated by reference herein</w:t>
      </w:r>
      <w:r>
        <w:rPr>
          <w:rFonts w:ascii="Times New Roman;Times;serif" w:hAnsi="Times New Roman;Times;serif"/>
          <w:b w:val="false"/>
          <w:i w:val="false"/>
          <w:caps w:val="false"/>
          <w:smallCaps w:val="false"/>
          <w:color w:val="000000"/>
          <w:spacing w:val="4"/>
          <w:sz w:val="20"/>
        </w:rPr>
        <w:t xml:space="preserve">. </w:t>
      </w:r>
    </w:p>
    <w:tbl>
      <w:tblPr>
        <w:tblW w:w="7591" w:type="dxa"/>
        <w:jc w:val="left"/>
        <w:tblInd w:w="540" w:type="dxa"/>
        <w:tblLayout w:type="fixed"/>
        <w:tblCellMar>
          <w:top w:w="0" w:type="dxa"/>
          <w:left w:w="0" w:type="dxa"/>
          <w:bottom w:w="28" w:type="dxa"/>
          <w:right w:w="0" w:type="dxa"/>
        </w:tblCellMar>
      </w:tblPr>
      <w:tblGrid>
        <w:gridCol w:w="1593"/>
        <w:gridCol w:w="109"/>
        <w:gridCol w:w="109"/>
        <w:gridCol w:w="109"/>
        <w:gridCol w:w="226"/>
        <w:gridCol w:w="1366"/>
        <w:gridCol w:w="109"/>
        <w:gridCol w:w="109"/>
        <w:gridCol w:w="109"/>
        <w:gridCol w:w="109"/>
        <w:gridCol w:w="226"/>
        <w:gridCol w:w="1126"/>
        <w:gridCol w:w="109"/>
        <w:gridCol w:w="109"/>
        <w:gridCol w:w="109"/>
        <w:gridCol w:w="109"/>
        <w:gridCol w:w="226"/>
        <w:gridCol w:w="1366"/>
        <w:gridCol w:w="109"/>
        <w:gridCol w:w="154"/>
      </w:tblGrid>
      <w:tr>
        <w:trPr/>
        <w:tc>
          <w:tcPr>
            <w:tcW w:w="159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10" w:type="dxa"/>
            <w:gridSpan w:val="4"/>
            <w:tcBorders>
              <w:bottom w:val="single" w:sz="2" w:space="0" w:color="000000"/>
            </w:tcBorders>
            <w:tcMar>
              <w:bottom w:w="33" w:type="dxa"/>
            </w:tcMar>
            <w:vAlign w:val="center"/>
          </w:tcPr>
          <w:p>
            <w:pPr>
              <w:pStyle w:val="TableContents"/>
              <w:bidi w:val="0"/>
              <w:spacing w:lineRule="atLeast" w:line="142" w:before="0" w:after="0"/>
              <w:jc w:val="center"/>
              <w:rPr/>
            </w:pPr>
            <w:r>
              <w:rPr>
                <w:spacing w:val="-3"/>
              </w:rPr>
              <w:t>Public Offering</w:t>
            </w:r>
            <w:r>
              <w:rPr/>
              <w:t xml:space="preserve"> </w:t>
              <w:br/>
            </w:r>
            <w:r>
              <w:rPr>
                <w:spacing w:val="-3"/>
              </w:rPr>
              <w:t>Price</w:t>
            </w:r>
            <w:r>
              <w:rPr>
                <w:spacing w:val="-2"/>
                <w:sz w:val="10"/>
              </w:rPr>
              <w:t>(1)</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70" w:type="dxa"/>
            <w:gridSpan w:val="4"/>
            <w:tcBorders>
              <w:bottom w:val="single" w:sz="2" w:space="0" w:color="000000"/>
            </w:tcBorders>
            <w:tcMar>
              <w:bottom w:w="33" w:type="dxa"/>
            </w:tcMar>
            <w:vAlign w:val="center"/>
          </w:tcPr>
          <w:p>
            <w:pPr>
              <w:pStyle w:val="TableContents"/>
              <w:bidi w:val="0"/>
              <w:spacing w:before="0" w:after="0"/>
              <w:jc w:val="center"/>
              <w:rPr/>
            </w:pPr>
            <w:r>
              <w:rPr>
                <w:spacing w:val="-3"/>
              </w:rPr>
              <w:t>Underwriting</w:t>
            </w:r>
            <w:r>
              <w:rPr/>
              <w:t xml:space="preserve"> </w:t>
              <w:br/>
            </w:r>
            <w:r>
              <w:rPr>
                <w:spacing w:val="-3"/>
              </w:rPr>
              <w:t xml:space="preserve">Discount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10" w:type="dxa"/>
            <w:gridSpan w:val="4"/>
            <w:tcBorders>
              <w:bottom w:val="single" w:sz="2" w:space="0" w:color="000000"/>
            </w:tcBorders>
            <w:tcMar>
              <w:bottom w:w="33" w:type="dxa"/>
            </w:tcMar>
            <w:vAlign w:val="center"/>
          </w:tcPr>
          <w:p>
            <w:pPr>
              <w:pStyle w:val="TableContents"/>
              <w:bidi w:val="0"/>
              <w:spacing w:before="0" w:after="0"/>
              <w:jc w:val="center"/>
              <w:rPr/>
            </w:pPr>
            <w:r>
              <w:rPr>
                <w:spacing w:val="-3"/>
              </w:rPr>
              <w:t>Proceeds before</w:t>
            </w:r>
            <w:r>
              <w:rPr/>
              <w:t xml:space="preserve"> </w:t>
              <w:br/>
            </w:r>
            <w:r>
              <w:rPr>
                <w:spacing w:val="-3"/>
              </w:rPr>
              <w:t xml:space="preserve">Expenses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593" w:type="dxa"/>
            <w:tcBorders/>
            <w:shd w:fill="CCEEFF" w:val="clear"/>
            <w:tcMar>
              <w:bottom w:w="0" w:type="dxa"/>
            </w:tcMar>
            <w:vAlign w:val="center"/>
          </w:tcPr>
          <w:p>
            <w:pPr>
              <w:pStyle w:val="TableContents"/>
              <w:bidi w:val="0"/>
              <w:spacing w:before="0" w:after="0"/>
              <w:jc w:val="left"/>
              <w:rPr>
                <w:spacing w:val="4"/>
              </w:rPr>
            </w:pPr>
            <w:r>
              <w:rPr>
                <w:spacing w:val="4"/>
              </w:rPr>
              <w:t xml:space="preserve">Per 2032 Note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66" w:type="dxa"/>
            <w:tcBorders/>
            <w:shd w:fill="CCEEFF" w:val="clear"/>
            <w:tcMar>
              <w:bottom w:w="0" w:type="dxa"/>
            </w:tcMar>
            <w:vAlign w:val="center"/>
          </w:tcPr>
          <w:p>
            <w:pPr>
              <w:pStyle w:val="TableContents"/>
              <w:bidi w:val="0"/>
              <w:spacing w:before="0" w:after="283"/>
              <w:jc w:val="right"/>
              <w:rPr/>
            </w:pPr>
            <w:r>
              <w:rPr/>
              <w:t>99.995%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26" w:type="dxa"/>
            <w:tcBorders/>
            <w:shd w:fill="CCEEFF" w:val="clear"/>
            <w:tcMar>
              <w:bottom w:w="0" w:type="dxa"/>
            </w:tcMar>
            <w:vAlign w:val="center"/>
          </w:tcPr>
          <w:p>
            <w:pPr>
              <w:pStyle w:val="TableContents"/>
              <w:bidi w:val="0"/>
              <w:spacing w:before="0" w:after="283"/>
              <w:jc w:val="right"/>
              <w:rPr/>
            </w:pPr>
            <w:r>
              <w:rPr/>
              <w:t>0.350%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66" w:type="dxa"/>
            <w:tcBorders/>
            <w:shd w:fill="CCEEFF" w:val="clear"/>
            <w:tcMar>
              <w:bottom w:w="0" w:type="dxa"/>
            </w:tcMar>
            <w:vAlign w:val="center"/>
          </w:tcPr>
          <w:p>
            <w:pPr>
              <w:pStyle w:val="TableContents"/>
              <w:bidi w:val="0"/>
              <w:spacing w:before="0" w:after="283"/>
              <w:jc w:val="right"/>
              <w:rPr/>
            </w:pPr>
            <w:r>
              <w:rPr/>
              <w:t>99.645%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93" w:type="dxa"/>
            <w:tcBorders/>
            <w:tcMar>
              <w:bottom w:w="0" w:type="dxa"/>
            </w:tcMar>
            <w:vAlign w:val="center"/>
          </w:tcPr>
          <w:p>
            <w:pPr>
              <w:pStyle w:val="TableContents"/>
              <w:bidi w:val="0"/>
              <w:spacing w:before="0" w:after="0"/>
              <w:jc w:val="left"/>
              <w:rPr>
                <w:spacing w:val="4"/>
              </w:rPr>
            </w:pPr>
            <w:r>
              <w:rPr>
                <w:spacing w:val="4"/>
              </w:rPr>
              <w:t xml:space="preserve">Total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66" w:type="dxa"/>
            <w:tcBorders/>
            <w:tcMar>
              <w:bottom w:w="0" w:type="dxa"/>
            </w:tcMar>
            <w:vAlign w:val="center"/>
          </w:tcPr>
          <w:p>
            <w:pPr>
              <w:pStyle w:val="TableContents"/>
              <w:bidi w:val="0"/>
              <w:spacing w:before="0" w:after="283"/>
              <w:jc w:val="right"/>
              <w:rPr/>
            </w:pPr>
            <w:r>
              <w:rPr/>
              <w:t xml:space="preserve">399,980,000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26" w:type="dxa"/>
            <w:tcBorders/>
            <w:tcMar>
              <w:bottom w:w="0" w:type="dxa"/>
            </w:tcMar>
            <w:vAlign w:val="center"/>
          </w:tcPr>
          <w:p>
            <w:pPr>
              <w:pStyle w:val="TableContents"/>
              <w:bidi w:val="0"/>
              <w:spacing w:before="0" w:after="283"/>
              <w:jc w:val="right"/>
              <w:rPr/>
            </w:pPr>
            <w:r>
              <w:rPr/>
              <w:t xml:space="preserve">1,400,000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66" w:type="dxa"/>
            <w:tcBorders/>
            <w:tcMar>
              <w:bottom w:w="0" w:type="dxa"/>
            </w:tcMar>
            <w:vAlign w:val="center"/>
          </w:tcPr>
          <w:p>
            <w:pPr>
              <w:pStyle w:val="TableContents"/>
              <w:bidi w:val="0"/>
              <w:spacing w:before="0" w:after="283"/>
              <w:jc w:val="right"/>
              <w:rPr/>
            </w:pPr>
            <w:r>
              <w:rPr/>
              <w:t xml:space="preserve">398,580,000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93" w:type="dxa"/>
            <w:tcBorders/>
            <w:shd w:fill="CCEEFF" w:val="clear"/>
            <w:tcMar>
              <w:bottom w:w="0" w:type="dxa"/>
            </w:tcMar>
            <w:vAlign w:val="center"/>
          </w:tcPr>
          <w:p>
            <w:pPr>
              <w:pStyle w:val="TableContents"/>
              <w:bidi w:val="0"/>
              <w:spacing w:before="0" w:after="0"/>
              <w:jc w:val="left"/>
              <w:rPr>
                <w:spacing w:val="4"/>
              </w:rPr>
            </w:pPr>
            <w:r>
              <w:rPr>
                <w:spacing w:val="4"/>
              </w:rPr>
              <w:t xml:space="preserve">Per 2036 Note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66" w:type="dxa"/>
            <w:tcBorders/>
            <w:shd w:fill="CCEEFF" w:val="clear"/>
            <w:tcMar>
              <w:bottom w:w="0" w:type="dxa"/>
            </w:tcMar>
            <w:vAlign w:val="center"/>
          </w:tcPr>
          <w:p>
            <w:pPr>
              <w:pStyle w:val="TableContents"/>
              <w:bidi w:val="0"/>
              <w:spacing w:before="0" w:after="283"/>
              <w:jc w:val="right"/>
              <w:rPr/>
            </w:pPr>
            <w:r>
              <w:rPr/>
              <w:t>99.800%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26" w:type="dxa"/>
            <w:tcBorders/>
            <w:shd w:fill="CCEEFF" w:val="clear"/>
            <w:tcMar>
              <w:bottom w:w="0" w:type="dxa"/>
            </w:tcMar>
            <w:vAlign w:val="center"/>
          </w:tcPr>
          <w:p>
            <w:pPr>
              <w:pStyle w:val="TableContents"/>
              <w:bidi w:val="0"/>
              <w:spacing w:before="0" w:after="283"/>
              <w:jc w:val="right"/>
              <w:rPr/>
            </w:pPr>
            <w:r>
              <w:rPr/>
              <w:t>0.450%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66" w:type="dxa"/>
            <w:tcBorders/>
            <w:shd w:fill="CCEEFF" w:val="clear"/>
            <w:tcMar>
              <w:bottom w:w="0" w:type="dxa"/>
            </w:tcMar>
            <w:vAlign w:val="center"/>
          </w:tcPr>
          <w:p>
            <w:pPr>
              <w:pStyle w:val="TableContents"/>
              <w:bidi w:val="0"/>
              <w:spacing w:before="0" w:after="283"/>
              <w:jc w:val="right"/>
              <w:rPr/>
            </w:pPr>
            <w:r>
              <w:rPr/>
              <w:t>99.350%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93" w:type="dxa"/>
            <w:tcBorders/>
            <w:tcMar>
              <w:bottom w:w="0" w:type="dxa"/>
            </w:tcMar>
            <w:vAlign w:val="center"/>
          </w:tcPr>
          <w:p>
            <w:pPr>
              <w:pStyle w:val="TableContents"/>
              <w:bidi w:val="0"/>
              <w:spacing w:before="0" w:after="0"/>
              <w:jc w:val="left"/>
              <w:rPr>
                <w:spacing w:val="4"/>
              </w:rPr>
            </w:pPr>
            <w:r>
              <w:rPr>
                <w:spacing w:val="4"/>
              </w:rPr>
              <w:t xml:space="preserve">Total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66" w:type="dxa"/>
            <w:tcBorders/>
            <w:tcMar>
              <w:bottom w:w="0" w:type="dxa"/>
            </w:tcMar>
            <w:vAlign w:val="center"/>
          </w:tcPr>
          <w:p>
            <w:pPr>
              <w:pStyle w:val="TableContents"/>
              <w:bidi w:val="0"/>
              <w:spacing w:before="0" w:after="283"/>
              <w:jc w:val="right"/>
              <w:rPr/>
            </w:pPr>
            <w:r>
              <w:rPr/>
              <w:t xml:space="preserve">399,200,000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26" w:type="dxa"/>
            <w:tcBorders/>
            <w:tcMar>
              <w:bottom w:w="0" w:type="dxa"/>
            </w:tcMar>
            <w:vAlign w:val="center"/>
          </w:tcPr>
          <w:p>
            <w:pPr>
              <w:pStyle w:val="TableContents"/>
              <w:bidi w:val="0"/>
              <w:spacing w:before="0" w:after="283"/>
              <w:jc w:val="right"/>
              <w:rPr/>
            </w:pPr>
            <w:r>
              <w:rPr/>
              <w:t xml:space="preserve">1,800,000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66" w:type="dxa"/>
            <w:tcBorders/>
            <w:tcMar>
              <w:bottom w:w="0" w:type="dxa"/>
            </w:tcMar>
            <w:vAlign w:val="center"/>
          </w:tcPr>
          <w:p>
            <w:pPr>
              <w:pStyle w:val="TableContents"/>
              <w:bidi w:val="0"/>
              <w:spacing w:before="0" w:after="283"/>
              <w:jc w:val="right"/>
              <w:rPr/>
            </w:pPr>
            <w:r>
              <w:rPr/>
              <w:t>397,400,000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5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940"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Plus accrued interest from September 16, 2026, if settlement occurs after that date. </w:t>
      </w:r>
      <w:r>
        <mc:AlternateContent>
          <mc:Choice Requires="wps">
            <w:drawing>
              <wp:anchor behindDoc="0" distT="101600" distB="0" distL="0" distR="0" simplePos="0" locked="0" layoutInCell="1" allowOverlap="1" relativeHeight="2">
                <wp:simplePos x="0" y="0"/>
                <wp:positionH relativeFrom="column">
                  <wp:align>left</wp:align>
                </wp:positionH>
                <wp:positionV relativeFrom="line">
                  <wp:align>top</wp:align>
                </wp:positionV>
                <wp:extent cx="254000" cy="350520"/>
                <wp:effectExtent l="0" t="0" r="0" b="0"/>
                <wp:wrapSquare wrapText="right"/>
                <wp:docPr id="2" name="Frame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540" w:right="0" w:hanging="0"/>
        <w:jc w:val="left"/>
        <w:rPr>
          <w:caps w:val="false"/>
          <w:smallCaps w:val="false"/>
          <w:color w:val="000000"/>
        </w:rPr>
      </w:pPr>
      <w:r>
        <w:rPr>
          <w:caps w:val="false"/>
          <w:smallCaps w:val="false"/>
          <w:color w:val="000000"/>
        </w:rPr>
        <w:t>​</w:t>
      </w:r>
    </w:p>
    <w:p>
      <w:pPr>
        <w:pStyle w:val="TextBody"/>
        <w:bidi w:val="0"/>
        <w:spacing w:lineRule="atLeast" w:line="230" w:before="100" w:after="283"/>
        <w:ind w:left="540"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Neither the Securities and Exchange Commission nor any state or other securities commission has approved or disapproved of these securities or determined if this prospectus supplement or the accompanying prospectus is truthful or complete. Any representation to the contrary is a criminal offense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00" w:after="283"/>
        <w:ind w:left="540"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be ready for delivery in book-entry only form through The Depository Trust Company for the accounts of its participants, including Clearstream Banking S.A. and Euroclear Bank SA/NV, on or about September 16, 2026. </w:t>
      </w:r>
    </w:p>
    <w:p>
      <w:pPr>
        <w:pStyle w:val="TextBody"/>
        <w:bidi w:val="0"/>
        <w:spacing w:lineRule="atLeast" w:line="230" w:before="80" w:after="283"/>
        <w:jc w:val="center"/>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Joint Book-Running Managers </w:t>
      </w:r>
    </w:p>
    <w:tbl>
      <w:tblPr>
        <w:tblW w:w="7905" w:type="dxa"/>
        <w:jc w:val="left"/>
        <w:tblInd w:w="540" w:type="dxa"/>
        <w:tblLayout w:type="fixed"/>
        <w:tblCellMar>
          <w:top w:w="0" w:type="dxa"/>
          <w:left w:w="0" w:type="dxa"/>
          <w:bottom w:w="0" w:type="dxa"/>
          <w:right w:w="0" w:type="dxa"/>
        </w:tblCellMar>
      </w:tblPr>
      <w:tblGrid>
        <w:gridCol w:w="124"/>
        <w:gridCol w:w="1273"/>
        <w:gridCol w:w="109"/>
        <w:gridCol w:w="109"/>
        <w:gridCol w:w="871"/>
        <w:gridCol w:w="109"/>
        <w:gridCol w:w="109"/>
        <w:gridCol w:w="2635"/>
        <w:gridCol w:w="109"/>
        <w:gridCol w:w="109"/>
        <w:gridCol w:w="2194"/>
        <w:gridCol w:w="154"/>
      </w:tblGrid>
      <w:tr>
        <w:trPr/>
        <w:tc>
          <w:tcPr>
            <w:tcW w:w="124" w:type="dxa"/>
            <w:tcBorders/>
            <w:vAlign w:val="center"/>
          </w:tcPr>
          <w:p>
            <w:pPr>
              <w:pStyle w:val="TableContents"/>
              <w:bidi w:val="0"/>
              <w:spacing w:before="0" w:after="283"/>
              <w:jc w:val="left"/>
              <w:rPr/>
            </w:pPr>
            <w:r>
              <w:rPr/>
              <w:t>​</w:t>
            </w:r>
          </w:p>
        </w:tc>
        <w:tc>
          <w:tcPr>
            <w:tcW w:w="1273" w:type="dxa"/>
            <w:tcBorders/>
            <w:vAlign w:val="center"/>
          </w:tcPr>
          <w:p>
            <w:pPr>
              <w:pStyle w:val="TableContents"/>
              <w:bidi w:val="0"/>
              <w:spacing w:before="0" w:after="0"/>
              <w:jc w:val="left"/>
              <w:rPr>
                <w:spacing w:val="-6"/>
              </w:rPr>
            </w:pPr>
            <w:r>
              <w:rPr>
                <w:spacing w:val="-6"/>
              </w:rPr>
              <w:t xml:space="preserve">J.P. Morgan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71" w:type="dxa"/>
            <w:tcBorders/>
            <w:vAlign w:val="center"/>
          </w:tcPr>
          <w:p>
            <w:pPr>
              <w:pStyle w:val="TableContents"/>
              <w:bidi w:val="0"/>
              <w:spacing w:before="0" w:after="283"/>
              <w:jc w:val="left"/>
              <w:rPr>
                <w:spacing w:val="-6"/>
              </w:rPr>
            </w:pPr>
            <w:r>
              <w:rPr>
                <w:spacing w:val="-6"/>
              </w:rPr>
              <w:t xml:space="preserve">Mizuho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635" w:type="dxa"/>
            <w:tcBorders/>
            <w:vAlign w:val="center"/>
          </w:tcPr>
          <w:p>
            <w:pPr>
              <w:pStyle w:val="TableContents"/>
              <w:bidi w:val="0"/>
              <w:spacing w:before="0" w:after="0"/>
              <w:jc w:val="left"/>
              <w:rPr>
                <w:spacing w:val="-6"/>
              </w:rPr>
            </w:pPr>
            <w:r>
              <w:rPr>
                <w:spacing w:val="-6"/>
              </w:rPr>
              <w:t xml:space="preserve">PNC Capital Markets LLC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94" w:type="dxa"/>
            <w:tcBorders/>
            <w:vAlign w:val="center"/>
          </w:tcPr>
          <w:p>
            <w:pPr>
              <w:pStyle w:val="TableContents"/>
              <w:bidi w:val="0"/>
              <w:spacing w:before="0" w:after="0"/>
              <w:jc w:val="left"/>
              <w:rPr/>
            </w:pPr>
            <w:r>
              <w:rPr>
                <w:spacing w:val="-6"/>
              </w:rPr>
              <w:t>Wells Fargo Securities</w:t>
            </w:r>
            <w:r>
              <w:rPr/>
              <w:t xml:space="preserve"> </w:t>
            </w:r>
          </w:p>
        </w:tc>
        <w:tc>
          <w:tcPr>
            <w:tcW w:w="154" w:type="dxa"/>
            <w:tcBorders/>
            <w:vAlign w:val="center"/>
          </w:tcPr>
          <w:p>
            <w:pPr>
              <w:pStyle w:val="TableContents"/>
              <w:bidi w:val="0"/>
              <w:spacing w:before="0" w:after="283"/>
              <w:jc w:val="left"/>
              <w:rPr/>
            </w:pPr>
            <w:r>
              <w:rPr/>
              <w:t>​</w:t>
            </w:r>
          </w:p>
        </w:tc>
      </w:tr>
    </w:tbl>
    <w:tbl>
      <w:tblPr>
        <w:tblW w:w="5730" w:type="dxa"/>
        <w:jc w:val="left"/>
        <w:tblInd w:w="540" w:type="dxa"/>
        <w:tblLayout w:type="fixed"/>
        <w:tblCellMar>
          <w:top w:w="0" w:type="dxa"/>
          <w:left w:w="0" w:type="dxa"/>
          <w:bottom w:w="0" w:type="dxa"/>
          <w:right w:w="0" w:type="dxa"/>
        </w:tblCellMar>
      </w:tblPr>
      <w:tblGrid>
        <w:gridCol w:w="124"/>
        <w:gridCol w:w="838"/>
        <w:gridCol w:w="109"/>
        <w:gridCol w:w="109"/>
        <w:gridCol w:w="1018"/>
        <w:gridCol w:w="109"/>
        <w:gridCol w:w="109"/>
        <w:gridCol w:w="805"/>
        <w:gridCol w:w="109"/>
        <w:gridCol w:w="109"/>
        <w:gridCol w:w="2137"/>
        <w:gridCol w:w="154"/>
      </w:tblGrid>
      <w:tr>
        <w:trPr/>
        <w:tc>
          <w:tcPr>
            <w:tcW w:w="124" w:type="dxa"/>
            <w:tcBorders/>
            <w:vAlign w:val="center"/>
          </w:tcPr>
          <w:p>
            <w:pPr>
              <w:pStyle w:val="TableContents"/>
              <w:bidi w:val="0"/>
              <w:spacing w:before="0" w:after="283"/>
              <w:jc w:val="left"/>
              <w:rPr/>
            </w:pPr>
            <w:r>
              <w:rPr/>
              <w:t>​</w:t>
            </w:r>
          </w:p>
        </w:tc>
        <w:tc>
          <w:tcPr>
            <w:tcW w:w="838" w:type="dxa"/>
            <w:tcBorders/>
            <w:vAlign w:val="center"/>
          </w:tcPr>
          <w:p>
            <w:pPr>
              <w:pStyle w:val="TableContents"/>
              <w:bidi w:val="0"/>
              <w:spacing w:before="0" w:after="0"/>
              <w:jc w:val="center"/>
              <w:rPr>
                <w:spacing w:val="-6"/>
              </w:rPr>
            </w:pPr>
            <w:r>
              <w:rPr>
                <w:spacing w:val="-6"/>
              </w:rPr>
              <w:t xml:space="preserve">BBVA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18" w:type="dxa"/>
            <w:tcBorders/>
            <w:vAlign w:val="center"/>
          </w:tcPr>
          <w:p>
            <w:pPr>
              <w:pStyle w:val="TableContents"/>
              <w:bidi w:val="0"/>
              <w:spacing w:before="0" w:after="0"/>
              <w:jc w:val="center"/>
              <w:rPr/>
            </w:pPr>
            <w:r>
              <w:rPr>
                <w:spacing w:val="-6"/>
              </w:rPr>
              <w:t>Citigroup</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05" w:type="dxa"/>
            <w:tcBorders/>
            <w:vAlign w:val="center"/>
          </w:tcPr>
          <w:p>
            <w:pPr>
              <w:pStyle w:val="TableContents"/>
              <w:bidi w:val="0"/>
              <w:spacing w:before="0" w:after="0"/>
              <w:jc w:val="center"/>
              <w:rPr/>
            </w:pPr>
            <w:r>
              <w:rPr>
                <w:spacing w:val="-6"/>
              </w:rPr>
              <w:t>Natixis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37" w:type="dxa"/>
            <w:tcBorders/>
            <w:vAlign w:val="center"/>
          </w:tcPr>
          <w:p>
            <w:pPr>
              <w:pStyle w:val="TableContents"/>
              <w:bidi w:val="0"/>
              <w:spacing w:before="0" w:after="0"/>
              <w:jc w:val="center"/>
              <w:rPr/>
            </w:pPr>
            <w:r>
              <w:rPr>
                <w:spacing w:val="-6"/>
              </w:rPr>
              <w:t>RBC Capital Markets</w:t>
            </w:r>
            <w:r>
              <w:rPr/>
              <w:t xml:space="preserve"> </w:t>
            </w:r>
          </w:p>
        </w:tc>
        <w:tc>
          <w:tcPr>
            <w:tcW w:w="154" w:type="dxa"/>
            <w:tcBorders/>
            <w:vAlign w:val="center"/>
          </w:tcPr>
          <w:p>
            <w:pPr>
              <w:pStyle w:val="TableContents"/>
              <w:bidi w:val="0"/>
              <w:spacing w:before="0" w:after="283"/>
              <w:jc w:val="left"/>
              <w:rPr/>
            </w:pPr>
            <w:r>
              <w:rPr/>
              <w:t>​</w:t>
            </w:r>
          </w:p>
        </w:tc>
      </w:tr>
    </w:tbl>
    <w:tbl>
      <w:tblPr>
        <w:tblW w:w="5046" w:type="dxa"/>
        <w:jc w:val="left"/>
        <w:tblInd w:w="540" w:type="dxa"/>
        <w:tblLayout w:type="fixed"/>
        <w:tblCellMar>
          <w:top w:w="0" w:type="dxa"/>
          <w:left w:w="0" w:type="dxa"/>
          <w:bottom w:w="0" w:type="dxa"/>
          <w:right w:w="0" w:type="dxa"/>
        </w:tblCellMar>
      </w:tblPr>
      <w:tblGrid>
        <w:gridCol w:w="124"/>
        <w:gridCol w:w="1411"/>
        <w:gridCol w:w="109"/>
        <w:gridCol w:w="109"/>
        <w:gridCol w:w="1612"/>
        <w:gridCol w:w="109"/>
        <w:gridCol w:w="109"/>
        <w:gridCol w:w="1309"/>
        <w:gridCol w:w="154"/>
      </w:tblGrid>
      <w:tr>
        <w:trPr/>
        <w:tc>
          <w:tcPr>
            <w:tcW w:w="124" w:type="dxa"/>
            <w:tcBorders/>
            <w:vAlign w:val="center"/>
          </w:tcPr>
          <w:p>
            <w:pPr>
              <w:pStyle w:val="TableContents"/>
              <w:bidi w:val="0"/>
              <w:spacing w:before="0" w:after="283"/>
              <w:jc w:val="left"/>
              <w:rPr/>
            </w:pPr>
            <w:r>
              <w:rPr/>
              <w:t>​</w:t>
            </w:r>
          </w:p>
        </w:tc>
        <w:tc>
          <w:tcPr>
            <w:tcW w:w="1411" w:type="dxa"/>
            <w:tcBorders/>
            <w:vAlign w:val="center"/>
          </w:tcPr>
          <w:p>
            <w:pPr>
              <w:pStyle w:val="TableContents"/>
              <w:bidi w:val="0"/>
              <w:spacing w:before="0" w:after="0"/>
              <w:jc w:val="center"/>
              <w:rPr>
                <w:spacing w:val="-6"/>
              </w:rPr>
            </w:pPr>
            <w:r>
              <w:rPr>
                <w:spacing w:val="-6"/>
              </w:rPr>
              <w:t xml:space="preserve">TD Securities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12" w:type="dxa"/>
            <w:tcBorders/>
            <w:vAlign w:val="center"/>
          </w:tcPr>
          <w:p>
            <w:pPr>
              <w:pStyle w:val="TableContents"/>
              <w:bidi w:val="0"/>
              <w:spacing w:before="0" w:after="0"/>
              <w:jc w:val="center"/>
              <w:rPr/>
            </w:pPr>
            <w:r>
              <w:rPr>
                <w:spacing w:val="-6"/>
              </w:rPr>
              <w:t>Truist Securities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0"/>
              <w:jc w:val="center"/>
              <w:rPr/>
            </w:pPr>
            <w:r>
              <w:rPr>
                <w:spacing w:val="-6"/>
              </w:rPr>
              <w:t>US Bancorp</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30" w:before="80" w:after="283"/>
        <w:ind w:left="540" w:right="0" w:hanging="0"/>
        <w:jc w:val="center"/>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Co-Managers </w:t>
      </w:r>
    </w:p>
    <w:tbl>
      <w:tblPr>
        <w:tblW w:w="6472" w:type="dxa"/>
        <w:jc w:val="left"/>
        <w:tblInd w:w="540" w:type="dxa"/>
        <w:tblLayout w:type="fixed"/>
        <w:tblCellMar>
          <w:top w:w="0" w:type="dxa"/>
          <w:left w:w="0" w:type="dxa"/>
          <w:bottom w:w="0" w:type="dxa"/>
          <w:right w:w="0" w:type="dxa"/>
        </w:tblCellMar>
      </w:tblPr>
      <w:tblGrid>
        <w:gridCol w:w="124"/>
        <w:gridCol w:w="2031"/>
        <w:gridCol w:w="109"/>
        <w:gridCol w:w="109"/>
        <w:gridCol w:w="2091"/>
        <w:gridCol w:w="109"/>
        <w:gridCol w:w="109"/>
        <w:gridCol w:w="1636"/>
        <w:gridCol w:w="154"/>
      </w:tblGrid>
      <w:tr>
        <w:trPr/>
        <w:tc>
          <w:tcPr>
            <w:tcW w:w="124" w:type="dxa"/>
            <w:tcBorders/>
            <w:vAlign w:val="center"/>
          </w:tcPr>
          <w:p>
            <w:pPr>
              <w:pStyle w:val="TableContents"/>
              <w:bidi w:val="0"/>
              <w:spacing w:before="0" w:after="283"/>
              <w:jc w:val="left"/>
              <w:rPr/>
            </w:pPr>
            <w:r>
              <w:rPr/>
              <w:t>​</w:t>
            </w:r>
          </w:p>
        </w:tc>
        <w:tc>
          <w:tcPr>
            <w:tcW w:w="2031" w:type="dxa"/>
            <w:tcBorders/>
            <w:vAlign w:val="center"/>
          </w:tcPr>
          <w:p>
            <w:pPr>
              <w:pStyle w:val="TableContents"/>
              <w:bidi w:val="0"/>
              <w:spacing w:before="0" w:after="0"/>
              <w:jc w:val="center"/>
              <w:rPr/>
            </w:pPr>
            <w:r>
              <w:rPr>
                <w:spacing w:val="-5"/>
              </w:rPr>
              <w:t>Credit Agricole CIB</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91" w:type="dxa"/>
            <w:tcBorders/>
            <w:vAlign w:val="center"/>
          </w:tcPr>
          <w:p>
            <w:pPr>
              <w:pStyle w:val="TableContents"/>
              <w:bidi w:val="0"/>
              <w:spacing w:before="0" w:after="0"/>
              <w:jc w:val="center"/>
              <w:rPr>
                <w:spacing w:val="-5"/>
              </w:rPr>
            </w:pPr>
            <w:r>
              <w:rPr>
                <w:spacing w:val="-5"/>
              </w:rPr>
              <w:t xml:space="preserve">Fifth Third Securities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36" w:type="dxa"/>
            <w:tcBorders/>
            <w:vAlign w:val="center"/>
          </w:tcPr>
          <w:p>
            <w:pPr>
              <w:pStyle w:val="TableContents"/>
              <w:bidi w:val="0"/>
              <w:spacing w:before="0" w:after="0"/>
              <w:jc w:val="center"/>
              <w:rPr/>
            </w:pPr>
            <w:r>
              <w:rPr>
                <w:spacing w:val="-5"/>
              </w:rPr>
              <w:t>M&amp;T Securities</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30" w:before="120" w:after="283"/>
        <w:ind w:left="540"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date of this prospectus supplement is September 9, 2026</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w:t>
      </w:r>
      <w:bookmarkStart w:id="3" w:name="TOC2"/>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7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 Supplement</w:t>
      </w:r>
      <w:r>
        <w:rPr>
          <w:rFonts w:ascii="Times New Roman;Times;serif" w:hAnsi="Times New Roman;Times;serif"/>
          <w:b/>
          <w:i w:val="false"/>
          <w:caps w:val="false"/>
          <w:smallCaps w:val="false"/>
          <w:color w:val="000000"/>
          <w:spacing w:val="4"/>
          <w:sz w:val="20"/>
        </w:rPr>
        <w:t xml:space="preserve"> </w:t>
      </w:r>
    </w:p>
    <w:tbl>
      <w:tblPr>
        <w:tblW w:w="6656" w:type="dxa"/>
        <w:jc w:val="left"/>
        <w:tblInd w:w="1393" w:type="dxa"/>
        <w:tblLayout w:type="fixed"/>
        <w:tblCellMar>
          <w:top w:w="0" w:type="dxa"/>
          <w:left w:w="0" w:type="dxa"/>
          <w:bottom w:w="28" w:type="dxa"/>
          <w:right w:w="0" w:type="dxa"/>
        </w:tblCellMar>
      </w:tblPr>
      <w:tblGrid>
        <w:gridCol w:w="5337"/>
        <w:gridCol w:w="109"/>
        <w:gridCol w:w="109"/>
        <w:gridCol w:w="109"/>
        <w:gridCol w:w="109"/>
        <w:gridCol w:w="620"/>
        <w:gridCol w:w="109"/>
        <w:gridCol w:w="154"/>
      </w:tblGrid>
      <w:tr>
        <w:trPr/>
        <w:tc>
          <w:tcPr>
            <w:tcW w:w="533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47"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337" w:type="dxa"/>
            <w:tcBorders/>
            <w:shd w:fill="CCEEFF" w:val="clear"/>
            <w:tcMar>
              <w:bottom w:w="0" w:type="dxa"/>
            </w:tcMar>
            <w:vAlign w:val="center"/>
          </w:tcPr>
          <w:p>
            <w:pPr>
              <w:pStyle w:val="TableContents"/>
              <w:bidi w:val="0"/>
              <w:spacing w:before="0" w:after="0"/>
              <w:jc w:val="left"/>
              <w:rPr/>
            </w:pPr>
            <w:hyperlink w:anchor="sATPS">
              <w:r>
                <w:rPr>
                  <w:rStyle w:val="InternetLink"/>
                  <w:spacing w:val="4"/>
                </w:rPr>
                <w:t xml:space="preserve">ABOUT THIS PROSPECTUS SUPPLEMENT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sATPS">
              <w:r>
                <w:rPr>
                  <w:rStyle w:val="InternetLink"/>
                  <w:spacing w:val="4"/>
                </w:rPr>
                <w:t>S-ii</w:t>
              </w:r>
            </w:hyperlink>
            <w:hyperlink w:anchor="sATP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337" w:type="dxa"/>
            <w:tcBorders/>
            <w:tcMar>
              <w:bottom w:w="0" w:type="dxa"/>
            </w:tcMar>
            <w:vAlign w:val="center"/>
          </w:tcPr>
          <w:p>
            <w:pPr>
              <w:pStyle w:val="TableContents"/>
              <w:bidi w:val="0"/>
              <w:spacing w:before="0" w:after="0"/>
              <w:jc w:val="left"/>
              <w:rPr/>
            </w:pPr>
            <w:hyperlink w:anchor="sSUM">
              <w:r>
                <w:rPr>
                  <w:rStyle w:val="InternetLink"/>
                  <w:spacing w:val="4"/>
                </w:rPr>
                <w:t xml:space="preserve">SUMMARY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sSUM">
              <w:r>
                <w:rPr>
                  <w:rStyle w:val="InternetLink"/>
                  <w:spacing w:val="4"/>
                </w:rPr>
                <w:t>S-1</w:t>
              </w:r>
            </w:hyperlink>
            <w:hyperlink w:anchor="sSUM">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337" w:type="dxa"/>
            <w:tcBorders/>
            <w:shd w:fill="CCEEFF" w:val="clear"/>
            <w:tcMar>
              <w:bottom w:w="0" w:type="dxa"/>
            </w:tcMar>
            <w:vAlign w:val="center"/>
          </w:tcPr>
          <w:p>
            <w:pPr>
              <w:pStyle w:val="TableContents"/>
              <w:bidi w:val="0"/>
              <w:spacing w:before="0" w:after="0"/>
              <w:jc w:val="left"/>
              <w:rPr/>
            </w:pPr>
            <w:hyperlink w:anchor="sTHOF">
              <w:r>
                <w:rPr>
                  <w:rStyle w:val="InternetLink"/>
                  <w:spacing w:val="4"/>
                </w:rPr>
                <w:t xml:space="preserve">THE OFFERING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sTHOF">
              <w:r>
                <w:rPr>
                  <w:rStyle w:val="InternetLink"/>
                  <w:spacing w:val="4"/>
                </w:rPr>
                <w:t>S-2</w:t>
              </w:r>
            </w:hyperlink>
            <w:hyperlink w:anchor="sTHOF">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337" w:type="dxa"/>
            <w:tcBorders/>
            <w:tcMar>
              <w:bottom w:w="0" w:type="dxa"/>
            </w:tcMar>
            <w:vAlign w:val="center"/>
          </w:tcPr>
          <w:p>
            <w:pPr>
              <w:pStyle w:val="TableContents"/>
              <w:bidi w:val="0"/>
              <w:spacing w:before="0" w:after="0"/>
              <w:jc w:val="left"/>
              <w:rPr/>
            </w:pPr>
            <w:hyperlink w:anchor="sRIFA">
              <w:r>
                <w:rPr>
                  <w:rStyle w:val="InternetLink"/>
                  <w:spacing w:val="4"/>
                </w:rPr>
                <w:t xml:space="preserve">RISK FACTORS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sRIFA">
              <w:r>
                <w:rPr>
                  <w:rStyle w:val="InternetLink"/>
                  <w:spacing w:val="4"/>
                </w:rPr>
                <w:t>S-4</w:t>
              </w:r>
            </w:hyperlink>
            <w:hyperlink w:anchor="sRIF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337" w:type="dxa"/>
            <w:tcBorders/>
            <w:shd w:fill="CCEEFF" w:val="clear"/>
            <w:tcMar>
              <w:bottom w:w="0" w:type="dxa"/>
            </w:tcMar>
            <w:vAlign w:val="center"/>
          </w:tcPr>
          <w:p>
            <w:pPr>
              <w:pStyle w:val="TableContents"/>
              <w:bidi w:val="0"/>
              <w:spacing w:before="0" w:after="0"/>
              <w:jc w:val="left"/>
              <w:rPr/>
            </w:pPr>
            <w:hyperlink w:anchor="sWWA2">
              <w:r>
                <w:rPr>
                  <w:rStyle w:val="InternetLink"/>
                  <w:spacing w:val="4"/>
                </w:rPr>
                <w:t xml:space="preserve">WHO WE ARE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sWWA2">
              <w:r>
                <w:rPr>
                  <w:rStyle w:val="InternetLink"/>
                  <w:spacing w:val="4"/>
                </w:rPr>
                <w:t>S-6</w:t>
              </w:r>
            </w:hyperlink>
            <w:hyperlink w:anchor="sWWA2">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337" w:type="dxa"/>
            <w:tcBorders/>
            <w:tcMar>
              <w:bottom w:w="0" w:type="dxa"/>
            </w:tcMar>
            <w:vAlign w:val="center"/>
          </w:tcPr>
          <w:p>
            <w:pPr>
              <w:pStyle w:val="TableContents"/>
              <w:bidi w:val="0"/>
              <w:spacing w:before="0" w:after="0"/>
              <w:jc w:val="left"/>
              <w:rPr/>
            </w:pPr>
            <w:hyperlink w:anchor="sUOP2">
              <w:r>
                <w:rPr>
                  <w:rStyle w:val="InternetLink"/>
                  <w:spacing w:val="4"/>
                </w:rPr>
                <w:t xml:space="preserve">USE OF PROCEEDS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sUOP2">
              <w:r>
                <w:rPr>
                  <w:rStyle w:val="InternetLink"/>
                  <w:spacing w:val="4"/>
                </w:rPr>
                <w:t>S-7</w:t>
              </w:r>
            </w:hyperlink>
            <w:hyperlink w:anchor="sUOP2">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337" w:type="dxa"/>
            <w:tcBorders/>
            <w:shd w:fill="CCEEFF" w:val="clear"/>
            <w:tcMar>
              <w:bottom w:w="0" w:type="dxa"/>
            </w:tcMar>
            <w:vAlign w:val="center"/>
          </w:tcPr>
          <w:p>
            <w:pPr>
              <w:pStyle w:val="TableContents"/>
              <w:bidi w:val="0"/>
              <w:spacing w:before="0" w:after="0"/>
              <w:jc w:val="left"/>
              <w:rPr/>
            </w:pPr>
            <w:hyperlink w:anchor="sDON2">
              <w:r>
                <w:rPr>
                  <w:rStyle w:val="InternetLink"/>
                  <w:spacing w:val="4"/>
                </w:rPr>
                <w:t xml:space="preserve">DESCRIPTION OF NOTES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sDON2">
              <w:r>
                <w:rPr>
                  <w:rStyle w:val="InternetLink"/>
                  <w:spacing w:val="4"/>
                </w:rPr>
                <w:t>S-8</w:t>
              </w:r>
            </w:hyperlink>
            <w:hyperlink w:anchor="sDON2">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337" w:type="dxa"/>
            <w:tcBorders/>
            <w:tcMar>
              <w:bottom w:w="0" w:type="dxa"/>
            </w:tcMar>
            <w:vAlign w:val="center"/>
          </w:tcPr>
          <w:p>
            <w:pPr>
              <w:pStyle w:val="TableContents"/>
              <w:bidi w:val="0"/>
              <w:spacing w:before="0" w:after="0"/>
              <w:jc w:val="left"/>
              <w:rPr/>
            </w:pPr>
            <w:hyperlink w:anchor="sUCOI2">
              <w:r>
                <w:rPr>
                  <w:rStyle w:val="InternetLink"/>
                  <w:spacing w:val="4"/>
                </w:rPr>
                <w:t xml:space="preserve">UNDERWRITING (CONFLICTS OF INTEREST)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sUCOI2">
              <w:r>
                <w:rPr>
                  <w:rStyle w:val="InternetLink"/>
                  <w:spacing w:val="4"/>
                </w:rPr>
                <w:t>S-23</w:t>
              </w:r>
            </w:hyperlink>
            <w:hyperlink w:anchor="sUCOI2">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337" w:type="dxa"/>
            <w:tcBorders/>
            <w:shd w:fill="CCEEFF" w:val="clear"/>
            <w:tcMar>
              <w:bottom w:w="0" w:type="dxa"/>
            </w:tcMar>
            <w:vAlign w:val="center"/>
          </w:tcPr>
          <w:p>
            <w:pPr>
              <w:pStyle w:val="TableContents"/>
              <w:bidi w:val="0"/>
              <w:spacing w:before="0" w:after="0"/>
              <w:jc w:val="left"/>
              <w:rPr/>
            </w:pPr>
            <w:hyperlink w:anchor="sLEMA2">
              <w:r>
                <w:rPr>
                  <w:rStyle w:val="InternetLink"/>
                  <w:spacing w:val="4"/>
                </w:rPr>
                <w:t xml:space="preserve">LEGAL MATTERS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sLEMA2">
              <w:r>
                <w:rPr>
                  <w:rStyle w:val="InternetLink"/>
                  <w:spacing w:val="4"/>
                </w:rPr>
                <w:t>S-29</w:t>
              </w:r>
            </w:hyperlink>
            <w:hyperlink w:anchor="sLEMA2">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337" w:type="dxa"/>
            <w:tcBorders/>
            <w:tcMar>
              <w:bottom w:w="0" w:type="dxa"/>
            </w:tcMar>
            <w:vAlign w:val="center"/>
          </w:tcPr>
          <w:p>
            <w:pPr>
              <w:pStyle w:val="TableContents"/>
              <w:bidi w:val="0"/>
              <w:spacing w:before="0" w:after="0"/>
              <w:jc w:val="left"/>
              <w:rPr/>
            </w:pPr>
            <w:hyperlink w:anchor="sEXP2">
              <w:r>
                <w:rPr>
                  <w:rStyle w:val="InternetLink"/>
                  <w:spacing w:val="4"/>
                </w:rPr>
                <w:t xml:space="preserve">EXPERTS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sEXP2">
              <w:r>
                <w:rPr>
                  <w:rStyle w:val="InternetLink"/>
                  <w:spacing w:val="4"/>
                </w:rPr>
                <w:t>S-30</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24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7728"/>
        <w:gridCol w:w="109"/>
        <w:gridCol w:w="109"/>
        <w:gridCol w:w="109"/>
        <w:gridCol w:w="109"/>
        <w:gridCol w:w="384"/>
        <w:gridCol w:w="109"/>
        <w:gridCol w:w="155"/>
      </w:tblGrid>
      <w:tr>
        <w:trPr/>
        <w:tc>
          <w:tcPr>
            <w:tcW w:w="772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11"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728" w:type="dxa"/>
            <w:tcBorders/>
            <w:shd w:fill="CCEEFF" w:val="clear"/>
            <w:tcMar>
              <w:bottom w:w="0" w:type="dxa"/>
            </w:tcMar>
            <w:vAlign w:val="center"/>
          </w:tcPr>
          <w:p>
            <w:pPr>
              <w:pStyle w:val="TableContents"/>
              <w:bidi w:val="0"/>
              <w:spacing w:before="0" w:after="0"/>
              <w:jc w:val="left"/>
              <w:rPr/>
            </w:pPr>
            <w:hyperlink w:anchor="sATP">
              <w:r>
                <w:rPr>
                  <w:rStyle w:val="InternetLink"/>
                  <w:spacing w:val="4"/>
                </w:rPr>
                <w:t xml:space="preserve">ABOUT THIS PROSPECTUS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84" w:type="dxa"/>
            <w:tcBorders/>
            <w:shd w:fill="CCEEFF" w:val="clear"/>
            <w:tcMar>
              <w:bottom w:w="0" w:type="dxa"/>
            </w:tcMar>
            <w:vAlign w:val="center"/>
          </w:tcPr>
          <w:p>
            <w:pPr>
              <w:pStyle w:val="TableContents"/>
              <w:bidi w:val="0"/>
              <w:spacing w:before="0" w:after="283"/>
              <w:jc w:val="right"/>
              <w:rPr/>
            </w:pPr>
            <w:hyperlink w:anchor="sATP">
              <w:r>
                <w:rPr>
                  <w:rStyle w:val="InternetLink"/>
                  <w:spacing w:val="4"/>
                </w:rPr>
                <w:t>1</w:t>
              </w:r>
            </w:hyperlink>
            <w:hyperlink w:anchor="sAT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28" w:type="dxa"/>
            <w:tcBorders/>
            <w:tcMar>
              <w:bottom w:w="0" w:type="dxa"/>
            </w:tcMar>
            <w:vAlign w:val="center"/>
          </w:tcPr>
          <w:p>
            <w:pPr>
              <w:pStyle w:val="TableContents"/>
              <w:bidi w:val="0"/>
              <w:spacing w:before="0" w:after="0"/>
              <w:jc w:val="left"/>
              <w:rPr/>
            </w:pPr>
            <w:hyperlink w:anchor="sWYCF">
              <w:r>
                <w:rPr>
                  <w:rStyle w:val="InternetLink"/>
                  <w:spacing w:val="4"/>
                </w:rPr>
                <w:t xml:space="preserve">WHERE YOU CAN FIND MORE INFORMATION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84" w:type="dxa"/>
            <w:tcBorders/>
            <w:tcMar>
              <w:bottom w:w="0" w:type="dxa"/>
            </w:tcMar>
            <w:vAlign w:val="center"/>
          </w:tcPr>
          <w:p>
            <w:pPr>
              <w:pStyle w:val="TableContents"/>
              <w:bidi w:val="0"/>
              <w:spacing w:before="0" w:after="283"/>
              <w:jc w:val="right"/>
              <w:rPr/>
            </w:pPr>
            <w:hyperlink w:anchor="sWYCF">
              <w:r>
                <w:rPr>
                  <w:rStyle w:val="InternetLink"/>
                  <w:spacing w:val="4"/>
                </w:rPr>
                <w:t>1</w:t>
              </w:r>
            </w:hyperlink>
            <w:hyperlink w:anchor="sWYC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28" w:type="dxa"/>
            <w:tcBorders/>
            <w:shd w:fill="CCEEFF" w:val="clear"/>
            <w:tcMar>
              <w:bottom w:w="0" w:type="dxa"/>
            </w:tcMar>
            <w:vAlign w:val="center"/>
          </w:tcPr>
          <w:p>
            <w:pPr>
              <w:pStyle w:val="TableContents"/>
              <w:bidi w:val="0"/>
              <w:spacing w:before="0" w:after="0"/>
              <w:jc w:val="left"/>
              <w:rPr/>
            </w:pPr>
            <w:hyperlink w:anchor="sWWA">
              <w:r>
                <w:rPr>
                  <w:rStyle w:val="InternetLink"/>
                  <w:spacing w:val="4"/>
                </w:rPr>
                <w:t xml:space="preserve">WHO WE ARE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84" w:type="dxa"/>
            <w:tcBorders/>
            <w:shd w:fill="CCEEFF" w:val="clear"/>
            <w:tcMar>
              <w:bottom w:w="0" w:type="dxa"/>
            </w:tcMar>
            <w:vAlign w:val="center"/>
          </w:tcPr>
          <w:p>
            <w:pPr>
              <w:pStyle w:val="TableContents"/>
              <w:bidi w:val="0"/>
              <w:spacing w:before="0" w:after="283"/>
              <w:jc w:val="right"/>
              <w:rPr/>
            </w:pPr>
            <w:hyperlink w:anchor="sWWA">
              <w:r>
                <w:rPr>
                  <w:rStyle w:val="InternetLink"/>
                  <w:spacing w:val="4"/>
                </w:rPr>
                <w:t>1</w:t>
              </w:r>
            </w:hyperlink>
            <w:hyperlink w:anchor="sWW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28" w:type="dxa"/>
            <w:tcBorders/>
            <w:tcMar>
              <w:bottom w:w="0" w:type="dxa"/>
            </w:tcMar>
            <w:vAlign w:val="center"/>
          </w:tcPr>
          <w:p>
            <w:pPr>
              <w:pStyle w:val="TableContents"/>
              <w:bidi w:val="0"/>
              <w:spacing w:before="0" w:after="0"/>
              <w:jc w:val="left"/>
              <w:rPr/>
            </w:pPr>
            <w:hyperlink w:anchor="sUOP">
              <w:r>
                <w:rPr>
                  <w:rStyle w:val="InternetLink"/>
                  <w:spacing w:val="4"/>
                </w:rPr>
                <w:t xml:space="preserve">USE OF PROCEEDS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84" w:type="dxa"/>
            <w:tcBorders/>
            <w:tcMar>
              <w:bottom w:w="0" w:type="dxa"/>
            </w:tcMar>
            <w:vAlign w:val="center"/>
          </w:tcPr>
          <w:p>
            <w:pPr>
              <w:pStyle w:val="TableContents"/>
              <w:bidi w:val="0"/>
              <w:spacing w:before="0" w:after="283"/>
              <w:jc w:val="right"/>
              <w:rPr/>
            </w:pPr>
            <w:hyperlink w:anchor="sUOP">
              <w:r>
                <w:rPr>
                  <w:rStyle w:val="InternetLink"/>
                  <w:spacing w:val="4"/>
                </w:rPr>
                <w:t>2</w:t>
              </w:r>
            </w:hyperlink>
            <w:hyperlink w:anchor="sUO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28" w:type="dxa"/>
            <w:tcBorders/>
            <w:shd w:fill="CCEEFF" w:val="clear"/>
            <w:tcMar>
              <w:bottom w:w="0" w:type="dxa"/>
            </w:tcMar>
            <w:vAlign w:val="center"/>
          </w:tcPr>
          <w:p>
            <w:pPr>
              <w:pStyle w:val="TableContents"/>
              <w:bidi w:val="0"/>
              <w:spacing w:before="0" w:after="0"/>
              <w:jc w:val="left"/>
              <w:rPr/>
            </w:pPr>
            <w:hyperlink w:anchor="sDOSB">
              <w:r>
                <w:rPr>
                  <w:rStyle w:val="InternetLink"/>
                  <w:spacing w:val="4"/>
                </w:rPr>
                <w:t xml:space="preserve">DESCRIPTION OF SECURITIES BEING OFFERED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84" w:type="dxa"/>
            <w:tcBorders/>
            <w:shd w:fill="CCEEFF" w:val="clear"/>
            <w:tcMar>
              <w:bottom w:w="0" w:type="dxa"/>
            </w:tcMar>
            <w:vAlign w:val="center"/>
          </w:tcPr>
          <w:p>
            <w:pPr>
              <w:pStyle w:val="TableContents"/>
              <w:bidi w:val="0"/>
              <w:spacing w:before="0" w:after="283"/>
              <w:jc w:val="right"/>
              <w:rPr/>
            </w:pPr>
            <w:hyperlink w:anchor="sDOSB">
              <w:r>
                <w:rPr>
                  <w:rStyle w:val="InternetLink"/>
                  <w:spacing w:val="4"/>
                </w:rPr>
                <w:t>3</w:t>
              </w:r>
            </w:hyperlink>
            <w:hyperlink w:anchor="sDOSB">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28" w:type="dxa"/>
            <w:tcBorders/>
            <w:tcMar>
              <w:bottom w:w="0" w:type="dxa"/>
            </w:tcMar>
            <w:vAlign w:val="center"/>
          </w:tcPr>
          <w:p>
            <w:pPr>
              <w:pStyle w:val="TableContents"/>
              <w:bidi w:val="0"/>
              <w:spacing w:before="0" w:after="0"/>
              <w:jc w:val="left"/>
              <w:rPr/>
            </w:pPr>
            <w:hyperlink w:anchor="sUFIT">
              <w:r>
                <w:rPr>
                  <w:rStyle w:val="InternetLink"/>
                  <w:spacing w:val="4"/>
                </w:rPr>
                <w:t xml:space="preserve">U.S. FEDERAL INCOME TAX CONSIDERATIONS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84" w:type="dxa"/>
            <w:tcBorders/>
            <w:tcMar>
              <w:bottom w:w="0" w:type="dxa"/>
            </w:tcMar>
            <w:vAlign w:val="center"/>
          </w:tcPr>
          <w:p>
            <w:pPr>
              <w:pStyle w:val="TableContents"/>
              <w:bidi w:val="0"/>
              <w:spacing w:before="0" w:after="283"/>
              <w:jc w:val="right"/>
              <w:rPr/>
            </w:pPr>
            <w:hyperlink w:anchor="sUFIT">
              <w:r>
                <w:rPr>
                  <w:rStyle w:val="InternetLink"/>
                  <w:spacing w:val="4"/>
                </w:rPr>
                <w:t>14</w:t>
              </w:r>
            </w:hyperlink>
            <w:hyperlink w:anchor="sUFIT">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28" w:type="dxa"/>
            <w:tcBorders/>
            <w:shd w:fill="CCEEFF" w:val="clear"/>
            <w:tcMar>
              <w:bottom w:w="0" w:type="dxa"/>
            </w:tcMar>
            <w:vAlign w:val="center"/>
          </w:tcPr>
          <w:p>
            <w:pPr>
              <w:pStyle w:val="TableContents"/>
              <w:bidi w:val="0"/>
              <w:spacing w:before="0" w:after="0"/>
              <w:jc w:val="left"/>
              <w:rPr/>
            </w:pPr>
            <w:hyperlink w:anchor="sLEMA">
              <w:r>
                <w:rPr>
                  <w:rStyle w:val="InternetLink"/>
                  <w:spacing w:val="4"/>
                </w:rPr>
                <w:t xml:space="preserve">LEGAL MATTERS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84" w:type="dxa"/>
            <w:tcBorders/>
            <w:shd w:fill="CCEEFF" w:val="clear"/>
            <w:tcMar>
              <w:bottom w:w="0" w:type="dxa"/>
            </w:tcMar>
            <w:vAlign w:val="center"/>
          </w:tcPr>
          <w:p>
            <w:pPr>
              <w:pStyle w:val="TableContents"/>
              <w:bidi w:val="0"/>
              <w:spacing w:before="0" w:after="283"/>
              <w:jc w:val="right"/>
              <w:rPr/>
            </w:pPr>
            <w:hyperlink w:anchor="sLEMA">
              <w:r>
                <w:rPr>
                  <w:rStyle w:val="InternetLink"/>
                  <w:spacing w:val="4"/>
                </w:rPr>
                <w:t>19</w:t>
              </w:r>
            </w:hyperlink>
            <w:hyperlink w:anchor="sLEM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28" w:type="dxa"/>
            <w:tcBorders/>
            <w:tcMar>
              <w:bottom w:w="0" w:type="dxa"/>
            </w:tcMar>
            <w:vAlign w:val="center"/>
          </w:tcPr>
          <w:p>
            <w:pPr>
              <w:pStyle w:val="TableContents"/>
              <w:bidi w:val="0"/>
              <w:spacing w:before="0" w:after="0"/>
              <w:jc w:val="left"/>
              <w:rPr/>
            </w:pPr>
            <w:hyperlink w:anchor="sEXP">
              <w:r>
                <w:rPr>
                  <w:rStyle w:val="InternetLink"/>
                  <w:spacing w:val="4"/>
                </w:rPr>
                <w:t xml:space="preserve">EXPERTS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84" w:type="dxa"/>
            <w:tcBorders/>
            <w:tcMar>
              <w:bottom w:w="0" w:type="dxa"/>
            </w:tcMar>
            <w:vAlign w:val="center"/>
          </w:tcPr>
          <w:p>
            <w:pPr>
              <w:pStyle w:val="TableContents"/>
              <w:bidi w:val="0"/>
              <w:spacing w:before="0" w:after="283"/>
              <w:jc w:val="right"/>
              <w:rPr/>
            </w:pPr>
            <w:hyperlink w:anchor="sEXP">
              <w:r>
                <w:rPr>
                  <w:rStyle w:val="InternetLink"/>
                  <w:spacing w:val="4"/>
                </w:rPr>
                <w:t>19</w:t>
              </w:r>
            </w:hyperlink>
            <w:hyperlink w:anchor="sEX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28" w:type="dxa"/>
            <w:tcBorders/>
            <w:shd w:fill="CCEEFF" w:val="clear"/>
            <w:tcMar>
              <w:bottom w:w="0" w:type="dxa"/>
            </w:tcMar>
            <w:vAlign w:val="center"/>
          </w:tcPr>
          <w:p>
            <w:pPr>
              <w:pStyle w:val="TableContents"/>
              <w:bidi w:val="0"/>
              <w:spacing w:before="0" w:after="0"/>
              <w:ind w:left="200" w:right="0" w:hanging="200"/>
              <w:jc w:val="left"/>
              <w:rPr/>
            </w:pPr>
            <w:hyperlink w:anchor="sDOCP">
              <w:r>
                <w:rPr>
                  <w:rStyle w:val="InternetLink"/>
                  <w:spacing w:val="4"/>
                </w:rPr>
                <w:t xml:space="preserve">DISCLOSURE OF COMMISSION POSITION ON INDEMNIFICATION FOR SECURITIES ACT LIABILITIES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84" w:type="dxa"/>
            <w:tcBorders/>
            <w:shd w:fill="CCEEFF" w:val="clear"/>
            <w:tcMar>
              <w:bottom w:w="0" w:type="dxa"/>
            </w:tcMar>
            <w:vAlign w:val="center"/>
          </w:tcPr>
          <w:p>
            <w:pPr>
              <w:pStyle w:val="TableContents"/>
              <w:bidi w:val="0"/>
              <w:spacing w:before="0" w:after="283"/>
              <w:jc w:val="right"/>
              <w:rPr/>
            </w:pPr>
            <w:hyperlink w:anchor="sDOCP">
              <w:r>
                <w:rPr>
                  <w:rStyle w:val="InternetLink"/>
                  <w:spacing w:val="4"/>
                </w:rPr>
                <w:t>19</w:t>
              </w:r>
            </w:hyperlink>
            <w:hyperlink w:anchor="sDOC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28" w:type="dxa"/>
            <w:tcBorders/>
            <w:tcMar>
              <w:bottom w:w="0" w:type="dxa"/>
            </w:tcMar>
            <w:vAlign w:val="center"/>
          </w:tcPr>
          <w:p>
            <w:pPr>
              <w:pStyle w:val="TableContents"/>
              <w:bidi w:val="0"/>
              <w:spacing w:before="0" w:after="0"/>
              <w:jc w:val="left"/>
              <w:rPr/>
            </w:pPr>
            <w:hyperlink w:anchor="sIOIW">
              <w:r>
                <w:rPr>
                  <w:rStyle w:val="InternetLink"/>
                  <w:spacing w:val="4"/>
                </w:rPr>
                <w:t xml:space="preserve">INCORPORATION OF INFORMATION WE FILE WITH THE SEC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84" w:type="dxa"/>
            <w:tcBorders/>
            <w:tcMar>
              <w:bottom w:w="0" w:type="dxa"/>
            </w:tcMar>
            <w:vAlign w:val="center"/>
          </w:tcPr>
          <w:p>
            <w:pPr>
              <w:pStyle w:val="TableContents"/>
              <w:bidi w:val="0"/>
              <w:spacing w:before="0" w:after="283"/>
              <w:jc w:val="right"/>
              <w:rPr/>
            </w:pPr>
            <w:hyperlink w:anchor="sIOIW">
              <w:r>
                <w:rPr>
                  <w:rStyle w:val="InternetLink"/>
                  <w:spacing w:val="4"/>
                </w:rPr>
                <w:t>20</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You should rely only on the information contained or incorporated by reference in this prospectus supplement, the accompanying prospectus or any free writing prospectus prepared by us and required to be filed with the Securities and Exchange Commission. We have not, and the underwriters have not, authorized any other person to provide you with different or additional information. If anyone provides you with different or additional information, you should not rely on it. We are not, and the underwriters are not, making an offer to sell these securities in any jurisdiction where the offer or sale is not permitted. You should assume that the information appearing in this prospectus supplement, the accompanying prospectus and any such free writing prospectus and the documents incorporated by reference herein and therein is accurate only as of their respective dates. Our business, financial condition, liquidity, results of operations, and prospects may have changed since those dates.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sATPS"/>
      <w:bookmarkEnd w:id="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8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PROSPECTUS SUPPLEMENT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provide information to you about the notes in two separate documents that offer varying levels of detail: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accompanying prospectus, which provides general information, some of which may not apply to this offering or the terms of the notes; and </w:t>
      </w:r>
      <w:r>
        <mc:AlternateContent>
          <mc:Choice Requires="wps">
            <w:drawing>
              <wp:anchor behindDoc="0" distT="76200" distB="0" distL="254000" distR="0" simplePos="0" locked="0" layoutInCell="1" allowOverlap="1" relativeHeight="6">
                <wp:simplePos x="0" y="0"/>
                <wp:positionH relativeFrom="column">
                  <wp:align>left</wp:align>
                </wp:positionH>
                <wp:positionV relativeFrom="line">
                  <wp:align>top</wp:align>
                </wp:positionV>
                <wp:extent cx="127000" cy="350520"/>
                <wp:effectExtent l="0" t="0" r="0" b="0"/>
                <wp:wrapSquare wrapText="right"/>
                <wp:docPr id="3" name="Frame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which provides a summary of this offering and the principal terms of the notes. </w:t>
      </w:r>
      <w:r>
        <mc:AlternateContent>
          <mc:Choice Requires="wps">
            <w:drawing>
              <wp:anchor behindDoc="0" distT="76200" distB="0" distL="254000" distR="0" simplePos="0" locked="0" layoutInCell="1" allowOverlap="1" relativeHeight="7">
                <wp:simplePos x="0" y="0"/>
                <wp:positionH relativeFrom="column">
                  <wp:align>left</wp:align>
                </wp:positionH>
                <wp:positionV relativeFrom="line">
                  <wp:align>top</wp:align>
                </wp:positionV>
                <wp:extent cx="127000" cy="350520"/>
                <wp:effectExtent l="0" t="0" r="0" b="0"/>
                <wp:wrapSquare wrapText="right"/>
                <wp:docPr id="4" name="Frame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Generally, when we refer to “this prospectus”, we are referring to both documents combined. If information in this prospectus supplement is inconsistent with the accompanying prospectus, you should rely only on this prospectus supplement. The accompanying prospectus is dated as of January 6, 2026 and contains certain factual information regarding Simon Property and the Operating Partnership that was true and correct as of the date of the accompanying prospectus but which is updated by this prospectus supplement to reflect changes that have occurred since the date of the accompanying prospectus.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sSUM"/>
      <w:bookmarkEnd w:id="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SUMMARY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The following summary contains basic information about this offering and the principal terms of the notes. It does not contain all the information that is important to you. For a more complete understanding of this offering and the principal terms of the notes, we encourage you to read this entire prospectus supplement, the accompanying prospectus and the documents we refer to, or incorporate by reference, herein and therein. In this prospectus supplement, the “Operating Partnership” and the terms “we”, “us”, and “our” refer to Simon Property Group, L.P. and its subsidiaries, unless the context specifies or contemplates otherwise, and “Simon Property” refers specifically to Simon Property Group, Inc.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Simon Property Group, L.P.</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Simon Property Group, L.P. owns, develops, and manages premier shopping, dining, entertainment, and mixed-use destinations, which consist primarily of malls, Premium Outlets</w:t>
      </w:r>
      <w:r>
        <w:rPr>
          <w:rFonts w:ascii="Times New Roman;Times;serif" w:hAnsi="Times New Roman;Times;serif"/>
          <w:b w:val="false"/>
          <w:i w:val="false"/>
          <w:caps w:val="false"/>
          <w:smallCaps w:val="false"/>
          <w:color w:val="000000"/>
          <w:spacing w:val="3"/>
          <w:sz w:val="15"/>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 and The Mills</w:t>
      </w:r>
      <w:r>
        <w:rPr>
          <w:rFonts w:ascii="Times New Roman;Times;serif" w:hAnsi="Times New Roman;Times;serif"/>
          <w:b w:val="false"/>
          <w:i w:val="false"/>
          <w:caps w:val="false"/>
          <w:smallCaps w:val="false"/>
          <w:color w:val="000000"/>
          <w:spacing w:val="3"/>
          <w:sz w:val="15"/>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 xml:space="preserve">. Our sole general partner, Simon Property, operates as a self-administered and self-managed real estate investment trust, or REIT, under the Internal Revenue Code of 1986, as amended, or the Internal Revenue Code, for United States federal income tax purposes.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principal executive offices are located at 225 West Washington Street, Indianapolis, Indiana 46204.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Our telephone number is (317) 636-1600. For more information, please see the section entitled “</w:t>
      </w:r>
      <w:r>
        <w:rPr>
          <w:rFonts w:ascii="Times New Roman;Times;serif" w:hAnsi="Times New Roman;Times;serif"/>
          <w:b w:val="false"/>
          <w:i/>
          <w:caps w:val="false"/>
          <w:smallCaps w:val="false"/>
          <w:color w:val="000000"/>
          <w:spacing w:val="4"/>
          <w:sz w:val="20"/>
          <w:bdr w:val="single" w:sz="8" w:space="1" w:color="000000"/>
        </w:rPr>
        <w:t>Who We Are</w:t>
      </w:r>
      <w:r>
        <w:rPr>
          <w:rFonts w:ascii="Times New Roman;Times;serif" w:hAnsi="Times New Roman;Times;serif"/>
          <w:b w:val="false"/>
          <w:i w:val="false"/>
          <w:caps w:val="false"/>
          <w:smallCaps w:val="false"/>
          <w:color w:val="000000"/>
          <w:spacing w:val="4"/>
          <w:sz w:val="20"/>
          <w:bdr w:val="single" w:sz="8" w:space="1" w:color="000000"/>
        </w:rPr>
        <w:t xml:space="preserve">” in this prospectus supplement.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sTHOF"/>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THE OFFERING</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The following is a brief summary of the principal terms of the notes of each series. A more detailed description is contained in this prospectus supplement under the section “Description of Notes,” together with the section “Description of Securities Being Offered” in the accompanying prospectus. </w:t>
      </w:r>
    </w:p>
    <w:p>
      <w:pPr>
        <w:pStyle w:val="TextBody"/>
        <w:bidi w:val="0"/>
        <w:spacing w:lineRule="atLeast" w:line="240" w:before="120" w:after="283"/>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Issuer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Simon Property Group, L.P. </w:t>
      </w:r>
    </w:p>
    <w:p>
      <w:pPr>
        <w:pStyle w:val="TextBody"/>
        <w:bidi w:val="0"/>
        <w:spacing w:lineRule="atLeast" w:line="240" w:before="120" w:after="283"/>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Notes Offered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$400,000,000 aggregate principal amount of 5.250% Notes due 2032 and $400,000,000 aggregate principal amount of 5.650% Notes due 2036. </w:t>
      </w:r>
    </w:p>
    <w:p>
      <w:pPr>
        <w:pStyle w:val="TextBody"/>
        <w:bidi w:val="0"/>
        <w:spacing w:lineRule="atLeast" w:line="240" w:before="120" w:after="283"/>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Maturity Date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Unless earlier redeemed, the 2032 Notes will mature on February 15, 2032 and the 2036 Notes will mature on October 1, 2036. </w:t>
      </w:r>
    </w:p>
    <w:p>
      <w:pPr>
        <w:pStyle w:val="TextBody"/>
        <w:bidi w:val="0"/>
        <w:spacing w:lineRule="atLeast" w:line="240" w:before="120" w:after="283"/>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Optional Redemption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We may redeem some or all of the notes of either series at any time and from time to time at the redemption prices described under “</w:t>
      </w:r>
      <w:r>
        <w:rPr>
          <w:rFonts w:ascii="Times New Roman;Times;serif" w:hAnsi="Times New Roman;Times;serif"/>
          <w:b w:val="false"/>
          <w:i/>
          <w:caps w:val="false"/>
          <w:smallCaps w:val="false"/>
          <w:color w:val="000000"/>
          <w:spacing w:val="4"/>
          <w:sz w:val="20"/>
          <w:bdr w:val="single" w:sz="8" w:space="1" w:color="000000"/>
        </w:rPr>
        <w:t>Description of Notes — Optional Redemption</w:t>
      </w:r>
      <w:r>
        <w:rPr>
          <w:rFonts w:ascii="Times New Roman;Times;serif" w:hAnsi="Times New Roman;Times;serif"/>
          <w:b w:val="false"/>
          <w:i w:val="false"/>
          <w:caps w:val="false"/>
          <w:smallCaps w:val="false"/>
          <w:color w:val="000000"/>
          <w:spacing w:val="4"/>
          <w:sz w:val="20"/>
          <w:bdr w:val="single" w:sz="8" w:space="1" w:color="000000"/>
        </w:rPr>
        <w:t xml:space="preserve">.” If the 2032 Notes or the 2036 Notes are redeemed on or after January 15, 2032 or July 1, 2036 respectively, the redemption price will not include the Make-Whole Amount (defined herein). </w:t>
      </w:r>
    </w:p>
    <w:p>
      <w:pPr>
        <w:pStyle w:val="TextBody"/>
        <w:bidi w:val="0"/>
        <w:spacing w:lineRule="atLeast" w:line="240" w:before="120" w:after="283"/>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Interest Payment Dates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February 15 and August 15 of each year, beginning February 15, 2027, for the 2032 Notes and April 1 and October 1 of each year, beginning April 1, 2027, for the 2036 Notes. </w:t>
      </w:r>
    </w:p>
    <w:p>
      <w:pPr>
        <w:pStyle w:val="TextBody"/>
        <w:bidi w:val="0"/>
        <w:spacing w:lineRule="atLeast" w:line="240" w:before="120" w:after="283"/>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Ranking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notes will be our unsecured and unsubordinated obligations and will rank equally with all of our other existing and future unsecured and unsubordinated indebtedness. See “</w:t>
      </w:r>
      <w:r>
        <w:rPr>
          <w:rFonts w:ascii="Times New Roman;Times;serif" w:hAnsi="Times New Roman;Times;serif"/>
          <w:b w:val="false"/>
          <w:i/>
          <w:caps w:val="false"/>
          <w:smallCaps w:val="false"/>
          <w:color w:val="000000"/>
          <w:spacing w:val="4"/>
          <w:sz w:val="20"/>
          <w:bdr w:val="single" w:sz="8" w:space="1" w:color="000000"/>
        </w:rPr>
        <w:t>Description of Notes</w:t>
      </w:r>
      <w:r>
        <w:rPr>
          <w:rFonts w:ascii="Times New Roman;Times;serif" w:hAnsi="Times New Roman;Times;serif"/>
          <w:b w:val="false"/>
          <w:i w:val="false"/>
          <w:caps w:val="false"/>
          <w:smallCaps w:val="false"/>
          <w:color w:val="000000"/>
          <w:spacing w:val="4"/>
          <w:sz w:val="20"/>
          <w:bdr w:val="single" w:sz="8" w:space="1" w:color="000000"/>
        </w:rPr>
        <w:t xml:space="preserve">” in this prospectus supplement. </w:t>
      </w:r>
    </w:p>
    <w:p>
      <w:pPr>
        <w:pStyle w:val="TextBody"/>
        <w:bidi w:val="0"/>
        <w:spacing w:lineRule="atLeast" w:line="240" w:before="16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Assuming we had completed the offering of each series of notes on June 30, 2026, the notes of each series would have been effectively subordinated to $8.1 billion of total consolidated mortgage debt outstanding on such date to the extent of the assets securing the same. At such date, our subsidiaries had no unsecured indebtedness, other than (i) €1.4375 billion (approximate USD equivalent of $1.640 billion) of notes issued to fund certain of our European operations, (ii) a $460.0 million term loan relating to our operations in Puerto Rico, and (iii) a €350.0 million (approximate USD equivalent of $399.3 million) unsecured term loan to fund our European operations, each of which is guaranteed by us and reflected in our consolidated indebtedness. </w:t>
      </w:r>
    </w:p>
    <w:p>
      <w:pPr>
        <w:pStyle w:val="TextBody"/>
        <w:bidi w:val="0"/>
        <w:spacing w:lineRule="atLeast" w:line="240" w:before="120" w:after="283"/>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Use of Proceeds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expect to receive net proceeds from the sale of the notes, after deducting the underwriting discounts and expenses payable by us, of approximately $794.1 million. We intend to use the net proceeds of this offering to fund the repayment of all or a portion of our $750 million outstanding principal amount of our 3.250% notes due 2026 (the “2026 Notes”), and to use any remaining net proceeds for general business purposes, including to repay other unsecured indebtedness. </w:t>
      </w:r>
    </w:p>
    <w:p>
      <w:pPr>
        <w:pStyle w:val="TextBody"/>
        <w:bidi w:val="0"/>
        <w:spacing w:lineRule="atLeast" w:line="240" w:before="16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See “</w:t>
      </w:r>
      <w:r>
        <w:rPr>
          <w:rFonts w:ascii="Times New Roman;Times;serif" w:hAnsi="Times New Roman;Times;serif"/>
          <w:b w:val="false"/>
          <w:i/>
          <w:caps w:val="false"/>
          <w:smallCaps w:val="false"/>
          <w:color w:val="000000"/>
          <w:spacing w:val="4"/>
          <w:sz w:val="20"/>
          <w:bdr w:val="single" w:sz="8" w:space="1" w:color="000000"/>
        </w:rPr>
        <w:t>Use of Proceeds</w:t>
      </w:r>
      <w:r>
        <w:rPr>
          <w:rFonts w:ascii="Times New Roman;Times;serif" w:hAnsi="Times New Roman;Times;serif"/>
          <w:b w:val="false"/>
          <w:i w:val="false"/>
          <w:caps w:val="false"/>
          <w:smallCaps w:val="false"/>
          <w:color w:val="000000"/>
          <w:spacing w:val="4"/>
          <w:sz w:val="20"/>
          <w:bdr w:val="single" w:sz="8" w:space="1" w:color="000000"/>
        </w:rPr>
        <w:t xml:space="preserve">” in this prospectus supplement. </w:t>
      </w:r>
    </w:p>
    <w:p>
      <w:pPr>
        <w:pStyle w:val="TextBody"/>
        <w:bidi w:val="0"/>
        <w:spacing w:lineRule="atLeast" w:line="240" w:before="120" w:after="283"/>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Conflicts of Interest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Certain of the underwriters and affiliates of certain of the underwriters may be holders of our 2026 Notes. Upon the application of the net proceeds of this offering to repay all or a portion of our 2026 Notes, any such underwriter or its affiliates may receive more than 5% of the proceeds of this offering (not including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4753" w:right="0" w:hanging="0"/>
        <w:jc w:val="left"/>
        <w:rPr>
          <w:rFonts w:ascii="Times New Roman;Times;serif" w:hAnsi="Times New Roman;Times;serif"/>
          <w:b w:val="false"/>
          <w:i/>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underwriting discounts). See “</w:t>
      </w:r>
      <w:r>
        <w:rPr>
          <w:rFonts w:ascii="Times New Roman;Times;serif" w:hAnsi="Times New Roman;Times;serif"/>
          <w:b w:val="false"/>
          <w:i/>
          <w:caps w:val="false"/>
          <w:smallCaps w:val="false"/>
          <w:color w:val="000000"/>
          <w:spacing w:val="4"/>
          <w:sz w:val="20"/>
          <w:bdr w:val="single" w:sz="8" w:space="1" w:color="000000"/>
        </w:rPr>
        <w:t>Underwriting (Conflicts of Interest) — Conflicts of Interest</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120" w:after="283"/>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Covenants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indenture contains various covenants applicable to the notes of each series, including covenants with respect to limitations on the incurrence of debt. These covenants are subject to a number of important qualifications and exceptions. See “</w:t>
      </w:r>
      <w:r>
        <w:rPr>
          <w:rFonts w:ascii="Times New Roman;Times;serif" w:hAnsi="Times New Roman;Times;serif"/>
          <w:b w:val="false"/>
          <w:i/>
          <w:caps w:val="false"/>
          <w:smallCaps w:val="false"/>
          <w:color w:val="000000"/>
          <w:spacing w:val="4"/>
          <w:sz w:val="20"/>
          <w:bdr w:val="single" w:sz="8" w:space="1" w:color="000000"/>
        </w:rPr>
        <w:t>Description of Notes — Covenants</w:t>
      </w:r>
      <w:r>
        <w:rPr>
          <w:rFonts w:ascii="Times New Roman;Times;serif" w:hAnsi="Times New Roman;Times;serif"/>
          <w:b w:val="false"/>
          <w:i w:val="false"/>
          <w:caps w:val="false"/>
          <w:smallCaps w:val="false"/>
          <w:color w:val="000000"/>
          <w:spacing w:val="4"/>
          <w:sz w:val="20"/>
          <w:bdr w:val="single" w:sz="8" w:space="1" w:color="000000"/>
        </w:rPr>
        <w:t xml:space="preserve">” in this prospectus supplement. </w:t>
      </w:r>
    </w:p>
    <w:p>
      <w:pPr>
        <w:pStyle w:val="TextBody"/>
        <w:bidi w:val="0"/>
        <w:spacing w:lineRule="atLeast" w:line="240" w:before="120" w:after="283"/>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Minimum Denominations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notes of each series will be issued and may be transferred only in minimum denominations of $2,000 and integral multiples of $1,000 in excess thereof. </w:t>
      </w:r>
    </w:p>
    <w:p>
      <w:pPr>
        <w:pStyle w:val="TextBody"/>
        <w:bidi w:val="0"/>
        <w:spacing w:lineRule="atLeast" w:line="240" w:before="120" w:after="283"/>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Form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Book-entry only through the facilities of The Depository Trust Company for the accounts of its participants, including Clearstream Banking S.A. (“Clearstream”), and Euroclear Bank SA/NV (“Euroclear”). </w:t>
      </w:r>
    </w:p>
    <w:p>
      <w:pPr>
        <w:pStyle w:val="TextBody"/>
        <w:bidi w:val="0"/>
        <w:spacing w:lineRule="atLeast" w:line="240" w:before="120" w:after="283"/>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Risk Factors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See “</w:t>
      </w:r>
      <w:r>
        <w:rPr>
          <w:rFonts w:ascii="Times New Roman;Times;serif" w:hAnsi="Times New Roman;Times;serif"/>
          <w:b w:val="false"/>
          <w:i/>
          <w:caps w:val="false"/>
          <w:smallCaps w:val="false"/>
          <w:color w:val="000000"/>
          <w:spacing w:val="4"/>
          <w:sz w:val="20"/>
          <w:bdr w:val="single" w:sz="8" w:space="1" w:color="000000"/>
        </w:rPr>
        <w:t>Risk Factors</w:t>
      </w:r>
      <w:r>
        <w:rPr>
          <w:rFonts w:ascii="Times New Roman;Times;serif" w:hAnsi="Times New Roman;Times;serif"/>
          <w:b w:val="false"/>
          <w:i w:val="false"/>
          <w:caps w:val="false"/>
          <w:smallCaps w:val="false"/>
          <w:color w:val="000000"/>
          <w:spacing w:val="4"/>
          <w:sz w:val="20"/>
          <w:bdr w:val="single" w:sz="8" w:space="1" w:color="000000"/>
        </w:rPr>
        <w:t xml:space="preserve">” in this prospectus supplement and the other information included in or incorporated by reference into this prospectus supplement and the accompanying prospectus for a discussion of factors you should carefully consider before deciding to invest in the notes. </w:t>
      </w:r>
    </w:p>
    <w:p>
      <w:pPr>
        <w:pStyle w:val="TextBody"/>
        <w:bidi w:val="0"/>
        <w:spacing w:lineRule="atLeast" w:line="240" w:before="120" w:after="283"/>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Governing Law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State of New York. </w:t>
      </w:r>
    </w:p>
    <w:p>
      <w:pPr>
        <w:pStyle w:val="TextBody"/>
        <w:bidi w:val="0"/>
        <w:spacing w:lineRule="atLeast" w:line="240" w:before="120" w:after="283"/>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Trustee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Bank of New York Mellon Trust Company, N.A.</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sRIFA"/>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Your investment in the notes involves certain risks. In consultation with your own financial, tax, accounting, and legal advisors, you should carefully consider, among other matters, the risk factors set forth below as well as the risk factors discussed in our most recent Annual Report on Form 10-K, which is incorporated by reference into this prospectus supplement and the accompanying prospectus, before deciding whether to make an investment in the notes. The realization of any of the matters referenced in such risk factors could have a material adverse effect on our business, financial condition, liquidity, results of operations, and prospects.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notes are effectively subordinated to all our existing and future secured debt and the liabilities and any preferred equity of our subsidiaries.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are not secured by any of our assets and therefore are effectively subordinated to all our existing and future secured debt. If we become insolvent or are liquidated, or if payment of any of our secured debt is accelerated, the holders of that secured debt will be entitled to exercise the remedies available to secured lenders under applicable law, including the ability to foreclose on and sell the assets securing such debt to satisfy such debt. In any such case, our remaining assets may be insufficient to repay the notes.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Because we operate a significant portion of our business through subsidiaries, we derive revenues from, and hold assets through, those subsidiaries. In general, these subsidiaries are separate and distinct legal entities. These subsidiaries will have no obligation to pay any amounts due on our debt securities, including the notes, or to provide us with funds for our payment obligations, whether by dividends, distributions, loans or otherwise. Our right to receive any assets of any subsidiary in the event of a bankruptcy or liquidation of the subsidiary, and therefore the right of our creditors to participate in those assets, will be effectively subordinated to the claims of that subsidiary’s creditors, including trade creditors, and any preferred equity holders of that subsidiary, in each case to the extent that we are not recognized as a creditor of such subsidiary. In addition, even where we are recognized as a creditor of a subsidiary, our rights as a creditor with respect to certain amounts are subordinated to other indebtedness of that subsidiary, including secured indebtedness to the extent of the assets securing such indebtedness.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Assuming we had completed the offering of each series of notes on June 30, 2026, the notes of each series would have been effectively subordinated to $8.1 billion of total consolidated mortgage debt outstanding on such date to the extent of the assets securing the same. At such date, our subsidiaries had no unsecured indebtedness, other than (i) €1.4375 billion (approximate USD equivalent of $1.640 billion) of notes issued to fund certain of our European operations, (ii) a $460.0 million term loan relating to our operations in Puerto Rico, and (iii) a €350.0 million (approximate USD equivalent of $399.3 million) unsecured term loan to fund our European operations, each of which is guaranteed by us and reflected in our consolidated indebtedness.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notes restrict, but do not eliminate, our ability to incur additional debt or take other action that could negatively impact holders of the notes.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val="false"/>
          <w:caps w:val="false"/>
          <w:smallCaps w:val="false"/>
          <w:color w:val="000000"/>
          <w:spacing w:val="4"/>
          <w:sz w:val="20"/>
        </w:rPr>
        <w:t>Subject to specified limitations in the indenture and as described under “</w:t>
      </w:r>
      <w:r>
        <w:rPr>
          <w:rFonts w:ascii="Times New Roman;Times;serif" w:hAnsi="Times New Roman;Times;serif"/>
          <w:b w:val="false"/>
          <w:i/>
          <w:caps w:val="false"/>
          <w:smallCaps w:val="false"/>
          <w:color w:val="000000"/>
          <w:spacing w:val="4"/>
          <w:sz w:val="20"/>
        </w:rPr>
        <w:t xml:space="preserve">Description of Notes —  Covenants — Limitation on Debt” </w:t>
      </w:r>
      <w:r>
        <w:rPr>
          <w:rFonts w:ascii="Times New Roman;Times;serif" w:hAnsi="Times New Roman;Times;serif"/>
          <w:b w:val="false"/>
          <w:i w:val="false"/>
          <w:caps w:val="false"/>
          <w:smallCaps w:val="false"/>
          <w:color w:val="000000"/>
          <w:spacing w:val="4"/>
          <w:sz w:val="20"/>
        </w:rPr>
        <w:t>and “</w:t>
      </w:r>
      <w:r>
        <w:rPr>
          <w:rFonts w:ascii="Times New Roman;Times;serif" w:hAnsi="Times New Roman;Times;serif"/>
          <w:b w:val="false"/>
          <w:i/>
          <w:caps w:val="false"/>
          <w:smallCaps w:val="false"/>
          <w:color w:val="000000"/>
          <w:spacing w:val="4"/>
          <w:sz w:val="20"/>
        </w:rPr>
        <w:t xml:space="preserve">Description of Notes — Covenants — Merger, Consolidation or Sale” </w:t>
      </w:r>
      <w:r>
        <w:rPr>
          <w:rFonts w:ascii="Times New Roman;Times;serif" w:hAnsi="Times New Roman;Times;serif"/>
          <w:b w:val="false"/>
          <w:i w:val="false"/>
          <w:caps w:val="false"/>
          <w:smallCaps w:val="false"/>
          <w:color w:val="000000"/>
          <w:spacing w:val="4"/>
          <w:sz w:val="20"/>
        </w:rPr>
        <w:t xml:space="preserve">in this prospectus supplement, the indenture does not contain any provisions that would limit our ability or the ability of our subsidiaries to incur indebtedness or that would give holders of the notes protection in the event of: a highly leveraged or similar transaction involving us or any of our affiliates; a change of control; or a reorganization, restructuring, merger, or similar transaction involving us or any of our affiliates that may adversely affect the holders of the notes. Restrictions on the ownership and transfer of the shares of common stock of Simon Property designed to preserve its qualification as a REIT, however, may prevent or hinder a change of control.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280"/>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There is no current public market for the notes of either series.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series of notes is a new issue of securities for which there is currently no trading market. We do not intend to apply for listing of the notes of either series on any securities exchange or for inclusion of the notes of either series in any automated quotation system. We cannot guarantee: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trading market for either series of notes will develop or be maintained; </w:t>
      </w:r>
      <w:r>
        <mc:AlternateContent>
          <mc:Choice Requires="wps">
            <w:drawing>
              <wp:anchor behindDoc="0" distT="76200" distB="0" distL="254000" distR="0" simplePos="0" locked="0" layoutInCell="1" allowOverlap="1" relativeHeight="8">
                <wp:simplePos x="0" y="0"/>
                <wp:positionH relativeFrom="column">
                  <wp:align>left</wp:align>
                </wp:positionH>
                <wp:positionV relativeFrom="line">
                  <wp:align>top</wp:align>
                </wp:positionV>
                <wp:extent cx="127000" cy="350520"/>
                <wp:effectExtent l="0" t="0" r="0" b="0"/>
                <wp:wrapSquare wrapText="right"/>
                <wp:docPr id="5" name="Frame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liquidity of any trading market that may develop for either series of notes; </w:t>
      </w:r>
      <w:r>
        <mc:AlternateContent>
          <mc:Choice Requires="wps">
            <w:drawing>
              <wp:anchor behindDoc="0" distT="76200" distB="0" distL="254000" distR="0" simplePos="0" locked="0" layoutInCell="1" allowOverlap="1" relativeHeight="9">
                <wp:simplePos x="0" y="0"/>
                <wp:positionH relativeFrom="column">
                  <wp:align>left</wp:align>
                </wp:positionH>
                <wp:positionV relativeFrom="line">
                  <wp:align>top</wp:align>
                </wp:positionV>
                <wp:extent cx="127000" cy="350520"/>
                <wp:effectExtent l="0" t="0" r="0" b="0"/>
                <wp:wrapSquare wrapText="right"/>
                <wp:docPr id="6" name="Frame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your ability to sell your notes when desired or at all; or </w:t>
      </w:r>
      <w:r>
        <mc:AlternateContent>
          <mc:Choice Requires="wps">
            <w:drawing>
              <wp:anchor behindDoc="0" distT="76200" distB="0" distL="254000" distR="0" simplePos="0" locked="0" layoutInCell="1" allowOverlap="1" relativeHeight="10">
                <wp:simplePos x="0" y="0"/>
                <wp:positionH relativeFrom="column">
                  <wp:align>left</wp:align>
                </wp:positionH>
                <wp:positionV relativeFrom="line">
                  <wp:align>top</wp:align>
                </wp:positionV>
                <wp:extent cx="127000" cy="350520"/>
                <wp:effectExtent l="0" t="0" r="0" b="0"/>
                <wp:wrapSquare wrapText="right"/>
                <wp:docPr id="7" name="Frame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price at which you would be able to sell your notes. </w:t>
      </w:r>
      <w:r>
        <mc:AlternateContent>
          <mc:Choice Requires="wps">
            <w:drawing>
              <wp:anchor behindDoc="0" distT="76200" distB="0" distL="254000" distR="0" simplePos="0" locked="0" layoutInCell="1" allowOverlap="1" relativeHeight="11">
                <wp:simplePos x="0" y="0"/>
                <wp:positionH relativeFrom="column">
                  <wp:align>left</wp:align>
                </wp:positionH>
                <wp:positionV relativeFrom="line">
                  <wp:align>top</wp:align>
                </wp:positionV>
                <wp:extent cx="127000" cy="350520"/>
                <wp:effectExtent l="0" t="0" r="0" b="0"/>
                <wp:wrapSquare wrapText="right"/>
                <wp:docPr id="8" name="Frame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Liquidity of any trading market for, and future market prices of, the notes of each series will depend on many factors, including: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prevailing interest rates; </w:t>
      </w:r>
      <w:r>
        <mc:AlternateContent>
          <mc:Choice Requires="wps">
            <w:drawing>
              <wp:anchor behindDoc="0" distT="76200" distB="0" distL="254000" distR="0" simplePos="0" locked="0" layoutInCell="1" allowOverlap="1" relativeHeight="12">
                <wp:simplePos x="0" y="0"/>
                <wp:positionH relativeFrom="column">
                  <wp:align>left</wp:align>
                </wp:positionH>
                <wp:positionV relativeFrom="line">
                  <wp:align>top</wp:align>
                </wp:positionV>
                <wp:extent cx="127000" cy="350520"/>
                <wp:effectExtent l="0" t="0" r="0" b="0"/>
                <wp:wrapSquare wrapText="right"/>
                <wp:docPr id="9" name="Frame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operating results and cash flows; </w:t>
      </w:r>
      <w:r>
        <mc:AlternateContent>
          <mc:Choice Requires="wps">
            <w:drawing>
              <wp:anchor behindDoc="0" distT="76200" distB="0" distL="254000" distR="0" simplePos="0" locked="0" layoutInCell="1" allowOverlap="1" relativeHeight="13">
                <wp:simplePos x="0" y="0"/>
                <wp:positionH relativeFrom="column">
                  <wp:align>left</wp:align>
                </wp:positionH>
                <wp:positionV relativeFrom="line">
                  <wp:align>top</wp:align>
                </wp:positionV>
                <wp:extent cx="127000" cy="350520"/>
                <wp:effectExtent l="0" t="0" r="0" b="0"/>
                <wp:wrapSquare wrapText="right"/>
                <wp:docPr id="10" name="Frame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credit rating or outlook changes; and </w:t>
      </w:r>
      <w:r>
        <mc:AlternateContent>
          <mc:Choice Requires="wps">
            <w:drawing>
              <wp:anchor behindDoc="0" distT="76200" distB="0" distL="254000" distR="0" simplePos="0" locked="0" layoutInCell="1" allowOverlap="1" relativeHeight="14">
                <wp:simplePos x="0" y="0"/>
                <wp:positionH relativeFrom="column">
                  <wp:align>left</wp:align>
                </wp:positionH>
                <wp:positionV relativeFrom="line">
                  <wp:align>top</wp:align>
                </wp:positionV>
                <wp:extent cx="127000" cy="350520"/>
                <wp:effectExtent l="0" t="0" r="0" b="0"/>
                <wp:wrapSquare wrapText="right"/>
                <wp:docPr id="11" name="Frame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market for similar securities. </w:t>
      </w:r>
      <w:r>
        <mc:AlternateContent>
          <mc:Choice Requires="wps">
            <w:drawing>
              <wp:anchor behindDoc="0" distT="76200" distB="0" distL="254000" distR="0" simplePos="0" locked="0" layoutInCell="1" allowOverlap="1" relativeHeight="15">
                <wp:simplePos x="0" y="0"/>
                <wp:positionH relativeFrom="column">
                  <wp:align>left</wp:align>
                </wp:positionH>
                <wp:positionV relativeFrom="line">
                  <wp:align>top</wp:align>
                </wp:positionV>
                <wp:extent cx="127000" cy="350520"/>
                <wp:effectExtent l="0" t="0" r="0" b="0"/>
                <wp:wrapSquare wrapText="right"/>
                <wp:docPr id="12" name="Frame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condition of the financial markets and prevailing interest rates have fluctuated in the past and are likely to fluctuate in the future, which could have an adverse effect on the market prices of the notes.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sWWA2"/>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8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WHO WE ARE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own, develop, and manage premier shopping, dining, entertainment, and mixed-use destinations, which consist primarily of malls, Premium Outlets</w:t>
      </w:r>
      <w:r>
        <w:rPr>
          <w:rFonts w:ascii="Times New Roman;Times;serif" w:hAnsi="Times New Roman;Times;serif"/>
          <w:b w:val="false"/>
          <w:i w:val="false"/>
          <w:caps w:val="false"/>
          <w:smallCaps w:val="false"/>
          <w:color w:val="000000"/>
          <w:spacing w:val="3"/>
          <w:sz w:val="15"/>
        </w:rPr>
        <w:t>®</w:t>
      </w:r>
      <w:r>
        <w:rPr>
          <w:rFonts w:ascii="Times New Roman;Times;serif" w:hAnsi="Times New Roman;Times;serif"/>
          <w:b w:val="false"/>
          <w:i w:val="false"/>
          <w:caps w:val="false"/>
          <w:smallCaps w:val="false"/>
          <w:color w:val="000000"/>
          <w:spacing w:val="4"/>
          <w:sz w:val="20"/>
        </w:rPr>
        <w:t>, and The Mills</w:t>
      </w:r>
      <w:r>
        <w:rPr>
          <w:rFonts w:ascii="Times New Roman;Times;serif" w:hAnsi="Times New Roman;Times;serif"/>
          <w:b w:val="false"/>
          <w:i w:val="false"/>
          <w:caps w:val="false"/>
          <w:smallCaps w:val="false"/>
          <w:color w:val="000000"/>
          <w:spacing w:val="3"/>
          <w:sz w:val="15"/>
        </w:rPr>
        <w:t>®</w:t>
      </w:r>
      <w:r>
        <w:rPr>
          <w:rFonts w:ascii="Times New Roman;Times;serif" w:hAnsi="Times New Roman;Times;serif"/>
          <w:b w:val="false"/>
          <w:i w:val="false"/>
          <w:caps w:val="false"/>
          <w:smallCaps w:val="false"/>
          <w:color w:val="000000"/>
          <w:spacing w:val="4"/>
          <w:sz w:val="20"/>
        </w:rPr>
        <w:t xml:space="preserve">. We operate as a majority-owned Indiana operating partnership subsidiary of Simon Property, which has elected to be treated as a REIT under the Internal Revenue Code for United States federal income tax purposes.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June 30, 2026, we owned or held an interest in 212 income-producing properties in the United States, which consisted of 107 malls, 68 Premium Outlets, 16 Mills, six lifestyle centers, and 15 other retail properties in 38 states and Puerto Rico. Internationally, as of June 30, 2026, we had ownership in 42 properties primarily located in Asia, Europe, and Canada. As of June 30, 2026, we also owned a 20.7% equity stake in Klépierre SA, a publicly traded, Paris-based real estate company which owns, or has an interest in, shopping centers located in 13 countries in Europe. We also have interests in investments in retail operations (such as Catalyst Brands LLC), an e-commerce venture (Rue Gilt Groupe, which operates shop.simon.com), and Jamestown (a global real estate investment and management company).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Simon Property is our sole general partner. Our principal executive offices are located at 225 West Washington Street, Indianapolis, Indiana 46204. Our telephone number is (317) 636-1600. Our Internet address is www.simon.com. The information contained in our website or connected to it is not a part of, or incorporated by reference into, this prospectus supplement, the accompanying prospectus or any registration statement of which it forms a part.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you want to find more information about us and Simon Property, please see the sections entitled “</w:t>
      </w:r>
      <w:r>
        <w:rPr>
          <w:rFonts w:ascii="Times New Roman;Times;serif" w:hAnsi="Times New Roman;Times;serif"/>
          <w:b w:val="false"/>
          <w:i/>
          <w:caps w:val="false"/>
          <w:smallCaps w:val="false"/>
          <w:color w:val="000000"/>
          <w:spacing w:val="4"/>
          <w:sz w:val="20"/>
        </w:rPr>
        <w:t>Where You Can Find More Information</w:t>
      </w:r>
      <w:r>
        <w:rPr>
          <w:rFonts w:ascii="Times New Roman;Times;serif" w:hAnsi="Times New Roman;Times;serif"/>
          <w:b w:val="false"/>
          <w:i w:val="false"/>
          <w:caps w:val="false"/>
          <w:smallCaps w:val="false"/>
          <w:color w:val="000000"/>
          <w:spacing w:val="4"/>
          <w:sz w:val="20"/>
        </w:rPr>
        <w:t>” and “</w:t>
      </w:r>
      <w:r>
        <w:rPr>
          <w:rFonts w:ascii="Times New Roman;Times;serif" w:hAnsi="Times New Roman;Times;serif"/>
          <w:b w:val="false"/>
          <w:i/>
          <w:caps w:val="false"/>
          <w:smallCaps w:val="false"/>
          <w:color w:val="000000"/>
          <w:spacing w:val="4"/>
          <w:sz w:val="20"/>
        </w:rPr>
        <w:t>Incorporation of Information We File with the SEC</w:t>
      </w:r>
      <w:r>
        <w:rPr>
          <w:rFonts w:ascii="Times New Roman;Times;serif" w:hAnsi="Times New Roman;Times;serif"/>
          <w:b w:val="false"/>
          <w:i w:val="false"/>
          <w:caps w:val="false"/>
          <w:smallCaps w:val="false"/>
          <w:color w:val="000000"/>
          <w:spacing w:val="4"/>
          <w:sz w:val="20"/>
        </w:rPr>
        <w:t xml:space="preserve">” in the accompanying prospectus.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sUOP2"/>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8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expect to receive net proceeds from the sale of the notes, after deducting the underwriting discounts and expenses payable by us, of approximately $794.1 million. We intend to use the net proceeds of this offering to fund the repayment of all or a portion of our $750 million outstanding principal amount of our 3.250% notes due 2026 (the “2026 Notes”), and to use any remaining net proceeds for general business purposes, including to repay other unsecured indebtedness.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Certain of the underwriters and affiliates of certain of the underwriters may be holders of our 2026 Notes. Upon the application of the net proceeds of this offering to repay all or a portion of our 2026 Notes, any such underwriter or its affiliates may receive a portion of the proceeds of this offering (not including the underwriting discounts). See “</w:t>
      </w:r>
      <w:r>
        <w:rPr>
          <w:rFonts w:ascii="Times New Roman;Times;serif" w:hAnsi="Times New Roman;Times;serif"/>
          <w:b w:val="false"/>
          <w:i/>
          <w:caps w:val="false"/>
          <w:smallCaps w:val="false"/>
          <w:color w:val="000000"/>
          <w:spacing w:val="4"/>
          <w:sz w:val="20"/>
        </w:rPr>
        <w:t>Underwriting (Conflicts of Interest) — Conflicts of Interest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sDON2"/>
      <w:bookmarkEnd w:id="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NOTES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series of notes is a new series of debt securities to be issued under an indenture dated as of November 26, 1996, between us and The Bank of New York Mellon Trust Company, N.A. (as successor to The Chase Manhattan Bank), as trustee (the “Trustee”), as heretofore supplemented, and to be supplemented as of September 16, 2026 (the “Indenture”). The terms of the notes include those provisions contained in the Indenture and those made part of the Indenture by reference to the Trust Indenture Act of 1939, as amended. We have summarized selected terms and provisions of the Indenture and the Trust Indenture Act below.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summary of specified provisions of the Indenture and the notes does not purport to be complete and is subject to, and qualified in its entirety by reference to, the actual provisions of the Indenture, including the definitions contained in the Indenture of some of the terms used below, and the notes of the applicable series. If you would like more information on any of these provisions, you should read the relevant sections of the Indenture. Copies of the Indenture are available from us upon request.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2032 Notes and the 2036 Notes initially will be limited to aggregate principal amounts of $400,000,000 and $400,000,000, respectively. See “— </w:t>
      </w:r>
      <w:r>
        <w:rPr>
          <w:rFonts w:ascii="Times New Roman;Times;serif" w:hAnsi="Times New Roman;Times;serif"/>
          <w:b w:val="false"/>
          <w:i/>
          <w:caps w:val="false"/>
          <w:smallCaps w:val="false"/>
          <w:color w:val="000000"/>
          <w:spacing w:val="4"/>
          <w:sz w:val="20"/>
        </w:rPr>
        <w:t>Further Issuances</w:t>
      </w:r>
      <w:r>
        <w:rPr>
          <w:rFonts w:ascii="Times New Roman;Times;serif" w:hAnsi="Times New Roman;Times;serif"/>
          <w:b w:val="false"/>
          <w:i w:val="false"/>
          <w:caps w:val="false"/>
          <w:smallCaps w:val="false"/>
          <w:color w:val="000000"/>
          <w:spacing w:val="4"/>
          <w:sz w:val="20"/>
        </w:rPr>
        <w:t xml:space="preserve">” below.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notes will be our direct, unsecured and unsubordinated obligations and will rank equally with all our other unsecured and unsubordinated indebtedness from time to time outstanding. The notes will be effectively subordinated to the claims of mortgage lenders holding secured indebtedness, as to the specific property securing each lender’s mortgage, and to claims of creditors and future holders of preferred equity, if any, of our subsidiaries to the extent of the assets of those subsidiaries. Assuming we had completed the offering of each series of notes on June 30, 2026, the notes of each series would have been effectively subordinated to $8.1 billion of total consolidated mortgage debt outstanding on such date to the extent of the assets securing the same. At such date, our subsidiaries had no unsecured indebtedness, other than (i) €1.4375 billion (approximate USD equivalent of $1.640 billion) of notes issued to fund certain of our European operations, (ii) a $460.0 million term loan relating to our operations in Puerto Rico, and (iii) a €350.0 million (approximate USD equivalent of $399.3 million) unsecured term loan to fund our European operations, each of which is guaranteed by us and reflected in our consolidated indebtedness. Subject to specified limitations in the Indenture and as described below under “</w:t>
      </w:r>
      <w:r>
        <w:rPr>
          <w:rFonts w:ascii="Times New Roman;Times;serif" w:hAnsi="Times New Roman;Times;serif"/>
          <w:b w:val="false"/>
          <w:i/>
          <w:caps w:val="false"/>
          <w:smallCaps w:val="false"/>
          <w:color w:val="000000"/>
          <w:spacing w:val="4"/>
          <w:sz w:val="20"/>
        </w:rPr>
        <w:t>Covenants</w:t>
      </w:r>
      <w:r>
        <w:rPr>
          <w:rFonts w:ascii="Times New Roman;Times;serif" w:hAnsi="Times New Roman;Times;serif"/>
          <w:b w:val="false"/>
          <w:i w:val="false"/>
          <w:caps w:val="false"/>
          <w:smallCaps w:val="false"/>
          <w:color w:val="000000"/>
          <w:spacing w:val="4"/>
          <w:sz w:val="20"/>
        </w:rPr>
        <w:t xml:space="preserve">,” the Indenture permits us and our subsidiaries to incur additional secured and unsecured indebtedness and to issue preferred equity. None of our partners has any obligation to pay any amounts due on the notes.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entire principal amount of the 2032 Notes will mature and become payable, together with accrued and unpaid interest, on February 15, 2032 and the entire principal amount of the 2036 Notes will mature and become payable, together with accrued and unpaid interest, on October 1, 2036 (each, a “Maturity Date” with respect to the applicable series of notes), unless, in each case, such notes are redeemed earlier as described below under “— </w:t>
      </w:r>
      <w:r>
        <w:rPr>
          <w:rFonts w:ascii="Times New Roman;Times;serif" w:hAnsi="Times New Roman;Times;serif"/>
          <w:b w:val="false"/>
          <w:i/>
          <w:caps w:val="false"/>
          <w:smallCaps w:val="false"/>
          <w:color w:val="000000"/>
          <w:spacing w:val="4"/>
          <w:sz w:val="20"/>
        </w:rPr>
        <w:t>Optional Redemption</w:t>
      </w:r>
      <w:r>
        <w:rPr>
          <w:rFonts w:ascii="Times New Roman;Times;serif" w:hAnsi="Times New Roman;Times;serif"/>
          <w:b w:val="false"/>
          <w:i w:val="false"/>
          <w:caps w:val="false"/>
          <w:smallCaps w:val="false"/>
          <w:color w:val="000000"/>
          <w:spacing w:val="4"/>
          <w:sz w:val="20"/>
        </w:rPr>
        <w:t xml:space="preserve">.” The notes will not be subject to, or entitled to the benefit of, any sinking fund provisions and will not be convertible into or exchangeable for any of our equity interests. The notes of each series will be issued in minimum denominations of $2,000 and integral multiples of $1,000 in excess thereof.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val="false"/>
          <w:caps w:val="false"/>
          <w:smallCaps w:val="false"/>
          <w:color w:val="000000"/>
          <w:spacing w:val="4"/>
          <w:sz w:val="20"/>
        </w:rPr>
        <w:t>Except as described below under “</w:t>
      </w:r>
      <w:r>
        <w:rPr>
          <w:rFonts w:ascii="Times New Roman;Times;serif" w:hAnsi="Times New Roman;Times;serif"/>
          <w:b w:val="false"/>
          <w:i/>
          <w:caps w:val="false"/>
          <w:smallCaps w:val="false"/>
          <w:color w:val="000000"/>
          <w:spacing w:val="4"/>
          <w:sz w:val="20"/>
        </w:rPr>
        <w:t xml:space="preserve">Covenants — Limitation on Debt” </w:t>
      </w:r>
      <w:r>
        <w:rPr>
          <w:rFonts w:ascii="Times New Roman;Times;serif" w:hAnsi="Times New Roman;Times;serif"/>
          <w:b w:val="false"/>
          <w:i w:val="false"/>
          <w:caps w:val="false"/>
          <w:smallCaps w:val="false"/>
          <w:color w:val="000000"/>
          <w:spacing w:val="4"/>
          <w:sz w:val="20"/>
        </w:rPr>
        <w:t>and “</w:t>
      </w:r>
      <w:r>
        <w:rPr>
          <w:rFonts w:ascii="Times New Roman;Times;serif" w:hAnsi="Times New Roman;Times;serif"/>
          <w:b w:val="false"/>
          <w:i/>
          <w:caps w:val="false"/>
          <w:smallCaps w:val="false"/>
          <w:color w:val="000000"/>
          <w:spacing w:val="4"/>
          <w:sz w:val="20"/>
        </w:rPr>
        <w:t>Covenants — Merger, Consolidation or Sale</w:t>
      </w:r>
      <w:r>
        <w:rPr>
          <w:rFonts w:ascii="Times New Roman;Times;serif" w:hAnsi="Times New Roman;Times;serif"/>
          <w:b w:val="false"/>
          <w:i w:val="false"/>
          <w:caps w:val="false"/>
          <w:smallCaps w:val="false"/>
          <w:color w:val="000000"/>
          <w:spacing w:val="4"/>
          <w:sz w:val="20"/>
        </w:rPr>
        <w:t xml:space="preserve">,” the Indenture does not contain any provisions that would limit our ability or the ability of our subsidiaries to incur indebtedness or that would give holders of the notes protection in the event of: </w:t>
      </w:r>
    </w:p>
    <w:p>
      <w:pPr>
        <w:pStyle w:val="TextBody"/>
        <w:bidi w:val="0"/>
        <w:spacing w:lineRule="atLeast" w:line="240" w:before="13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highly leveraged or similar transaction involving us or any of our affiliates; </w:t>
      </w:r>
      <w:r>
        <mc:AlternateContent>
          <mc:Choice Requires="wps">
            <w:drawing>
              <wp:anchor behindDoc="0" distT="86360" distB="0" distL="254000" distR="0" simplePos="0" locked="0" layoutInCell="1" allowOverlap="1" relativeHeight="16">
                <wp:simplePos x="0" y="0"/>
                <wp:positionH relativeFrom="column">
                  <wp:align>left</wp:align>
                </wp:positionH>
                <wp:positionV relativeFrom="line">
                  <wp:align>top</wp:align>
                </wp:positionV>
                <wp:extent cx="127000" cy="350520"/>
                <wp:effectExtent l="0" t="0" r="0" b="0"/>
                <wp:wrapSquare wrapText="right"/>
                <wp:docPr id="13" name="Frame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8pt;mso-wrap-distance-bottom:0pt;margin-top:6.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change of control; or </w:t>
      </w:r>
      <w:r>
        <mc:AlternateContent>
          <mc:Choice Requires="wps">
            <w:drawing>
              <wp:anchor behindDoc="0" distT="88900" distB="0" distL="254000" distR="0" simplePos="0" locked="0" layoutInCell="1" allowOverlap="1" relativeHeight="17">
                <wp:simplePos x="0" y="0"/>
                <wp:positionH relativeFrom="column">
                  <wp:align>left</wp:align>
                </wp:positionH>
                <wp:positionV relativeFrom="line">
                  <wp:align>top</wp:align>
                </wp:positionV>
                <wp:extent cx="127000" cy="350520"/>
                <wp:effectExtent l="0" t="0" r="0" b="0"/>
                <wp:wrapSquare wrapText="right"/>
                <wp:docPr id="14" name="Frame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reorganization, restructuring, merger, or similar transaction involving us or any of our affiliates that may adversely affect the holders of the notes. </w:t>
      </w:r>
      <w:r>
        <mc:AlternateContent>
          <mc:Choice Requires="wps">
            <w:drawing>
              <wp:anchor behindDoc="0" distT="88900" distB="0" distL="254000" distR="0" simplePos="0" locked="0" layoutInCell="1" allowOverlap="1" relativeHeight="18">
                <wp:simplePos x="0" y="0"/>
                <wp:positionH relativeFrom="column">
                  <wp:align>left</wp:align>
                </wp:positionH>
                <wp:positionV relativeFrom="line">
                  <wp:align>top</wp:align>
                </wp:positionV>
                <wp:extent cx="127000" cy="350520"/>
                <wp:effectExtent l="0" t="0" r="0" b="0"/>
                <wp:wrapSquare wrapText="right"/>
                <wp:docPr id="15" name="Frame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Restrictions on the ownership and transfer of the shares of common stock of Simon Property designed to preserve its qualification as a REIT, however, may prevent or hinder a change of control.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Principal and Interest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2032 Notes will bear interest at 5.250% per year and the 2036 Notes will bear interest at 5.650% per year, in each case, from September 16, 2026 or from the immediately preceding interest payment date to which interest has been paid. Interest on the 2032 Notes is payable semi-annually in arrears on February 15 and August 15, commencing on February 15, 2027, and interest on the 2036 Notes is payable semi-annually in arrears on April 1 and October 1, commencing on April 1, 2027 (each, an “Interest Payment Date” with respect to the applicable series of notes). Interest on an Interest Payment Date will be paid to the persons, or “holders,” in whose names the notes are registered on the security register at the close of business on the regular record date. The regular record date will be the fifteenth calendar day, whether or not a Business Day (as defined below), immediately preceding the related Interest Payment Date. Interest on the notes will be computed on the basis of a 360-day year of twelve 30-day months. The principal of each note payable at maturity or the principal, premium, if any, and interest, if any, payable upon earlier redemption will be paid against presentation and surrender of the note at a corporate trust office of the Trustee, located initially at The Bank of New York Mellon Trust Company, N.A., c/o BNY Mellon Corporate Trust, 500 Ross Street, Suite 625, Pittsburgh, Pennsylvania 15262, in the coin or currency of the United States of America that at the time of payment is legal tender for payment of public and private debts.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any Interest Payment Date, the Maturity Date or any earlier date of redemption falls on a day that is not a Business Day, the required payment will be made on the next Business Day as if it were made on the date the payment was due and no interest will accrue on the amount so payable for the period from and after that Interest Payment Date, the Maturity Date or that date of redemption, as the case may be. For purposes of the notes, “Business Day” means any day, other than a Saturday or Sunday, that is neither a legal holiday nor a day on which banking institutions in The City of New York are authorized or required by law, regulation or executive order to close.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Further Issuances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We may, from time to time, without the consent of or notice to existing note holders, create and issue further notes having the same terms and conditions as the notes of either series in all respects, except for the issue date, issue price, and, to the extent applicable, the first payment of interest. Additional notes issued in this manner will be consolidated with, and will form a single series of debt securities with, the previously outstanding notes of the related series;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however</w:t>
      </w:r>
      <w:r>
        <w:rPr>
          <w:rFonts w:ascii="Times New Roman;Times;serif" w:hAnsi="Times New Roman;Times;serif"/>
          <w:b w:val="false"/>
          <w:i w:val="false"/>
          <w:caps w:val="false"/>
          <w:smallCaps w:val="false"/>
          <w:color w:val="000000"/>
          <w:spacing w:val="4"/>
          <w:sz w:val="20"/>
        </w:rPr>
        <w:t xml:space="preserve">, that if such additional notes will not be fungible with the previously outstanding notes of the related series for U.S. federal income tax purposes, such additional notes will have a separate CUSIP number.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Optional Redemption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redeem the notes of either series at our option at any time, in whole or, from time to time, in part, at a redemption price (the “Redemption Price”) equal to the sum of: </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principal amount of the notes of such series being redeemed plus accrued interest on such notes to the redemption date; and </w:t>
      </w:r>
      <w:r>
        <mc:AlternateContent>
          <mc:Choice Requires="wps">
            <w:drawing>
              <wp:anchor behindDoc="0" distT="67310" distB="0" distL="254000" distR="0" simplePos="0" locked="0" layoutInCell="1" allowOverlap="1" relativeHeight="19">
                <wp:simplePos x="0" y="0"/>
                <wp:positionH relativeFrom="column">
                  <wp:align>left</wp:align>
                </wp:positionH>
                <wp:positionV relativeFrom="line">
                  <wp:align>top</wp:align>
                </wp:positionV>
                <wp:extent cx="127000" cy="350520"/>
                <wp:effectExtent l="0" t="0" r="0" b="0"/>
                <wp:wrapSquare wrapText="right"/>
                <wp:docPr id="16" name="Frame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Make-Whole Amount, as defined below, if any, with respect to the notes of such series. </w:t>
      </w:r>
      <w:r>
        <mc:AlternateContent>
          <mc:Choice Requires="wps">
            <w:drawing>
              <wp:anchor behindDoc="0" distT="67310" distB="0" distL="254000" distR="0" simplePos="0" locked="0" layoutInCell="1" allowOverlap="1" relativeHeight="20">
                <wp:simplePos x="0" y="0"/>
                <wp:positionH relativeFrom="column">
                  <wp:align>left</wp:align>
                </wp:positionH>
                <wp:positionV relativeFrom="line">
                  <wp:align>top</wp:align>
                </wp:positionV>
                <wp:extent cx="127000" cy="350520"/>
                <wp:effectExtent l="0" t="0" r="0" b="0"/>
                <wp:wrapSquare wrapText="right"/>
                <wp:docPr id="17" name="Frame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2032 Notes or the 2036 Notes are redeemed on or after January 15, 2032 (one month prior to their Maturity Date) or July 1, 2036 (three months prior to their Maturity Date) (the applicable date with respect to the 2032 Notes and the 2036 Notes, each a “Par Call Date”), respectively, the Redemption Price will not include the Make-Whole Amount.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the foregoing, installments of interest on notes that are due and payable on an Interest Payment Date falling on or prior to a redemption date will be payable on such Interest Payment Date to the holders thereof as of the close of business on the relevant record date.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have given notice of redemption as provided in the Indenture and have made funds available on the redemption date referred to in the notice for the redemption, the notes called for redemption will cease to bear interest on the redemption date and the holders of those notes from and after the redemption date will be entitled to receive only the payment of the Redemption Price upon surrender of the notes in accordance with the notice.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give notice of any optional redemption of the notes of either series to holders of those notes, at their addresses, as shown in the security register for the notes, not more than 60 nor less than 10 days prior to the redemption date. The notice of redemption will specify, among other items, the applicable series of notes, the Redemption Price and the principal amount of the notes held by the holder to be redeemed.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choose to redeem less than all of the notes of a series, we will notify the Trustee at least five Business Days prior to giving notice of redemption, or a shorter period as may be satisfactory to the Trustee, of the aggregate principal amount of notes of such series to be redeemed and their redemption date. The Trustee will select, on a pro rata basis to the extent practicable or by lot or by such other manner it deems fair and appropriate (and in such manner that complies with the requirements of the depositary, if applicable), the notes of such series to be redeemed in part.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used in this prospectus supplement: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Make-Whole Amount” means, in connection with any optional redemption or accelerated payment of the notes of either series before the applicable Par Call Date, the excess, if any, of: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aggregate present value as of the date of redemption or accelerated payment of each dollar of principal being redeemed or accelerated and the amount of interest, calculated by us, excluding interest accrued to the date of redemption or accelerated payment, that would have been payable in respect of each dollar assuming the notes matured on the applicable Par Call Date (determined by discounting, on a semi-annual basis, the principal and interest at the applicable Reinvestment Rate from the respective dates on which the principal and interest would have been payable assuming the notes matured on the applicable Par Call Date), over the aggregate principal amount of the notes of such series being redeemed or accelerated. </w:t>
      </w:r>
      <w:r>
        <mc:AlternateContent>
          <mc:Choice Requires="wps">
            <w:drawing>
              <wp:anchor behindDoc="0" distT="73660" distB="0" distL="254000" distR="0" simplePos="0" locked="0" layoutInCell="1" allowOverlap="1" relativeHeight="21">
                <wp:simplePos x="0" y="0"/>
                <wp:positionH relativeFrom="column">
                  <wp:align>left</wp:align>
                </wp:positionH>
                <wp:positionV relativeFrom="line">
                  <wp:align>top</wp:align>
                </wp:positionV>
                <wp:extent cx="127000" cy="350520"/>
                <wp:effectExtent l="0" t="0" r="0" b="0"/>
                <wp:wrapSquare wrapText="right"/>
                <wp:docPr id="18" name="Frame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Reinvestment Rate” means the Treasury Rate (defined below), plus 0.10% for the 2032 Notes and 0.15% for the 2036 Notes.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“Treasury Rate” shall be determined by us after 4:15 p.m., New York City time (or after such time as yields on U.S. government securities are posted daily by the Board of Governors of the Federal Reserve System), on the third Business Day preceding the date notice of the redemption or accelerated payment is given,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 — Treasury constant maturities — Nominal” ​(or any successor caption or heading) (“H.15 TCM”). In determining the Treasury Rate, we shall select, as applicable: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the yield for the Treasury constant maturity on H.15 exactly equal to the period from the date of redemption or accelerated payment to the applicable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applicable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on the third Business Day preceding the date notice of the redemption or accelerated payment is given H.15 TCM or any successor designation or publication is no longer published, we shall calculate the Treasury Rate based on the rate per annum equal to the semi-annual equivalent yield to maturity at 11:00 a.m., New York City time, on the second Business Day preceding such notice of the redemption or accelerated payment of the United States Treasury security maturing on, or with a maturity that is closest to, the applicable Par Call Date. If there is no United States Treasury security maturing on the applicable Par Call Date but there are two or more United States Treasury securities with a maturity date equally distant from the applicable Par Call Date, one with a maturity date preceding the applicable Par Call Date and one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a maturity date following the applicable Par Call Date, we shall select the United States Treasury security with a maturity date preceding the applicable Par Call Date. If there are two or more United States Treasury securities maturing on the applicable Par Call Date or two or more United States Treasury securities meeting the criteria of the preceding sentence, we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 Guarantee by Predecessor Operating Partnership</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indicates that a predecessor operating partnership subsidiary of Simon Property that had the same name as us would guarantee the payment of any securities issued under the Indenture. Effective December 31, 1997, this predecessor operating partnership was merged into us. As a result, we acquired all of the assets and partnership interests it previously owned and its obligations as guarantor under the Indenture were terminated.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Covenants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covenants and related definitions will apply to the notes of each series: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Limitation on Debt</w:t>
      </w:r>
      <w:r>
        <w:rPr>
          <w:rFonts w:ascii="Times New Roman;Times;serif" w:hAnsi="Times New Roman;Times;serif"/>
          <w:b w:val="false"/>
          <w:i w:val="false"/>
          <w:caps w:val="false"/>
          <w:smallCaps w:val="false"/>
          <w:color w:val="000000"/>
          <w:spacing w:val="4"/>
          <w:sz w:val="20"/>
        </w:rPr>
        <w:t xml:space="preserve">.   As of each Reporting Date (as defined below), our Debt will not exceed 65% of Total Assets.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Limitation on Secured Debt</w:t>
      </w:r>
      <w:r>
        <w:rPr>
          <w:rFonts w:ascii="Times New Roman;Times;serif" w:hAnsi="Times New Roman;Times;serif"/>
          <w:b w:val="false"/>
          <w:i w:val="false"/>
          <w:caps w:val="false"/>
          <w:smallCaps w:val="false"/>
          <w:color w:val="000000"/>
          <w:spacing w:val="4"/>
          <w:sz w:val="20"/>
        </w:rPr>
        <w:t xml:space="preserve">.   As of each Reporting Date, our Secured Debt will not exceed 50% of our Total Assets.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Fixed Charge Coverage Ratio</w:t>
      </w:r>
      <w:r>
        <w:rPr>
          <w:rFonts w:ascii="Times New Roman;Times;serif" w:hAnsi="Times New Roman;Times;serif"/>
          <w:b w:val="false"/>
          <w:i w:val="false"/>
          <w:caps w:val="false"/>
          <w:smallCaps w:val="false"/>
          <w:color w:val="000000"/>
          <w:spacing w:val="4"/>
          <w:sz w:val="20"/>
        </w:rPr>
        <w:t xml:space="preserve">.   For the four consecutive quarters ending on each Reporting Date, our ratio of Annualized EBITDA (as defined below) to Annualized Interest Expense (as defined below) will be at least 1.50 to 1.00.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Maintenance of Total Unencumbered Assets</w:t>
      </w:r>
      <w:r>
        <w:rPr>
          <w:rFonts w:ascii="Times New Roman;Times;serif" w:hAnsi="Times New Roman;Times;serif"/>
          <w:b w:val="false"/>
          <w:i w:val="false"/>
          <w:caps w:val="false"/>
          <w:smallCaps w:val="false"/>
          <w:color w:val="000000"/>
          <w:spacing w:val="4"/>
          <w:sz w:val="20"/>
        </w:rPr>
        <w:t xml:space="preserve">.   As of each Reporting Date, our Unencumbered Assets will not be less than 125% of our outstanding Unsecured Debt.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Merger, Consolidation or Sale</w:t>
      </w:r>
      <w:r>
        <w:rPr>
          <w:rFonts w:ascii="Times New Roman;Times;serif" w:hAnsi="Times New Roman;Times;serif"/>
          <w:b w:val="false"/>
          <w:i w:val="false"/>
          <w:caps w:val="false"/>
          <w:smallCaps w:val="false"/>
          <w:color w:val="000000"/>
          <w:spacing w:val="4"/>
          <w:sz w:val="20"/>
        </w:rPr>
        <w:t xml:space="preserve">.   We may consolidate with, or sell, lease, or convey all or substantially all of our assets to, or merge with or into, any other entity, provided that: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either we will be the continuing entity or the successor entity will be an entity organized and existing under U.S. laws and the successor entity expressly assumes payment of the principal of, premium, if any, and any interest on all of the Securities (as defined under the Indenture) and the due and punctual performance and observance of all of the covenants and conditions contained in the Indenture; </w:t>
      </w:r>
      <w:r>
        <mc:AlternateContent>
          <mc:Choice Requires="wps">
            <w:drawing>
              <wp:anchor behindDoc="0" distT="76200" distB="0" distL="254000" distR="0" simplePos="0" locked="0" layoutInCell="1" allowOverlap="1" relativeHeight="22">
                <wp:simplePos x="0" y="0"/>
                <wp:positionH relativeFrom="column">
                  <wp:align>left</wp:align>
                </wp:positionH>
                <wp:positionV relativeFrom="line">
                  <wp:align>top</wp:align>
                </wp:positionV>
                <wp:extent cx="127000" cy="350520"/>
                <wp:effectExtent l="0" t="0" r="0" b="0"/>
                <wp:wrapSquare wrapText="right"/>
                <wp:docPr id="19" name="Frame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immediately after giving effect to the transaction and treating any indebtedness which becomes our obligation or the obligation of a Subsidiary (as defined below) as a result thereof as having been incurred by us or that Subsidiary at the time of the transaction, no Event of Default, and no event which, after notice or the lapse of time, or both, would become an Event of Default, will have occurred and be continuing; and </w:t>
      </w:r>
      <w:r>
        <mc:AlternateContent>
          <mc:Choice Requires="wps">
            <w:drawing>
              <wp:anchor behindDoc="0" distT="76200" distB="0" distL="254000" distR="0" simplePos="0" locked="0" layoutInCell="1" allowOverlap="1" relativeHeight="23">
                <wp:simplePos x="0" y="0"/>
                <wp:positionH relativeFrom="column">
                  <wp:align>left</wp:align>
                </wp:positionH>
                <wp:positionV relativeFrom="line">
                  <wp:align>top</wp:align>
                </wp:positionV>
                <wp:extent cx="127000" cy="350520"/>
                <wp:effectExtent l="0" t="0" r="0" b="0"/>
                <wp:wrapSquare wrapText="right"/>
                <wp:docPr id="20" name="Frame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officer’s certificate and legal opinion covering these conditions are delivered to the Trustee. </w:t>
      </w:r>
      <w:r>
        <mc:AlternateContent>
          <mc:Choice Requires="wps">
            <w:drawing>
              <wp:anchor behindDoc="0" distT="76200" distB="0" distL="254000" distR="0" simplePos="0" locked="0" layoutInCell="1" allowOverlap="1" relativeHeight="24">
                <wp:simplePos x="0" y="0"/>
                <wp:positionH relativeFrom="column">
                  <wp:align>left</wp:align>
                </wp:positionH>
                <wp:positionV relativeFrom="line">
                  <wp:align>top</wp:align>
                </wp:positionV>
                <wp:extent cx="127000" cy="350520"/>
                <wp:effectExtent l="0" t="0" r="0" b="0"/>
                <wp:wrapSquare wrapText="right"/>
                <wp:docPr id="21" name="Frame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Existence</w:t>
      </w:r>
      <w:r>
        <w:rPr>
          <w:rFonts w:ascii="Times New Roman;Times;serif" w:hAnsi="Times New Roman;Times;serif"/>
          <w:b w:val="false"/>
          <w:i w:val="false"/>
          <w:caps w:val="false"/>
          <w:smallCaps w:val="false"/>
          <w:color w:val="000000"/>
          <w:spacing w:val="4"/>
          <w:sz w:val="20"/>
        </w:rPr>
        <w:t xml:space="preserve">.   Except as described under “— </w:t>
      </w:r>
      <w:r>
        <w:rPr>
          <w:rFonts w:ascii="Times New Roman;Times;serif" w:hAnsi="Times New Roman;Times;serif"/>
          <w:b w:val="false"/>
          <w:i/>
          <w:caps w:val="false"/>
          <w:smallCaps w:val="false"/>
          <w:color w:val="000000"/>
          <w:spacing w:val="4"/>
          <w:sz w:val="20"/>
        </w:rPr>
        <w:t>Merger, Consolidation or Sale</w:t>
      </w:r>
      <w:r>
        <w:rPr>
          <w:rFonts w:ascii="Times New Roman;Times;serif" w:hAnsi="Times New Roman;Times;serif"/>
          <w:b w:val="false"/>
          <w:i w:val="false"/>
          <w:caps w:val="false"/>
          <w:smallCaps w:val="false"/>
          <w:color w:val="000000"/>
          <w:spacing w:val="4"/>
          <w:sz w:val="20"/>
        </w:rPr>
        <w:t xml:space="preserve">,” above, we will do or cause to be done all things necessary to preserve and keep in full force and effect our existence, rights (by partnership agreement and statute) and franchises. However, we will not be required to preserve any right or franchise if we determine that its loss is not disadvantageous in any material respect to the holders of the notes.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Maintenance of Properties</w:t>
      </w:r>
      <w:r>
        <w:rPr>
          <w:rFonts w:ascii="Times New Roman;Times;serif" w:hAnsi="Times New Roman;Times;serif"/>
          <w:b w:val="false"/>
          <w:i w:val="false"/>
          <w:caps w:val="false"/>
          <w:smallCaps w:val="false"/>
          <w:color w:val="000000"/>
          <w:spacing w:val="4"/>
          <w:sz w:val="20"/>
        </w:rPr>
        <w:t xml:space="preserve">.   We will cause all of our material properties used or useful in the conduct of our business or the business of any Subsidiary to be maintained and kept in good condition, repair,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working order and supplied with all necessary equipment. We will also cause to be made all necessary repairs, renewals, replacements, betterments, and improvements on these properties. Our obligations with respect to the maintenance of these properties are subject to our reasonable judgment as to what may be necessary so that the business carried on in connection with these properties may be properly conducted at all times. We and our Subsidiaries will not be prevented from selling or otherwise disposing of any properties for value in the ordinary course of business.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Insurance</w:t>
      </w:r>
      <w:r>
        <w:rPr>
          <w:rFonts w:ascii="Times New Roman;Times;serif" w:hAnsi="Times New Roman;Times;serif"/>
          <w:b w:val="false"/>
          <w:i w:val="false"/>
          <w:caps w:val="false"/>
          <w:smallCaps w:val="false"/>
          <w:color w:val="000000"/>
          <w:spacing w:val="4"/>
          <w:sz w:val="20"/>
        </w:rPr>
        <w:t xml:space="preserve">.   We will, and will cause each of our Subsidiaries to, keep in force insurance policies on all our insurable properties. The insurance policies will be issued by financially sound and reputable companies protecting against loss or damage at least equal to the property’s then full insurable value (subject to reasonable deductibles determined by 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Payment of Taxes and Other Claims</w:t>
      </w:r>
      <w:r>
        <w:rPr>
          <w:rFonts w:ascii="Times New Roman;Times;serif" w:hAnsi="Times New Roman;Times;serif"/>
          <w:b w:val="false"/>
          <w:i w:val="false"/>
          <w:caps w:val="false"/>
          <w:smallCaps w:val="false"/>
          <w:color w:val="000000"/>
          <w:spacing w:val="4"/>
          <w:sz w:val="20"/>
        </w:rPr>
        <w:t xml:space="preserve">.   We will pay or discharge or cause to be paid or discharged, before the same become delinquent: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taxes, assessments, and governmental charges levied or imposed upon us or any Subsidiary or upon our income, profits, or property or upon any Subsidiary’s income, profits, or property; </w:t>
      </w:r>
      <w:r>
        <mc:AlternateContent>
          <mc:Choice Requires="wps">
            <w:drawing>
              <wp:anchor behindDoc="0" distT="74930" distB="0" distL="254000" distR="0" simplePos="0" locked="0" layoutInCell="1" allowOverlap="1" relativeHeight="25">
                <wp:simplePos x="0" y="0"/>
                <wp:positionH relativeFrom="column">
                  <wp:align>left</wp:align>
                </wp:positionH>
                <wp:positionV relativeFrom="line">
                  <wp:align>top</wp:align>
                </wp:positionV>
                <wp:extent cx="127000" cy="350520"/>
                <wp:effectExtent l="0" t="0" r="0" b="0"/>
                <wp:wrapSquare wrapText="right"/>
                <wp:docPr id="22" name="Frame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lawful claims for labor, materials, and supplies which, if unpaid, might by law become a lien upon our property or the property of any Subsidiary; and </w:t>
      </w:r>
      <w:r>
        <mc:AlternateContent>
          <mc:Choice Requires="wps">
            <w:drawing>
              <wp:anchor behindDoc="0" distT="74930" distB="0" distL="254000" distR="0" simplePos="0" locked="0" layoutInCell="1" allowOverlap="1" relativeHeight="26">
                <wp:simplePos x="0" y="0"/>
                <wp:positionH relativeFrom="column">
                  <wp:align>left</wp:align>
                </wp:positionH>
                <wp:positionV relativeFrom="line">
                  <wp:align>top</wp:align>
                </wp:positionV>
                <wp:extent cx="127000" cy="350520"/>
                <wp:effectExtent l="0" t="0" r="0" b="0"/>
                <wp:wrapSquare wrapText="right"/>
                <wp:docPr id="23" name="Frame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excluding, however, any tax, assessment, charge, or claim whose amount, applicability, or validity is being contested in good faith by appropriate proceedings. </w:t>
      </w:r>
      <w:r>
        <mc:AlternateContent>
          <mc:Choice Requires="wps">
            <w:drawing>
              <wp:anchor behindDoc="0" distT="74930" distB="0" distL="254000" distR="0" simplePos="0" locked="0" layoutInCell="1" allowOverlap="1" relativeHeight="27">
                <wp:simplePos x="0" y="0"/>
                <wp:positionH relativeFrom="column">
                  <wp:align>left</wp:align>
                </wp:positionH>
                <wp:positionV relativeFrom="line">
                  <wp:align>top</wp:align>
                </wp:positionV>
                <wp:extent cx="127000" cy="350520"/>
                <wp:effectExtent l="0" t="0" r="0" b="0"/>
                <wp:wrapSquare wrapText="right"/>
                <wp:docPr id="24" name="Frame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Provision of Financial Information</w:t>
      </w:r>
      <w:r>
        <w:rPr>
          <w:rFonts w:ascii="Times New Roman;Times;serif" w:hAnsi="Times New Roman;Times;serif"/>
          <w:b w:val="false"/>
          <w:i w:val="false"/>
          <w:caps w:val="false"/>
          <w:smallCaps w:val="false"/>
          <w:color w:val="000000"/>
          <w:spacing w:val="4"/>
          <w:sz w:val="20"/>
        </w:rPr>
        <w:t xml:space="preserve">.   Whether or not we are subject to Section 13 or 15(d) of the Securities Exchange Act of 1934, as amended (the “Exchange Act”), and to the extent permitted under the Exchange Act, we will file with the Securities and Exchange Commission the annual reports, quarterly reports and other documents required under Section 13 or 15(d) (the “Financial Information”) on or prior to the respective dates (the “Required Filing Dates”) by which we would have been required to file those documents if we were subject to Section 13 or 15(d). We also will in any event within 15 days of each Required Filing Date: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transmit copies of the Financial Information by mail to all holders of Securities (as their names and addresses appear in the security register) without cost to the holders, and </w:t>
      </w:r>
      <w:r>
        <mc:AlternateContent>
          <mc:Choice Requires="wps">
            <w:drawing>
              <wp:anchor behindDoc="0" distT="74930" distB="0" distL="254000" distR="0" simplePos="0" locked="0" layoutInCell="1" allowOverlap="1" relativeHeight="28">
                <wp:simplePos x="0" y="0"/>
                <wp:positionH relativeFrom="column">
                  <wp:align>left</wp:align>
                </wp:positionH>
                <wp:positionV relativeFrom="line">
                  <wp:align>top</wp:align>
                </wp:positionV>
                <wp:extent cx="127000" cy="350520"/>
                <wp:effectExtent l="0" t="0" r="0" b="0"/>
                <wp:wrapSquare wrapText="right"/>
                <wp:docPr id="25" name="Frame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file copies of the Financial Information with the Trustee. </w:t>
      </w:r>
      <w:r>
        <mc:AlternateContent>
          <mc:Choice Requires="wps">
            <w:drawing>
              <wp:anchor behindDoc="0" distT="74930" distB="0" distL="254000" distR="0" simplePos="0" locked="0" layoutInCell="1" allowOverlap="1" relativeHeight="29">
                <wp:simplePos x="0" y="0"/>
                <wp:positionH relativeFrom="column">
                  <wp:align>left</wp:align>
                </wp:positionH>
                <wp:positionV relativeFrom="line">
                  <wp:align>top</wp:align>
                </wp:positionV>
                <wp:extent cx="127000" cy="350520"/>
                <wp:effectExtent l="0" t="0" r="0" b="0"/>
                <wp:wrapSquare wrapText="right"/>
                <wp:docPr id="26" name="Frame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are not permitted to file these documents with the Securities and Exchange Commission under the Exchange Act, we will supply copies of the documents to any prospective holder promptly upon written request.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availability of the foregoing materials on the Securities and Exchange Commission’s website or on our website shall be deemed to satisfy the foregoing delivery obligations.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Definitions</w:t>
      </w:r>
      <w:r>
        <w:rPr>
          <w:rFonts w:ascii="Times New Roman;Times;serif" w:hAnsi="Times New Roman;Times;serif"/>
          <w:b w:val="false"/>
          <w:i w:val="false"/>
          <w:caps w:val="false"/>
          <w:smallCaps w:val="false"/>
          <w:color w:val="000000"/>
          <w:spacing w:val="4"/>
          <w:sz w:val="20"/>
        </w:rPr>
        <w:t xml:space="preserve">.   As used in this “Description of Notes,” the following defined terms have the meanings indicated: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Annualized EBITDA” means, for the four consecutive quarters ending on each Reporting Date, the Operating Partnership’s Pro Rata Share of earnings before interest, taxes, depreciation, and amortization (“EBITDA”), with other adjustments as are necessary to exclude the effect of all realized or unrealized gains and losses related to hedging obligations, items classified as extraordinary items and impairment charges in accordance with generally accepted accounting principles, adjusted to reflect the assumption that (i) any EBITDA related to any assets acquired or placed in service since the first day of such four-quarter period had been earned, on an annualized basis, from the beginning of such period, and (ii) any assets disposed of during such four-quarter period had been disposed of as of the first day of such period and no EBITDA related to such assets had been earned during such period.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Annualized Interest Expense” means, for the four consecutive quarters ending on each Reporting Date, the Operating Partnership’s Pro Rata Share of interest expense, with other adjustments as are necessary to exclude the effect of items classified as extraordinary items, in accordance with generally accepted accounting principles, reduced by amortization of debt issuance costs and adjusted to reflect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assumption that (i) any interest expense related to indebtedness incurred since the first day of such four-quarter period is computed as if such indebtedness had been incurred as of the beginning of such period, and (ii) any interest expense related to indebtedness that was repaid or retired since the first day of such four-quarter period is computed as if such indebtedness had been repaid or retired as of the beginning of such period (except that, in making such computation, the amount of interest expense related to indebtedness under any revolving credit facility shall be computed based upon the average daily balance of such indebtedness during such four-quarter period). </w:t>
      </w:r>
    </w:p>
    <w:p>
      <w:pPr>
        <w:pStyle w:val="TextBody"/>
        <w:bidi w:val="0"/>
        <w:spacing w:lineRule="atLeast" w:line="240" w:before="160" w:after="283"/>
        <w:ind w:left="17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Capitalization Rate” means 7.00%.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Capitalized Value” means, as of any date, Annualized EBITDA divided by the Capitalization Rate.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Debt” means: the Operating Partnership’s Pro Rata Share of the aggregate principal amount of indebtedness in respect of (i) borrowed money evidenced by bonds, notes, debentures, or similar instruments, as determined in accordance with generally accepted accounting principles, (ii) indebtedness secured by any mortgage, pledge, lien, charge, encumbrance, or any security interest existing on property owned by the Operating Partnership or any Subsidiary directly, or indirectly through unconsolidated joint ventures, as determined in accordance with generally accepted accounting principles, (iii) reimbursement obligations in connection with any letters of credit actually issued and called, and (iv) any lease of property by the Operating Partnership or any Subsidiary as lessee which is reflected in the Operating Partnership’s balance sheet as a financing lease, in accordance with generally accepted accounting principles;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Debt also includes, to the extent not otherwise included, any obligation by the Operating Partnership or any Subsidiary to be liable for, or to pay, as obligor, guarantor, or otherwise, items of indebtedness of another Person (other than the Operating Partnership or any Subsidiary) described in clauses (i) through (iv) above (or, in the case of any such obligation made jointly with another Person, the Operating Partnership’s or Subsidiary’s allocable portion of such obligation based on its ownership interest in the related real estate assets); and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further</w:t>
      </w:r>
      <w:r>
        <w:rPr>
          <w:rFonts w:ascii="Times New Roman;Times;serif" w:hAnsi="Times New Roman;Times;serif"/>
          <w:b w:val="false"/>
          <w:i w:val="false"/>
          <w:caps w:val="false"/>
          <w:smallCaps w:val="false"/>
          <w:color w:val="000000"/>
          <w:spacing w:val="4"/>
          <w:sz w:val="20"/>
        </w:rPr>
        <w:t xml:space="preserve">, that Debt excludes (a) Intercompany Debt and (b) in the case of clause (iv) above, operating lease liabilities on the Operating Partnership’s balance sheet in accordance with generally accepted accounting principles.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Intercompany Debt” means Debt to which the only parties are the Operating Partnership, Simon Property and any of our and Simon Property’s Subsidiaries or affiliates, but only so long as that Debt is held solely by any of the Operating Partnership, Simon Property and any Subsidiary or affiliate and, provided that, in the case of Debt owed by the Operating Partnership to any Subsidiary or affiliate, the Debt is subordinated in right of payment to the holders of the notes.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Pro Rata Share” means any applicable figure or measure of the Operating Partnership and its Subsidiaries on a consolidated basis, less any portion attributable to minority interests, plus the Operating Partnership’s or its Subsidiaries’ allocable portion of such figure or measure, based on their ownership interest, of unconsolidated joint ventures. </w:t>
      </w:r>
    </w:p>
    <w:p>
      <w:pPr>
        <w:pStyle w:val="TextBody"/>
        <w:bidi w:val="0"/>
        <w:spacing w:lineRule="atLeast" w:line="240" w:before="160" w:after="283"/>
        <w:ind w:left="17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Reporting Date” means March 31, June 30, September 30, and December 31 of each year.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Secured Debt” means Debt secured by any mortgage, lien, pledge, encumbrance, or security interest of any kind upon any of our property or the property of any Subsidiary.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Stabilized Asset” means (i) with respect to an acquisition of an asset, such asset becomes stabilized when the Operating Partnership or its Subsidiaries or an unconsolidated joint venture in which the Operating Partnership or any Subsidiary has an interest has owned the asset as of at least six Reporting Dates, and (ii) with respect to a new construction or development asset, such asset becomes stabilized four Reporting Dates after the earlier of (a) six Reporting Dates after substantial completion of construction or development or (b) the first Reporting Date on which the asset is at least 90% leased.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Subsidiary” means a corporation, partnership, joint venture, limited liability company, or other entity, a majority of the outstanding voting stock, partnership interests, or membership interests, as the case may be, of which is owned or controlled, directly or indirectly, by the Operating Partnership or by one or more other Subsidiaries of the Operating Partnership and, for the purposes of this definition, “voting stock” means stock having voting power for the election of directors, or trustees, as the case may be, whether at all times or only so long as no senior class of stock has such voting power by reason of any contingency.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Total Assets” means, as of any Reporting Date, the sum of (i) for Stabilized Assets, Capitalized Value; (ii) for all other assets of the Operating Partnership and its Subsidiaries, the Operating Partnership’s Pro Rata Share of undepreciated book value as determined in accordance with generally accepted accounting principles; and (iii) the Operating Partnership’s Pro Rata Share of cash and cash equivalents;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Total Assets excludes right-of-use assets associated with operating leases in accordance with generally accepted accounting principles.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Unencumbered Annualized EBITDA” means Annualized EBITDA less any portion thereof attributable to assets serving as collateral for Secured Debt.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Unencumbered Assets” as of any Reporting Date means our Total Assets as of such date multiplied by a fraction, the numerator of which is Unencumbered Annualized EBITDA and the denominator of which is Annualized EBITDA.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Unsecured Debt” means Debt that is not secured by any mortgage, lien, pledge, encumbrance, or security interest of any kind.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Compliance with the covenants described in this prospectus supplement and with respect to the notes of either series generally may not be waived by us, or by the Trustee, unless the holders of at least a majority in principal amount of all outstanding notes of such series consent to the waiver.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Modification of the Indenture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Modifications and amendments of the Indenture may be made only with the consent of the holders of not less than a majority in principal amount of all Outstanding Securities (as defined in the Indenture) affected by the modification or amendment (voting as a single class);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however</w:t>
      </w:r>
      <w:r>
        <w:rPr>
          <w:rFonts w:ascii="Times New Roman;Times;serif" w:hAnsi="Times New Roman;Times;serif"/>
          <w:b w:val="false"/>
          <w:i w:val="false"/>
          <w:caps w:val="false"/>
          <w:smallCaps w:val="false"/>
          <w:color w:val="000000"/>
          <w:spacing w:val="4"/>
          <w:sz w:val="20"/>
        </w:rPr>
        <w:t xml:space="preserve">, that no such modification or amendment may, without the consent of the holder of each Outstanding Security affected thereby: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 the stated maturity of the principal of, or premium or Make-Whole Amount, if any, on, or any installment of interest on, any Security (as defined in the Indenture); </w:t>
      </w:r>
      <w:r>
        <mc:AlternateContent>
          <mc:Choice Requires="wps">
            <w:drawing>
              <wp:anchor behindDoc="0" distT="73660" distB="0" distL="254000" distR="0" simplePos="0" locked="0" layoutInCell="1" allowOverlap="1" relativeHeight="30">
                <wp:simplePos x="0" y="0"/>
                <wp:positionH relativeFrom="column">
                  <wp:align>left</wp:align>
                </wp:positionH>
                <wp:positionV relativeFrom="line">
                  <wp:align>top</wp:align>
                </wp:positionV>
                <wp:extent cx="127000" cy="350520"/>
                <wp:effectExtent l="0" t="0" r="0" b="0"/>
                <wp:wrapSquare wrapText="right"/>
                <wp:docPr id="27" name="Frame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the principal amount of, or the rate or amount of interest on, or any premium payable on redemption or acceleration of the Security, or change the manner in which interest on the Security is calculated except as contemplated therein, or reduce the amount of principal of an Original Issue Discount Security (as defined in the Indenture) that would be due and payable upon acceleration of maturity or that would be provable in bankruptcy, or adversely affect any right of repayment at the option of the holder of any Security; </w:t>
      </w:r>
      <w:r>
        <mc:AlternateContent>
          <mc:Choice Requires="wps">
            <w:drawing>
              <wp:anchor behindDoc="0" distT="73660" distB="0" distL="254000" distR="0" simplePos="0" locked="0" layoutInCell="1" allowOverlap="1" relativeHeight="31">
                <wp:simplePos x="0" y="0"/>
                <wp:positionH relativeFrom="column">
                  <wp:align>left</wp:align>
                </wp:positionH>
                <wp:positionV relativeFrom="line">
                  <wp:align>top</wp:align>
                </wp:positionV>
                <wp:extent cx="127000" cy="350520"/>
                <wp:effectExtent l="0" t="0" r="0" b="0"/>
                <wp:wrapSquare wrapText="right"/>
                <wp:docPr id="28" name="Frame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 the place of payment or the coin or currency for payment of principal or premium, if any, or interest on any Security; </w:t>
      </w:r>
      <w:r>
        <mc:AlternateContent>
          <mc:Choice Requires="wps">
            <w:drawing>
              <wp:anchor behindDoc="0" distT="74930" distB="0" distL="254000" distR="0" simplePos="0" locked="0" layoutInCell="1" allowOverlap="1" relativeHeight="32">
                <wp:simplePos x="0" y="0"/>
                <wp:positionH relativeFrom="column">
                  <wp:align>left</wp:align>
                </wp:positionH>
                <wp:positionV relativeFrom="line">
                  <wp:align>top</wp:align>
                </wp:positionV>
                <wp:extent cx="127000" cy="350520"/>
                <wp:effectExtent l="0" t="0" r="0" b="0"/>
                <wp:wrapSquare wrapText="right"/>
                <wp:docPr id="29" name="Frame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impair the right to institute suit for the enforcement of any payment on or after the stated maturity of any Security; </w:t>
      </w:r>
      <w:r>
        <mc:AlternateContent>
          <mc:Choice Requires="wps">
            <w:drawing>
              <wp:anchor behindDoc="0" distT="74930" distB="0" distL="254000" distR="0" simplePos="0" locked="0" layoutInCell="1" allowOverlap="1" relativeHeight="33">
                <wp:simplePos x="0" y="0"/>
                <wp:positionH relativeFrom="column">
                  <wp:align>left</wp:align>
                </wp:positionH>
                <wp:positionV relativeFrom="line">
                  <wp:align>top</wp:align>
                </wp:positionV>
                <wp:extent cx="127000" cy="350520"/>
                <wp:effectExtent l="0" t="0" r="0" b="0"/>
                <wp:wrapSquare wrapText="right"/>
                <wp:docPr id="30" name="Frame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the above-stated percentage in principal amount of Outstanding Securities, the consent of whose holders is necessary to modify or amend the Indenture, or to waive compliance with specified provisions of the Indenture or specified defaults and consequences thereunder or to reduce the quorum or voting requirements set forth in the Indenture; or </w:t>
      </w:r>
      <w:r>
        <mc:AlternateContent>
          <mc:Choice Requires="wps">
            <w:drawing>
              <wp:anchor behindDoc="0" distT="74930" distB="0" distL="254000" distR="0" simplePos="0" locked="0" layoutInCell="1" allowOverlap="1" relativeHeight="34">
                <wp:simplePos x="0" y="0"/>
                <wp:positionH relativeFrom="column">
                  <wp:align>left</wp:align>
                </wp:positionH>
                <wp:positionV relativeFrom="line">
                  <wp:align>top</wp:align>
                </wp:positionV>
                <wp:extent cx="127000" cy="350520"/>
                <wp:effectExtent l="0" t="0" r="0" b="0"/>
                <wp:wrapSquare wrapText="right"/>
                <wp:docPr id="31" name="Frame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modify any of the foregoing provisions or any of the provisions relating to the waiver of specified past defaults or specified covenants, except to increase the required percentage to effect the action or to provide that specified other provisions of the Indenture may not be modified or waived without the consent of the holder of each affected Outstanding Security. </w:t>
      </w:r>
      <w:r>
        <mc:AlternateContent>
          <mc:Choice Requires="wps">
            <w:drawing>
              <wp:anchor behindDoc="0" distT="74930" distB="0" distL="254000" distR="0" simplePos="0" locked="0" layoutInCell="1" allowOverlap="1" relativeHeight="35">
                <wp:simplePos x="0" y="0"/>
                <wp:positionH relativeFrom="column">
                  <wp:align>left</wp:align>
                </wp:positionH>
                <wp:positionV relativeFrom="line">
                  <wp:align>top</wp:align>
                </wp:positionV>
                <wp:extent cx="127000" cy="350520"/>
                <wp:effectExtent l="0" t="0" r="0" b="0"/>
                <wp:wrapSquare wrapText="right"/>
                <wp:docPr id="32" name="Frame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Modifications and amendments of the Indenture may be permitted to be made by us and the Trustee without the consent of any holder of Outstanding Securities for any of the following purposes: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evidence the succession of another person to us as obligor under the Indenture; </w:t>
      </w:r>
      <w:r>
        <mc:AlternateContent>
          <mc:Choice Requires="wps">
            <w:drawing>
              <wp:anchor behindDoc="0" distT="74930" distB="0" distL="254000" distR="0" simplePos="0" locked="0" layoutInCell="1" allowOverlap="1" relativeHeight="36">
                <wp:simplePos x="0" y="0"/>
                <wp:positionH relativeFrom="column">
                  <wp:align>left</wp:align>
                </wp:positionH>
                <wp:positionV relativeFrom="line">
                  <wp:align>top</wp:align>
                </wp:positionV>
                <wp:extent cx="127000" cy="350520"/>
                <wp:effectExtent l="0" t="0" r="0" b="0"/>
                <wp:wrapSquare wrapText="right"/>
                <wp:docPr id="33" name="Frame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add to our covenants for the benefit of the holders of any series of Securities or to surrender any right or power conferred upon us in the Indenture; </w:t>
      </w:r>
      <w:r>
        <mc:AlternateContent>
          <mc:Choice Requires="wps">
            <w:drawing>
              <wp:anchor behindDoc="0" distT="74930" distB="0" distL="254000" distR="0" simplePos="0" locked="0" layoutInCell="1" allowOverlap="1" relativeHeight="37">
                <wp:simplePos x="0" y="0"/>
                <wp:positionH relativeFrom="column">
                  <wp:align>left</wp:align>
                </wp:positionH>
                <wp:positionV relativeFrom="line">
                  <wp:align>top</wp:align>
                </wp:positionV>
                <wp:extent cx="127000" cy="350520"/>
                <wp:effectExtent l="0" t="0" r="0" b="0"/>
                <wp:wrapSquare wrapText="right"/>
                <wp:docPr id="34" name="Frame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add Events of Default for the benefit of the holders of any series of Securities; </w:t>
      </w:r>
      <w:r>
        <mc:AlternateContent>
          <mc:Choice Requires="wps">
            <w:drawing>
              <wp:anchor behindDoc="0" distT="0" distB="0" distL="254000" distR="0" simplePos="0" locked="0" layoutInCell="1" allowOverlap="1" relativeHeight="38">
                <wp:simplePos x="0" y="0"/>
                <wp:positionH relativeFrom="column">
                  <wp:align>left</wp:align>
                </wp:positionH>
                <wp:positionV relativeFrom="line">
                  <wp:posOffset>635</wp:posOffset>
                </wp:positionV>
                <wp:extent cx="127000" cy="350520"/>
                <wp:effectExtent l="0" t="0" r="0" b="0"/>
                <wp:wrapSquare wrapText="right"/>
                <wp:docPr id="35" name="Frame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add or change any provisions of the Indenture to facilitate the issuance of or to liberalize certain terms of Securities in bearer form, or to permit or facilitate the issuance of Securities in uncertificated form, provided that the action shall not adversely affect the interests of the holders of Securities of any series in any material respect; </w:t>
      </w:r>
      <w:r>
        <mc:AlternateContent>
          <mc:Choice Requires="wps">
            <w:drawing>
              <wp:anchor behindDoc="0" distT="77470" distB="0" distL="254000" distR="0" simplePos="0" locked="0" layoutInCell="1" allowOverlap="1" relativeHeight="39">
                <wp:simplePos x="0" y="0"/>
                <wp:positionH relativeFrom="column">
                  <wp:align>left</wp:align>
                </wp:positionH>
                <wp:positionV relativeFrom="line">
                  <wp:align>top</wp:align>
                </wp:positionV>
                <wp:extent cx="127000" cy="350520"/>
                <wp:effectExtent l="0" t="0" r="0" b="0"/>
                <wp:wrapSquare wrapText="right"/>
                <wp:docPr id="36" name="Frame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change or eliminate any provisions of the Indenture, provided that any change or elimination shall become effective only when the Outstanding Securities are not entitled to the benefit of that provision; </w:t>
      </w:r>
      <w:r>
        <mc:AlternateContent>
          <mc:Choice Requires="wps">
            <w:drawing>
              <wp:anchor behindDoc="0" distT="77470" distB="0" distL="254000" distR="0" simplePos="0" locked="0" layoutInCell="1" allowOverlap="1" relativeHeight="40">
                <wp:simplePos x="0" y="0"/>
                <wp:positionH relativeFrom="column">
                  <wp:align>left</wp:align>
                </wp:positionH>
                <wp:positionV relativeFrom="line">
                  <wp:align>top</wp:align>
                </wp:positionV>
                <wp:extent cx="127000" cy="350520"/>
                <wp:effectExtent l="0" t="0" r="0" b="0"/>
                <wp:wrapSquare wrapText="right"/>
                <wp:docPr id="37" name="Frame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secure the Securities; </w:t>
      </w:r>
      <w:r>
        <mc:AlternateContent>
          <mc:Choice Requires="wps">
            <w:drawing>
              <wp:anchor behindDoc="0" distT="77470" distB="0" distL="254000" distR="0" simplePos="0" locked="0" layoutInCell="1" allowOverlap="1" relativeHeight="41">
                <wp:simplePos x="0" y="0"/>
                <wp:positionH relativeFrom="column">
                  <wp:align>left</wp:align>
                </wp:positionH>
                <wp:positionV relativeFrom="line">
                  <wp:align>top</wp:align>
                </wp:positionV>
                <wp:extent cx="127000" cy="350520"/>
                <wp:effectExtent l="0" t="0" r="0" b="0"/>
                <wp:wrapSquare wrapText="right"/>
                <wp:docPr id="38" name="Frame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establish the form or terms of the Securities of any series; </w:t>
      </w:r>
      <w:r>
        <mc:AlternateContent>
          <mc:Choice Requires="wps">
            <w:drawing>
              <wp:anchor behindDoc="0" distT="77470" distB="0" distL="254000" distR="0" simplePos="0" locked="0" layoutInCell="1" allowOverlap="1" relativeHeight="42">
                <wp:simplePos x="0" y="0"/>
                <wp:positionH relativeFrom="column">
                  <wp:align>left</wp:align>
                </wp:positionH>
                <wp:positionV relativeFrom="line">
                  <wp:align>top</wp:align>
                </wp:positionV>
                <wp:extent cx="127000" cy="350520"/>
                <wp:effectExtent l="0" t="0" r="0" b="0"/>
                <wp:wrapSquare wrapText="right"/>
                <wp:docPr id="39" name="Frame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provide for the acceptance of appointment under the Indenture by a successor Trustee or facilitate the administration of the trust under the Indenture by more than one Trustee; </w:t>
      </w:r>
      <w:r>
        <mc:AlternateContent>
          <mc:Choice Requires="wps">
            <w:drawing>
              <wp:anchor behindDoc="0" distT="77470" distB="0" distL="254000" distR="0" simplePos="0" locked="0" layoutInCell="1" allowOverlap="1" relativeHeight="43">
                <wp:simplePos x="0" y="0"/>
                <wp:positionH relativeFrom="column">
                  <wp:align>left</wp:align>
                </wp:positionH>
                <wp:positionV relativeFrom="line">
                  <wp:align>top</wp:align>
                </wp:positionV>
                <wp:extent cx="127000" cy="350520"/>
                <wp:effectExtent l="0" t="0" r="0" b="0"/>
                <wp:wrapSquare wrapText="right"/>
                <wp:docPr id="40" name="Frame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cure any ambiguity, defect, or inconsistency in the Indenture, provided that the action is not inconsistent with the provisions of the Indenture and will not adversely affect the interests of holders of Securities of any series in any material respect; </w:t>
      </w:r>
      <w:r>
        <mc:AlternateContent>
          <mc:Choice Requires="wps">
            <w:drawing>
              <wp:anchor behindDoc="0" distT="76200" distB="0" distL="254000" distR="0" simplePos="0" locked="0" layoutInCell="1" allowOverlap="1" relativeHeight="44">
                <wp:simplePos x="0" y="0"/>
                <wp:positionH relativeFrom="column">
                  <wp:align>left</wp:align>
                </wp:positionH>
                <wp:positionV relativeFrom="line">
                  <wp:align>top</wp:align>
                </wp:positionV>
                <wp:extent cx="127000" cy="350520"/>
                <wp:effectExtent l="0" t="0" r="0" b="0"/>
                <wp:wrapSquare wrapText="right"/>
                <wp:docPr id="41" name="Frame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supplement any of the provisions of the Indenture to the extent necessary to permit or facilitate defeasance and discharge of Securities, provided that the action will not adversely affect the interests of the holders of the Securities of any series in any material respect; or </w:t>
      </w:r>
      <w:r>
        <mc:AlternateContent>
          <mc:Choice Requires="wps">
            <w:drawing>
              <wp:anchor behindDoc="0" distT="76200" distB="0" distL="254000" distR="0" simplePos="0" locked="0" layoutInCell="1" allowOverlap="1" relativeHeight="45">
                <wp:simplePos x="0" y="0"/>
                <wp:positionH relativeFrom="column">
                  <wp:align>left</wp:align>
                </wp:positionH>
                <wp:positionV relativeFrom="line">
                  <wp:align>top</wp:align>
                </wp:positionV>
                <wp:extent cx="127000" cy="350520"/>
                <wp:effectExtent l="0" t="0" r="0" b="0"/>
                <wp:wrapSquare wrapText="right"/>
                <wp:docPr id="42" name="Frame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conform the terms of the Indenture or the notes of a series to the description thereof contained in any prospectus, prospectus supplement, or other offering document relating to the offer and sale of those notes. </w:t>
      </w:r>
      <w:r>
        <mc:AlternateContent>
          <mc:Choice Requires="wps">
            <w:drawing>
              <wp:anchor behindDoc="0" distT="76200" distB="0" distL="254000" distR="0" simplePos="0" locked="0" layoutInCell="1" allowOverlap="1" relativeHeight="46">
                <wp:simplePos x="0" y="0"/>
                <wp:positionH relativeFrom="column">
                  <wp:align>left</wp:align>
                </wp:positionH>
                <wp:positionV relativeFrom="line">
                  <wp:align>top</wp:align>
                </wp:positionV>
                <wp:extent cx="127000" cy="350520"/>
                <wp:effectExtent l="0" t="0" r="0" b="0"/>
                <wp:wrapSquare wrapText="right"/>
                <wp:docPr id="43" name="Frame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provides that in determining whether the holders of the requisite principal amount of a series of Outstanding Securities have given any request, demand, authorization, direction, notice, consent, or waiver thereunder or whether a quorum is present at a meeting of holders of those Securities, (1) the principal amount of an Original Issue Discount Security that shall be deemed to be Outstanding shall be the amount of the principal thereof that would be due and payable as of the date of such determination upon acceleration of the maturity thereof, (2) the principal amount of a Security denominated in a foreign currency that shall be deemed Outstanding shall be the U.S. dollar equivalent, determined on the issue date for that Security, of the principal amount (or, in the case of an Original Issue Discount Security, the U.S. dollar equivalent on the issue date of such note of the amount determined as provided in (1) above) of that Security, (3) the principal amount of an Indexed Security (as defined in the Indenture) that shall be deemed Outstanding shall be the principal face amount of such Indexed Security at original issuance, unless otherwise provided with respect to such Indexed Security pursuant to the Indenture, and (4) Securities owned by the Operating Partnership or any other obligor upon the Securities or any Subsidiary or affiliate of the Operating Partnership or of such other obligor shall be disregarded.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Indenture contains provisions of convening meetings of the holders of Securities of a series issuable, in whole or in part, as bearer securities. A meeting will be permitted to be called at any time by the Trustee, and also, upon request, by us or the holders of at least 10% in principal amount of the Outstanding Securities of such series, in any such case upon notice given as provided in the Indenture. Except for any consent that must be given by the holder of each Security affected by certain modifications and amendments of the Indenture, any resolution presented at a meeting or adjourned meeting duly reconvened at which a quorum is present will be permitted to be adopted by the affirmative vote of the holders of a majority in principal amount of the Outstanding Securities of that series;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however</w:t>
      </w:r>
      <w:r>
        <w:rPr>
          <w:rFonts w:ascii="Times New Roman;Times;serif" w:hAnsi="Times New Roman;Times;serif"/>
          <w:b w:val="false"/>
          <w:i w:val="false"/>
          <w:caps w:val="false"/>
          <w:smallCaps w:val="false"/>
          <w:color w:val="000000"/>
          <w:spacing w:val="4"/>
          <w:sz w:val="20"/>
        </w:rPr>
        <w:t xml:space="preserve">, that, except as referred to above, any resolution with respect to any request, demand, authorization, direction, notice, consent, waiver, or other action that may be made, given or taken by the holders of a specified percentage in principal amount of the Outstanding Securities of a series may be adopted at a meeting at which a quorum is present by the affirmative vote of the holders of such specified percentage in principal amount of the Outstanding Securities of that series. Any resolution passed or decision taken at any meeting of holders of Securities of any series duly held in accordance with the Indenture will be binding on all holders of Securities of that series whether or not present or represented at the meeting. The quorum at any meeting called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adopt a resolution, and at any reconvened meeting, will be persons holding or representing a majority in principal amount of the Outstanding Securities of a series;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however</w:t>
      </w:r>
      <w:r>
        <w:rPr>
          <w:rFonts w:ascii="Times New Roman;Times;serif" w:hAnsi="Times New Roman;Times;serif"/>
          <w:b w:val="false"/>
          <w:i w:val="false"/>
          <w:caps w:val="false"/>
          <w:smallCaps w:val="false"/>
          <w:color w:val="000000"/>
          <w:spacing w:val="4"/>
          <w:sz w:val="20"/>
        </w:rPr>
        <w:t xml:space="preserve">, that if any action is to be taken at such meeting with respect to any request, demand, authorization, direction, notice, consent, waiver, or other action which may be made, given or taken by the holders of not less than a specified percentage in principal amount of the Outstanding Securities of a series, then with respect to such action (and only such action) the persons holding or representing such specified percentage in principal amount of the Outstanding Securities of such series will constitute a quorum.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the foregoing provisions, the Indenture provides that if any action is to be taken at a meeting of holders of Securities of any series with respect to any request, demand, authorization, direction, notice, consent, waiver, or other action that the Indenture expressly provides may be made, given or taken by the holders of a specified percentage in principal amount of all Outstanding Securities affected thereby, or the holders of that series and any other series: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will be no minimum quorum requirement for the meeting; and </w:t>
      </w:r>
      <w:r>
        <mc:AlternateContent>
          <mc:Choice Requires="wps">
            <w:drawing>
              <wp:anchor behindDoc="0" distT="72390" distB="0" distL="254000" distR="0" simplePos="0" locked="0" layoutInCell="1" allowOverlap="1" relativeHeight="47">
                <wp:simplePos x="0" y="0"/>
                <wp:positionH relativeFrom="column">
                  <wp:align>left</wp:align>
                </wp:positionH>
                <wp:positionV relativeFrom="line">
                  <wp:align>top</wp:align>
                </wp:positionV>
                <wp:extent cx="127000" cy="350520"/>
                <wp:effectExtent l="0" t="0" r="0" b="0"/>
                <wp:wrapSquare wrapText="right"/>
                <wp:docPr id="44" name="Frame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principal amount of the Outstanding Securities of the series that votes in favor of the request, demand, authorization, direction, notice, consent, waiver, or other action will be taken into account in determining whether the request, demand, authorization, direction, notice, consent, waiver, or other action has been made, given or taken under the Indenture. </w:t>
      </w:r>
      <w:r>
        <mc:AlternateContent>
          <mc:Choice Requires="wps">
            <w:drawing>
              <wp:anchor behindDoc="0" distT="72390" distB="0" distL="254000" distR="0" simplePos="0" locked="0" layoutInCell="1" allowOverlap="1" relativeHeight="48">
                <wp:simplePos x="0" y="0"/>
                <wp:positionH relativeFrom="column">
                  <wp:align>left</wp:align>
                </wp:positionH>
                <wp:positionV relativeFrom="line">
                  <wp:align>top</wp:align>
                </wp:positionV>
                <wp:extent cx="127000" cy="350520"/>
                <wp:effectExtent l="0" t="0" r="0" b="0"/>
                <wp:wrapSquare wrapText="right"/>
                <wp:docPr id="45" name="Frame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Events of Default, Notice and Waiver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 “Event of Default,” when used in this prospectus supplement with respect to the notes of either series, means any one of the following events: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default in the payment of any interest on the notes of that series when the interest becomes due and payable, and continuance of the default for a period of 30 days;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   default in the payment of the principal of, or premium or Make-Whole Amount, if any, on, any note of that series when it becomes due and payable at its Maturity Date or by declaration of acceleration, notice of redemption or otherwise;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   default in the performance or breach of any of our covenants in the Indenture (other than a covenant added to the Indenture solely for the benefit of another series of Securities issued under the Indenture) and continuance of the default or breach for a period of 90 days after there has been given, by registered or certified mail, to us by the Trustee, or to us and the Trustee by the holders of at least 25% in principal amount of the outstanding notes of that series, a written notice specifying the default or breach and requiring it to be remedied and stating that the notice is a “Notice of Default” under the Indenture;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(4)   a default in the payment of an aggregate principal amount exceeding $50 million of any of our recourse indebtedness (however evidenced) or any recourse indebtedness of any Subsidiary which we have guaranteed or for which we are responsible or liable after the expiration of any applicable grace period with respect thereto and the default has resulted in the indebtedness becoming or being declared due and payable prior to the date on which it would otherwise have become due and payable, but only if that indebtedness is not discharged, or the acceleration rescinded or annulled within a period of 30 days after there has been given, by registered or certified mail, to us by the Trustee, or to us and the Trustee by the holders of at least 25% in principal amount of the outstanding notes of that series, a written notice specifying the default and requiring us to cause the indebtedness to be discharged or cause the acceleration to be rescinded or annulled, and stating that the notice is a “Notice of Default” under the Indenture; or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(5)   specific events of bankruptcy, insolvency, or reorganization affecting us or certain Subsidiaries or any of their respective properties.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 Event of Default under the Indenture with respect to the outstanding notes of either series occurs and is continuing, then in every such case the Trustee or the holders of not less than 25% of the principal amount of the outstanding notes of that series may declare the principal amount and premium or Make-Whole Amount, if any, and accrued interest on all the notes of that series to be due and payable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immediately by written notice thereof to us and to the Trustee, if given by the holders;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in the case of an Event of Default as described in (5) above, acceleration is automatic. However, at any time after a declaration of acceleration with respect to the notes of either series has been made, but before a judgment or decree for payment of the money due has been obtained by the Trustee, the holders of a majority in principal amount of the outstanding notes of that series may, by written notice to us and the Trustee, rescind and annul the declaration and its consequences if: </w:t>
      </w:r>
    </w:p>
    <w:p>
      <w:pPr>
        <w:pStyle w:val="TextBody"/>
        <w:bidi w:val="0"/>
        <w:spacing w:lineRule="atLeast" w:line="240" w:before="13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deposited with the Trustee all required payments of the principal of, and premium or Make-Whole Amount, if any, and interest on the notes of that series, plus specified fees, expenses, disbursement and advances of the Trustee; and </w:t>
      </w:r>
      <w:r>
        <mc:AlternateContent>
          <mc:Choice Requires="wps">
            <w:drawing>
              <wp:anchor behindDoc="0" distT="83820" distB="0" distL="254000" distR="0" simplePos="0" locked="0" layoutInCell="1" allowOverlap="1" relativeHeight="49">
                <wp:simplePos x="0" y="0"/>
                <wp:positionH relativeFrom="column">
                  <wp:align>left</wp:align>
                </wp:positionH>
                <wp:positionV relativeFrom="line">
                  <wp:align>top</wp:align>
                </wp:positionV>
                <wp:extent cx="127000" cy="350520"/>
                <wp:effectExtent l="0" t="0" r="0" b="0"/>
                <wp:wrapSquare wrapText="right"/>
                <wp:docPr id="46" name="Frame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6pt;mso-wrap-distance-bottom:0pt;margin-top:6.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Events of Default with respect to the notes of that series, other than the non-payment of principal of, or premium or Make-Whole Amount, if any, or interest on the notes of that series which has become due solely by the declaration of acceleration, have been cured or waived as provided in the Indenture. </w:t>
      </w:r>
      <w:r>
        <mc:AlternateContent>
          <mc:Choice Requires="wps">
            <w:drawing>
              <wp:anchor behindDoc="0" distT="83820" distB="0" distL="254000" distR="0" simplePos="0" locked="0" layoutInCell="1" allowOverlap="1" relativeHeight="50">
                <wp:simplePos x="0" y="0"/>
                <wp:positionH relativeFrom="column">
                  <wp:align>left</wp:align>
                </wp:positionH>
                <wp:positionV relativeFrom="line">
                  <wp:align>top</wp:align>
                </wp:positionV>
                <wp:extent cx="127000" cy="350520"/>
                <wp:effectExtent l="0" t="0" r="0" b="0"/>
                <wp:wrapSquare wrapText="right"/>
                <wp:docPr id="47" name="Frame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6pt;mso-wrap-distance-bottom:0pt;margin-top:6.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holders of a majority in principal amount of the notes of either series may waive any past default with respect to the notes of that series and its consequences, except a default: </w:t>
      </w:r>
    </w:p>
    <w:p>
      <w:pPr>
        <w:pStyle w:val="TextBody"/>
        <w:bidi w:val="0"/>
        <w:spacing w:lineRule="atLeast" w:line="240" w:before="13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payment of the principal of, or premium or Make-Whole Amount, if any, or interest payable on any note of that series; or </w:t>
      </w:r>
      <w:r>
        <mc:AlternateContent>
          <mc:Choice Requires="wps">
            <w:drawing>
              <wp:anchor behindDoc="0" distT="83820" distB="0" distL="254000" distR="0" simplePos="0" locked="0" layoutInCell="1" allowOverlap="1" relativeHeight="51">
                <wp:simplePos x="0" y="0"/>
                <wp:positionH relativeFrom="column">
                  <wp:align>left</wp:align>
                </wp:positionH>
                <wp:positionV relativeFrom="line">
                  <wp:align>top</wp:align>
                </wp:positionV>
                <wp:extent cx="127000" cy="350520"/>
                <wp:effectExtent l="0" t="0" r="0" b="0"/>
                <wp:wrapSquare wrapText="right"/>
                <wp:docPr id="48" name="Frame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6pt;mso-wrap-distance-bottom:0pt;margin-top:6.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respect of a covenant or provision contained in the Indenture that cannot be modified or amended without the consent of the holder of each note of that series. </w:t>
      </w:r>
      <w:r>
        <mc:AlternateContent>
          <mc:Choice Requires="wps">
            <w:drawing>
              <wp:anchor behindDoc="0" distT="82550" distB="0" distL="254000" distR="0" simplePos="0" locked="0" layoutInCell="1" allowOverlap="1" relativeHeight="52">
                <wp:simplePos x="0" y="0"/>
                <wp:positionH relativeFrom="column">
                  <wp:align>left</wp:align>
                </wp:positionH>
                <wp:positionV relativeFrom="line">
                  <wp:align>top</wp:align>
                </wp:positionV>
                <wp:extent cx="127000" cy="350520"/>
                <wp:effectExtent l="0" t="0" r="0" b="0"/>
                <wp:wrapSquare wrapText="right"/>
                <wp:docPr id="49" name="Frame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Trustee will be required to give notice to the holders of the notes of either series within 90 days of the occurrence of a default with respect to the notes of such series under the Indenture unless the default has been cured or waived;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however</w:t>
      </w:r>
      <w:r>
        <w:rPr>
          <w:rFonts w:ascii="Times New Roman;Times;serif" w:hAnsi="Times New Roman;Times;serif"/>
          <w:b w:val="false"/>
          <w:i w:val="false"/>
          <w:caps w:val="false"/>
          <w:smallCaps w:val="false"/>
          <w:color w:val="000000"/>
          <w:spacing w:val="4"/>
          <w:sz w:val="20"/>
        </w:rPr>
        <w:t xml:space="preserve">, that the Trustee may withhold notice to the holders of the notes of such series of any default, except a default in the payment of the principal of, or premium or Make-Whole Amount, if any, or interest on any notes of such series, if and so long as specified responsible officers of the Trustee determine in good faith that the withholding of the notice is in the interest of the holders; and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further</w:t>
      </w:r>
      <w:r>
        <w:rPr>
          <w:rFonts w:ascii="Times New Roman;Times;serif" w:hAnsi="Times New Roman;Times;serif"/>
          <w:b w:val="false"/>
          <w:i w:val="false"/>
          <w:caps w:val="false"/>
          <w:smallCaps w:val="false"/>
          <w:color w:val="000000"/>
          <w:spacing w:val="4"/>
          <w:sz w:val="20"/>
        </w:rPr>
        <w:t xml:space="preserve">, that in the case of an Event of Default as described in (3) above, the Trustee will not give notice to such holders until at least 90 days after the occurrence thereof.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provides that no holder of notes of either series may institute any proceedings, judicial or otherwise, with respect to the Indenture, or for the appointment of a receiver or trustee, or for any remedy thereunder, except in the case of failure of the Trustee, for 60 days, to act after it has received a written request to institute proceedings in respect of an Event of Default from the holders of not less than 25% in principal amount of the outstanding notes of that series, as well as an offer of indemnity reasonably satisfactory to it. This provision will not prevent, however, any holder of notes of that series from instituting suit for the payment of the principal of, and premium or Make-Whole Amount, if any, and interest on the notes of that series on the respective due date thereof.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provisions in the Indenture relating to its duties in case of default, the Trustee is under no obligation to exercise any of its rights or powers under the Indenture at the request or direction of any holders of notes of either series then outstanding under the Indenture, unless such holders have offered to the Trustee reasonable security or indemnity. The holders of a majority in principal amount of the outstanding notes of either series have the right to direct the time, method, and place of conducting any proceeding for any remedy available to the Trustee or exercising any trust or power conferred upon the Trustee in respect of the notes of such series. However, the Trustee may refuse to follow any direction which is in conflict with any law or the Indenture, which may involve the Trustee in personal liability, or which may be unduly prejudicial to the holders of notes of that series not joining therein, and the Trustee may take any other action it deems proper not inconsistent with the direction given.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Within 120 days after the close of each fiscal year, we will be required to deliver to the Trustee a certificate, signed by one of several of our specified officers, stating whether or not the officer has knowledge of any default under the Indenture and, if so, specifying each default and the nature and status thereof.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Discharge, Defeasance and Covenant Defeasance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permitted under the Indenture to discharge specific obligations to the holders of the notes of or within a series that have not already been delivered to the Trustee for cancellation by irrevocably depositing with the Trustee, in trust, funds in U.S. dollars in an amount sufficient to pay the entire indebtedness on such notes in respect of principal, and premium, if any, and interest to the date of the deposit, if such notes have become due and payable, or to the Maturity Date or redemption date, as the case may be.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also provides that upon the irrevocable deposit by us with the Trustee, in trust, of an amount, in U.S. dollars at stated maturity, or Government Obligations, or both, applicable to such notes which through the scheduled payment of principal and interest in accordance with their terms will provide money in an amount sufficient without reinvestment to pay the principal of, and premium, if any, and interest on such notes on the scheduled due dates therefor, we may elect either: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defease and be discharged from any and all obligations with respect to the notes of or within a series other than the obligations to register the transfer or exchange of such notes, to replace temporary or mutilated, destroyed, lost, or stolen notes, to maintain an office or agency in respect of such notes, and to hold moneys for payment in trust (“defeasance”); or </w:t>
      </w:r>
      <w:r>
        <mc:AlternateContent>
          <mc:Choice Requires="wps">
            <w:drawing>
              <wp:anchor behindDoc="0" distT="77470" distB="0" distL="254000" distR="0" simplePos="0" locked="0" layoutInCell="1" allowOverlap="1" relativeHeight="53">
                <wp:simplePos x="0" y="0"/>
                <wp:positionH relativeFrom="column">
                  <wp:align>left</wp:align>
                </wp:positionH>
                <wp:positionV relativeFrom="line">
                  <wp:align>top</wp:align>
                </wp:positionV>
                <wp:extent cx="127000" cy="350520"/>
                <wp:effectExtent l="0" t="0" r="0" b="0"/>
                <wp:wrapSquare wrapText="right"/>
                <wp:docPr id="50" name="Frame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to be released from our obligations under the covenants described above under “</w:t>
      </w:r>
      <w:r>
        <w:rPr>
          <w:rFonts w:ascii="Times New Roman;Times;serif" w:hAnsi="Times New Roman;Times;serif"/>
          <w:b w:val="false"/>
          <w:i/>
          <w:caps w:val="false"/>
          <w:smallCaps w:val="false"/>
          <w:color w:val="000000"/>
          <w:spacing w:val="4"/>
          <w:sz w:val="20"/>
        </w:rPr>
        <w:t>Covenants</w:t>
      </w:r>
      <w:r>
        <w:rPr>
          <w:rFonts w:ascii="Times New Roman;Times;serif" w:hAnsi="Times New Roman;Times;serif"/>
          <w:b w:val="false"/>
          <w:i w:val="false"/>
          <w:caps w:val="false"/>
          <w:smallCaps w:val="false"/>
          <w:color w:val="000000"/>
          <w:spacing w:val="4"/>
          <w:sz w:val="20"/>
        </w:rPr>
        <w:t>,” with the exception of the covenant described in “</w:t>
      </w:r>
      <w:r>
        <w:rPr>
          <w:rFonts w:ascii="Times New Roman;Times;serif" w:hAnsi="Times New Roman;Times;serif"/>
          <w:b w:val="false"/>
          <w:i/>
          <w:caps w:val="false"/>
          <w:smallCaps w:val="false"/>
          <w:color w:val="000000"/>
          <w:spacing w:val="4"/>
          <w:sz w:val="20"/>
        </w:rPr>
        <w:t>Covenants — Merger, Consolidation or Sale</w:t>
      </w:r>
      <w:r>
        <w:rPr>
          <w:rFonts w:ascii="Times New Roman;Times;serif" w:hAnsi="Times New Roman;Times;serif"/>
          <w:b w:val="false"/>
          <w:i w:val="false"/>
          <w:caps w:val="false"/>
          <w:smallCaps w:val="false"/>
          <w:color w:val="000000"/>
          <w:spacing w:val="4"/>
          <w:sz w:val="20"/>
        </w:rPr>
        <w:t xml:space="preserve">,” with respect to the notes of or within a series, and any omission to comply with these obligations shall not constitute an Event of Default with respect to such notes (“covenant defeasance”). </w:t>
      </w:r>
      <w:r>
        <mc:AlternateContent>
          <mc:Choice Requires="wps">
            <w:drawing>
              <wp:anchor behindDoc="0" distT="77470" distB="0" distL="254000" distR="0" simplePos="0" locked="0" layoutInCell="1" allowOverlap="1" relativeHeight="54">
                <wp:simplePos x="0" y="0"/>
                <wp:positionH relativeFrom="column">
                  <wp:align>left</wp:align>
                </wp:positionH>
                <wp:positionV relativeFrom="line">
                  <wp:align>top</wp:align>
                </wp:positionV>
                <wp:extent cx="127000" cy="350520"/>
                <wp:effectExtent l="0" t="0" r="0" b="0"/>
                <wp:wrapSquare wrapText="right"/>
                <wp:docPr id="51" name="Frame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See “</w:t>
      </w:r>
      <w:r>
        <w:rPr>
          <w:rFonts w:ascii="Times New Roman;Times;serif" w:hAnsi="Times New Roman;Times;serif"/>
          <w:b w:val="false"/>
          <w:i/>
          <w:caps w:val="false"/>
          <w:smallCaps w:val="false"/>
          <w:color w:val="000000"/>
          <w:spacing w:val="4"/>
          <w:sz w:val="20"/>
        </w:rPr>
        <w:t>Description of Securities Being Offered — Discharge, Defeasance and Covenant Defeasance</w:t>
      </w:r>
      <w:r>
        <w:rPr>
          <w:rFonts w:ascii="Times New Roman;Times;serif" w:hAnsi="Times New Roman;Times;serif"/>
          <w:b w:val="false"/>
          <w:i w:val="false"/>
          <w:caps w:val="false"/>
          <w:smallCaps w:val="false"/>
          <w:color w:val="000000"/>
          <w:spacing w:val="4"/>
          <w:sz w:val="20"/>
        </w:rPr>
        <w:t xml:space="preserve">” in the accompanying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trust may only be established if, among other things, we have delivered to the Trustee an opinion of counsel, as specified in the Indenture, to the effect that the holders of the notes of or within a series will not recognize income, gain, or loss for United States federal income tax purposes as a result of the defeasance or covenant defeasance and will be subject to United States federal income tax on the same amounts, in the same manner, and at the same times as would have been the case if the defeasance or covenant defeasance had not occurred, and the opinion of counsel, in the case of defeasance, will be required to refer to and be based upon a ruling of the Internal Revenue Service (“IRS”) or a change in applicable United States federal income tax law occurring after the date of the Indenture. </w:t>
      </w:r>
    </w:p>
    <w:p>
      <w:pPr>
        <w:pStyle w:val="TextBody"/>
        <w:bidi w:val="0"/>
        <w:spacing w:lineRule="atLeast" w:line="240" w:before="160" w:after="283"/>
        <w:ind w:left="17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Government Obligations” means securities that are: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direct obligations of the United States of America for the payment of which its full faith and credit is pledged; or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   obligations of a person controlled or supervised by and acting as an agency or instrumentality of the United States of America, the payment of which is unconditionally guaranteed as a full faith and credit obligation by the United States of America;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which, in either case, are not callable or redeemable at the option of the issuer thereof, and will also include a depositary receipt issued by a bank or trust company as custodian with respect to any Government Obligation or a specific payment of interest on or principal of any Government Obligation held by the custodian for the account of the holder of a depositary receipt;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except as required by law, the custodian is not authorized to make any deduction from the amount payable to the holder of the depositary receipt from any amount received by the custodian in respect of the Government Obligation or the specific payment of interest on or principal of the Government Obligation evidenced by the depositary receipt.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effect covenant defeasance with respect to the notes of either series and the notes of that series are declared due and payable because of the occurrence of any Event of Default other than the Event of Default described in clause (3) under “Events of Default, Notice and Waiver” with respect to the related covenants, which covenants would no longer be applicable to such notes as a result of the covenant defeasance, the amount in U.S. dollars, and Government Obligations on deposit with the Trustee, will be sufficient to pay amounts due on such notes at the time of their stated maturity but may not be sufficient to pay amounts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due on such notes at the time of the acceleration resulting from such Event of Default. We would remain liable, however, to make payment of the amounts due at the time of acceleration.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Governing Law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is governed by, and construed in accordance with, the laws of the State of New York, and once issued the notes will be as well.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Delivery and Form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of each series will be represented initially by one or more permanent notes of such series in registered, global form without interest coupons (the “global notes”). These global notes will be deposited upon issuance with the Trustee as custodian for The Depository Trust Company (the “depositary”) in New York, New York, and registered in the name of the depositary or its nominee, in each case for credit to an account of a direct or indirect participant as described below. Except as set forth below, the global notes may be transferred, in whole and not in part, only to the depositary, a nominee of the depositary or to a successor of the depositary or its nominee. Beneficial interests in the global notes may not be exchanged for notes in certificated form except in the limited circumstances described below. The Trustee will act as registrar.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Book-Entry Procedures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The Depository Trust Company.   </w:t>
      </w:r>
      <w:r>
        <w:rPr>
          <w:rFonts w:ascii="Times New Roman;Times;serif" w:hAnsi="Times New Roman;Times;serif"/>
          <w:b w:val="false"/>
          <w:i w:val="false"/>
          <w:caps w:val="false"/>
          <w:smallCaps w:val="false"/>
          <w:color w:val="000000"/>
          <w:spacing w:val="4"/>
          <w:sz w:val="20"/>
        </w:rPr>
        <w:t xml:space="preserve">The depositary has advised us that it is a limited-purpose trust company created to hold securities for its participating organizations (collectively, the “participants”) and to facilitate the clearance and settlement of transactions in those securities between participants through electronic book-entry changes in accounts of participants. The participants include securities brokers and dealers, banks, trust companies, clearing corporations, and certain other organizations. Access to the depositary’s system is also available to other entities such as banks, brokers, dealers, and trust companies that clear through or maintain a custodial relationship with a participant, either directly or indirectly (collectively, “indirect participants”). Persons who are not participants may beneficially own securities held by or on behalf of the depositary only through participants or indirect participants. The ownership interest and transfer of ownership interest of each actual purchaser of each security held by or on behalf of the depositary are recorded on the records of the participants and indirect participants.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depositary also has advised us that pursuant to procedures established by it: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deposit of the global notes, the depositary will credit the accounts of participants designated by the underwriters with portions of the principal amount of global notes; and </w:t>
      </w:r>
      <w:r>
        <mc:AlternateContent>
          <mc:Choice Requires="wps">
            <w:drawing>
              <wp:anchor behindDoc="0" distT="74930" distB="0" distL="254000" distR="0" simplePos="0" locked="0" layoutInCell="1" allowOverlap="1" relativeHeight="55">
                <wp:simplePos x="0" y="0"/>
                <wp:positionH relativeFrom="column">
                  <wp:align>left</wp:align>
                </wp:positionH>
                <wp:positionV relativeFrom="line">
                  <wp:align>top</wp:align>
                </wp:positionV>
                <wp:extent cx="127000" cy="350520"/>
                <wp:effectExtent l="0" t="0" r="0" b="0"/>
                <wp:wrapSquare wrapText="right"/>
                <wp:docPr id="52" name="Frame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ownership of interests in the global notes will be shown on, and the transfer of ownership thereof will be effected only through, records maintained by the depositary with respect to participants or by participants and the indirect participants with respect to other owners of beneficial interest in the global notes. </w:t>
      </w:r>
      <w:r>
        <mc:AlternateContent>
          <mc:Choice Requires="wps">
            <w:drawing>
              <wp:anchor behindDoc="0" distT="74930" distB="0" distL="254000" distR="0" simplePos="0" locked="0" layoutInCell="1" allowOverlap="1" relativeHeight="56">
                <wp:simplePos x="0" y="0"/>
                <wp:positionH relativeFrom="column">
                  <wp:align>left</wp:align>
                </wp:positionH>
                <wp:positionV relativeFrom="line">
                  <wp:align>top</wp:align>
                </wp:positionV>
                <wp:extent cx="127000" cy="350520"/>
                <wp:effectExtent l="0" t="0" r="0" b="0"/>
                <wp:wrapSquare wrapText="right"/>
                <wp:docPr id="53" name="Frame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laws of some states require that certain persons take physical delivery in definitive form of securities that they own. Consequently, the ability to transfer beneficial interest in a global note to such persons may be limited to that extent. Because the depositary can act only on behalf of participants, which in turn act on behalf of indirect participants and certain banks, the ability of a person having a beneficial interest in a global note to pledge such interest to persons or entities that do not participate in the depositary system, or otherwise take actions in respect of such interests, may be affected by the lack of a physical certificate evidencing such interests.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described below, owners of interests in the global notes will not have notes registered in their names, will not receive physical delivery of notes in certificated form and will not be considered the registered owners or holders thereof under the Indenture for any purpose.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Payments in respect of the principal of and premium and interest on a global note registered in the name of the depositary or its nominee will be payable by the paying agent to the depositary or its nominee in its capacity as the registered holder of a global note under the Indenture. Under the terms of the Indenture,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and the Trustee will treat the persons in whose names the global notes are registered as the owners thereof for the purpose of receiving such payments and for any and all other purposes whatsoever.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Consequently, neither we, the Trustee nor any agent of us or the Trustee have or will have any responsibility or liability for: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aspect of the depositary’s records or any participant’s or indirect participant’s records relating to or payments made on account of beneficial ownership interests in the global notes, or for maintaining, supervising or reviewing any of the depositary’s records or any participant’s or indirect participant’s records relating to the beneficial ownership interests in the global notes; or </w:t>
      </w:r>
      <w:r>
        <mc:AlternateContent>
          <mc:Choice Requires="wps">
            <w:drawing>
              <wp:anchor behindDoc="0" distT="76200" distB="0" distL="254000" distR="0" simplePos="0" locked="0" layoutInCell="1" allowOverlap="1" relativeHeight="57">
                <wp:simplePos x="0" y="0"/>
                <wp:positionH relativeFrom="column">
                  <wp:align>left</wp:align>
                </wp:positionH>
                <wp:positionV relativeFrom="line">
                  <wp:align>top</wp:align>
                </wp:positionV>
                <wp:extent cx="127000" cy="350520"/>
                <wp:effectExtent l="0" t="0" r="0" b="0"/>
                <wp:wrapSquare wrapText="right"/>
                <wp:docPr id="54" name="Frame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matter relating to the actions and practices of the depositary or any of its participants or indirect participants. </w:t>
      </w:r>
      <w:r>
        <mc:AlternateContent>
          <mc:Choice Requires="wps">
            <w:drawing>
              <wp:anchor behindDoc="0" distT="76200" distB="0" distL="254000" distR="0" simplePos="0" locked="0" layoutInCell="1" allowOverlap="1" relativeHeight="58">
                <wp:simplePos x="0" y="0"/>
                <wp:positionH relativeFrom="column">
                  <wp:align>left</wp:align>
                </wp:positionH>
                <wp:positionV relativeFrom="line">
                  <wp:align>top</wp:align>
                </wp:positionV>
                <wp:extent cx="127000" cy="350520"/>
                <wp:effectExtent l="0" t="0" r="0" b="0"/>
                <wp:wrapSquare wrapText="right"/>
                <wp:docPr id="55" name="Frame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depositary has advised us that its current practice, upon receipt of any payment in respect of securities such as the notes (including principal and interest), is to credit the accounts of the relevant participants with the payment on the payment date, in amounts proportionate to their respective holdings in principal amount of beneficial interests in the relevant security such as the global notes as shown on the records of the depositary. Payments by participants and the indirect participants to the beneficial owners of notes will be governed by standing instructions and customary practices and will not be the responsibility of the depositary, the Trustee or us. Neither we nor the Trustee will be liable for any delay by the depositary or its participants in identifying the beneficial owners of the notes, and we and the Trustee may rely conclusively on and will be protected in relying on instructions from the depositary or its nominee as the registered owner of the global notes for all purposes.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less than all of the global notes of a series are being redeemed, the depositary’s current practice is to determine by lot the amount of the interest of each participant in such global notes to be redeemed.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Interests in the global notes will trade in the depositary’s same-day funds settlement system, and secondary market trading activity in such interests will, therefore, settle in immediately available funds, subject in all cases to the rules and procedures of the depositary and its participants. Transfers between participants in the depositary will be effective in accordance with the depositary’s procedures and will be settled in same-day funds.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depositary has advised us that it will take any action permitted to be taken by a holder of notes only at the direction of one or more participants to whose account the interests in the global notes are credited and only in respect of such portion of the aggregate principal amount of the notes as to which such participant or participants has or have given direction.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Clearstream.   </w:t>
      </w:r>
      <w:r>
        <w:rPr>
          <w:rFonts w:ascii="Times New Roman;Times;serif" w:hAnsi="Times New Roman;Times;serif"/>
          <w:b w:val="false"/>
          <w:i w:val="false"/>
          <w:caps w:val="false"/>
          <w:smallCaps w:val="false"/>
          <w:color w:val="000000"/>
          <w:spacing w:val="4"/>
          <w:sz w:val="20"/>
        </w:rPr>
        <w:t xml:space="preserve">Clearstream is incorporated under the laws of Luxembourg as a professional depositary. Clearstream holds securities for its participating organizations (“Clearstream Participants”) and facilitates the clearance and settlement of securities transactions between Clearstream Participants through electronic book-entry changes in accounts of Clearstream Participants, thereby eliminating the need for physical movement of certificates. Clearstream provides Clearstream Participants with, among other things, services for safekeeping, administration, clearance, and establishment of internationally traded securities and securities lending and borrowing. Clearstream interfaces with domestic markets in several countries. As a professional depositary, Clearstream is subject to regulation by the Luxembourg Commission for the Supervision of the Financial Sector (Commission de Surveillance du Secteur Financier). Clearstream Participants are recognized financial institutions around the world, including underwriters, securities brokers and dealers, banks, trust companies, clearing corporations, and certain other organizations, and may include the underwriters. Indirect access to Clearstream is also available to others, such as banks, brokers, dealers, and trust companies that clear through or maintain a custodial relationship with a Clearstream Participant either directly or indirectly.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Distributions with respect to notes held beneficially through Clearstream will be credited to cash accounts of Clearstream Participants in accordance with its rules and procedures to the extent received by the depositary for Clearstream.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Euroclear.   </w:t>
      </w:r>
      <w:r>
        <w:rPr>
          <w:rFonts w:ascii="Times New Roman;Times;serif" w:hAnsi="Times New Roman;Times;serif"/>
          <w:b w:val="false"/>
          <w:i w:val="false"/>
          <w:caps w:val="false"/>
          <w:smallCaps w:val="false"/>
          <w:color w:val="000000"/>
          <w:spacing w:val="4"/>
          <w:sz w:val="20"/>
        </w:rPr>
        <w:t xml:space="preserve">Euroclear was created in 1968 to hold securities for participants of Euroclear (“Euroclear Participants”) and to clear and settle transactions between Euroclear Participants through simultaneous electronic book-entry delivery against payment, thereby eliminating the need for physical movement of certificates and any risk from lack of simultaneous transfers of securities and cash. Euroclear includes various other services, including securities lending and borrowing, and interfaces with domestic markets in several countries. Euroclear is operated by Euroclear Bank SA/NV (the “Euroclear Operator”), under contract with Euroclear plc, a United Kingdom corporation. All operations are conducted by the Euroclear Operator, and all Euroclear securities clearance accounts and Euroclear cash accounts are accounts with the Euroclear Operator, not Euroclear plc. Euroclear plc establishes policy for Euroclear on behalf of Euroclear Participants. Euroclear Participants include banks (including central banks), securities brokers and dealers, and other professional financial intermediaries and may include the underwriters or other affiliates.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Indirect access to Euroclear is also available to other firms that clear through or maintain a custodial relationship with a Euroclear Participant, either directly or indirectly.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Euroclear Operator is regulated and examined by the Belgian Banking and Finance Commission.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Links have been established among the depositary, Clearstream and Euroclear to facilitate the initial issuance of the notes sold outside the United States and cross-market transfers of the notes associated with secondary market trading.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Although the depositary, Clearstream and Euroclear have agreed to the procedures provided below in order to facilitate transfers, they are under no obligation to perform these procedures, and these procedures may be modified or discontinued at any time.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Clearstream and Euroclear will record the ownership interests of their participants in much the same way as the depositary, and the depositary will record the total ownership of each of the U.S. agents of Clearstream and Euroclear, as participants in the depositary. When notes are to be transferred from the account of a depositary participant to the account of a Clearstream Participant or a Euroclear Participant, the purchaser must send instructions to Clearstream or Euroclear through a participant at least one day prior to settlement. Clearstream or Euroclear, as the case may be, will instruct its U.S. agent to receive notes against payment. After settlement, Clearstream or Euroclear will credit its participant’s account. Credit for the notes will appear on the next day (European time).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Because settlement is taking place during New York business hours, depositary participants will be able to employ their usual procedures for sending notes to the relevant U.S. agent acting for the benefit of Clearstream Participants or Euroclear Participants. The sale proceeds will be available to the depositary seller on the settlement date. As a result, to the depositary participant, a cross-market transaction will settle no differently than a trade between two depositary participants.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When a Clearstream Participant or Euroclear Participant wishes to transfer notes to a depositary participant, the seller will be required to send instructions to Clearstream or Euroclear through a participant at least one business day prior to settlement. In these cases, Clearstream or Euroclear will instruct its U.S. agent to transfer these notes against payment for them. The payment will then be reflected in the account of the Clearstream Participant or Euroclear Participant the following day, with the proceeds back-valued to the value date, which would be the preceding day, when settlement occurs in New York. If settlement is not completed on the intended value date, that is, the trade fails, proceeds credited to the Clearstream Participant’s or Euroclear Participant’s account will instead be valued as of the actual settlement date.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be aware that you will only be able to make and receive deliveries, payments, and other communications involving the notes through Clearstream and Euroclear on the days when those clearing systems are open for business. Those systems may not be open for business on days when banks, brokers, and other institutions are open for business in the United States. In addition, because of time zone differences there may be problems with completing transactions involving Clearstream and Euroclear on the same business day as in the United States.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information in this section concerning the depositary, Clearstream, and Euroclear and their book-entry systems has been obtained from sources that we believe to be reliable, but neither we nor any underwriter takes any responsibility for the accuracy or completeness thereof. None of us, the underwriters,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84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 the Trustee will have any responsibility for the performance by the depositary, Clearstream, and Euroclear or their respective participants or indirect participants of their respective obligations under the rules and procedures governing their operations.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Exchange of Book-Entry Notes for Certificated Notes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global note is exchangeable for definitive notes in registered certificated form of the same series: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depositary: </w:t>
      </w:r>
      <w:r>
        <mc:AlternateContent>
          <mc:Choice Requires="wps">
            <w:drawing>
              <wp:anchor behindDoc="0" distT="76200" distB="0" distL="254000" distR="0" simplePos="0" locked="0" layoutInCell="1" allowOverlap="1" relativeHeight="59">
                <wp:simplePos x="0" y="0"/>
                <wp:positionH relativeFrom="column">
                  <wp:align>left</wp:align>
                </wp:positionH>
                <wp:positionV relativeFrom="line">
                  <wp:align>top</wp:align>
                </wp:positionV>
                <wp:extent cx="127000" cy="350520"/>
                <wp:effectExtent l="0" t="0" r="0" b="0"/>
                <wp:wrapSquare wrapText="right"/>
                <wp:docPr id="56" name="Frame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notifies us that it is unwilling or unable to continue as depositary for the global note and we thereupon fail to appoint a successor depositary within 90 days after this notice; or </w:t>
      </w:r>
      <w:r>
        <mc:AlternateContent>
          <mc:Choice Requires="wps">
            <w:drawing>
              <wp:anchor behindDoc="0" distT="76200" distB="0" distL="508000" distR="0" simplePos="0" locked="0" layoutInCell="1" allowOverlap="1" relativeHeight="60">
                <wp:simplePos x="0" y="0"/>
                <wp:positionH relativeFrom="column">
                  <wp:align>left</wp:align>
                </wp:positionH>
                <wp:positionV relativeFrom="line">
                  <wp:align>top</wp:align>
                </wp:positionV>
                <wp:extent cx="127000" cy="350520"/>
                <wp:effectExtent l="0" t="0" r="0" b="0"/>
                <wp:wrapSquare wrapText="right"/>
                <wp:docPr id="57" name="Frame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has ceased to be a clearing agency registered under the Exchange Act; </w:t>
      </w:r>
      <w:r>
        <mc:AlternateContent>
          <mc:Choice Requires="wps">
            <w:drawing>
              <wp:anchor behindDoc="0" distT="76200" distB="0" distL="508000" distR="0" simplePos="0" locked="0" layoutInCell="1" allowOverlap="1" relativeHeight="61">
                <wp:simplePos x="0" y="0"/>
                <wp:positionH relativeFrom="column">
                  <wp:align>left</wp:align>
                </wp:positionH>
                <wp:positionV relativeFrom="line">
                  <wp:align>top</wp:align>
                </wp:positionV>
                <wp:extent cx="127000" cy="350520"/>
                <wp:effectExtent l="0" t="0" r="0" b="0"/>
                <wp:wrapSquare wrapText="right"/>
                <wp:docPr id="58" name="Frame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the occurrence and continuance of an Event of Default under the Indenture in respect of the notes of such series; or </w:t>
      </w:r>
      <w:r>
        <mc:AlternateContent>
          <mc:Choice Requires="wps">
            <w:drawing>
              <wp:anchor behindDoc="0" distT="76200" distB="0" distL="254000" distR="0" simplePos="0" locked="0" layoutInCell="1" allowOverlap="1" relativeHeight="62">
                <wp:simplePos x="0" y="0"/>
                <wp:positionH relativeFrom="column">
                  <wp:align>left</wp:align>
                </wp:positionH>
                <wp:positionV relativeFrom="line">
                  <wp:align>top</wp:align>
                </wp:positionV>
                <wp:extent cx="127000" cy="350520"/>
                <wp:effectExtent l="0" t="0" r="0" b="0"/>
                <wp:wrapSquare wrapText="right"/>
                <wp:docPr id="59" name="Frame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at our option and subject to the procedures of the depositary, notify the Trustee in writing that we elect to cause issuance of such notes in certificated form. </w:t>
      </w:r>
      <w:r>
        <mc:AlternateContent>
          <mc:Choice Requires="wps">
            <w:drawing>
              <wp:anchor behindDoc="0" distT="76200" distB="0" distL="254000" distR="0" simplePos="0" locked="0" layoutInCell="1" allowOverlap="1" relativeHeight="63">
                <wp:simplePos x="0" y="0"/>
                <wp:positionH relativeFrom="column">
                  <wp:align>left</wp:align>
                </wp:positionH>
                <wp:positionV relativeFrom="line">
                  <wp:align>top</wp:align>
                </wp:positionV>
                <wp:extent cx="127000" cy="350520"/>
                <wp:effectExtent l="0" t="0" r="0" b="0"/>
                <wp:wrapSquare wrapText="right"/>
                <wp:docPr id="60" name="Frame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addition, beneficial interests in a global note may be exchanged for certificated notes of the same series upon request but only upon at least 30 days’ prior written notice given to the Trustee by or on behalf of the depositary in accordance with customary procedures. In all cases, certificated notes delivered in exchange for any global note or beneficial interest therein will be registered in names, and issued of the same series in any approved denominations, requested by or on behalf of the depositary (in accordance with its customary procedures).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sUCOI2"/>
      <w:bookmarkEnd w:id="1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UNDERWRITING (CONFLICTS OF INTEREST)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J.P. Morgan Securities LLC, Mizuho Securities USA LLC, PNC Capital Markets LLC, and Wells Fargo Securities, LLC are acting as representatives of the underwriters named below. Subject to the terms and conditions stated in the underwriting agreement dated the date of this prospectus supplement, each underwriter named below has severally and not jointly agreed to purchase, and we have agreed to sell to that underwriter, the principal amount of notes of each series set forth opposite the underwriter’s name. </w:t>
      </w:r>
    </w:p>
    <w:tbl>
      <w:tblPr>
        <w:tblW w:w="7953" w:type="dxa"/>
        <w:jc w:val="left"/>
        <w:tblInd w:w="1393" w:type="dxa"/>
        <w:tblLayout w:type="fixed"/>
        <w:tblCellMar>
          <w:top w:w="0" w:type="dxa"/>
          <w:left w:w="0" w:type="dxa"/>
          <w:bottom w:w="43" w:type="dxa"/>
          <w:right w:w="0" w:type="dxa"/>
        </w:tblCellMar>
      </w:tblPr>
      <w:tblGrid>
        <w:gridCol w:w="3863"/>
        <w:gridCol w:w="109"/>
        <w:gridCol w:w="109"/>
        <w:gridCol w:w="109"/>
        <w:gridCol w:w="226"/>
        <w:gridCol w:w="1306"/>
        <w:gridCol w:w="109"/>
        <w:gridCol w:w="109"/>
        <w:gridCol w:w="109"/>
        <w:gridCol w:w="109"/>
        <w:gridCol w:w="226"/>
        <w:gridCol w:w="1306"/>
        <w:gridCol w:w="109"/>
        <w:gridCol w:w="154"/>
      </w:tblGrid>
      <w:tr>
        <w:trPr/>
        <w:tc>
          <w:tcPr>
            <w:tcW w:w="3863" w:type="dxa"/>
            <w:tcBorders>
              <w:bottom w:val="single" w:sz="2" w:space="0" w:color="000000"/>
            </w:tcBorders>
            <w:vAlign w:val="center"/>
          </w:tcPr>
          <w:p>
            <w:pPr>
              <w:pStyle w:val="TableContents"/>
              <w:bidi w:val="0"/>
              <w:spacing w:before="0" w:after="0"/>
              <w:jc w:val="left"/>
              <w:rPr>
                <w:spacing w:val="-3"/>
              </w:rPr>
            </w:pPr>
            <w:r>
              <w:rPr>
                <w:spacing w:val="-3"/>
              </w:rPr>
              <w:t xml:space="preserve">Underwriter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750" w:type="dxa"/>
            <w:gridSpan w:val="4"/>
            <w:tcBorders>
              <w:bottom w:val="single" w:sz="2" w:space="0" w:color="000000"/>
            </w:tcBorders>
            <w:vAlign w:val="center"/>
          </w:tcPr>
          <w:p>
            <w:pPr>
              <w:pStyle w:val="TableContents"/>
              <w:bidi w:val="0"/>
              <w:spacing w:before="0" w:after="0"/>
              <w:jc w:val="center"/>
              <w:rPr/>
            </w:pPr>
            <w:r>
              <w:rPr>
                <w:spacing w:val="-3"/>
              </w:rPr>
              <w:t>Principal</w:t>
            </w:r>
            <w:r>
              <w:rPr/>
              <w:t xml:space="preserve"> </w:t>
              <w:br/>
            </w:r>
            <w:r>
              <w:rPr>
                <w:spacing w:val="-3"/>
              </w:rPr>
              <w:t>Amount of</w:t>
            </w:r>
            <w:r>
              <w:rPr/>
              <w:t xml:space="preserve"> </w:t>
              <w:br/>
            </w:r>
            <w:r>
              <w:rPr>
                <w:spacing w:val="-3"/>
              </w:rPr>
              <w:t>2032 Notes</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750" w:type="dxa"/>
            <w:gridSpan w:val="4"/>
            <w:tcBorders>
              <w:bottom w:val="single" w:sz="2" w:space="0" w:color="000000"/>
            </w:tcBorders>
            <w:vAlign w:val="center"/>
          </w:tcPr>
          <w:p>
            <w:pPr>
              <w:pStyle w:val="TableContents"/>
              <w:bidi w:val="0"/>
              <w:spacing w:before="0" w:after="0"/>
              <w:jc w:val="center"/>
              <w:rPr/>
            </w:pPr>
            <w:r>
              <w:rPr>
                <w:spacing w:val="-3"/>
              </w:rPr>
              <w:t>Principal</w:t>
            </w:r>
            <w:r>
              <w:rPr/>
              <w:t xml:space="preserve"> </w:t>
              <w:br/>
            </w:r>
            <w:r>
              <w:rPr>
                <w:spacing w:val="-3"/>
              </w:rPr>
              <w:t>Amount of</w:t>
            </w:r>
            <w:r>
              <w:rPr/>
              <w:t xml:space="preserve"> </w:t>
              <w:br/>
            </w:r>
            <w:r>
              <w:rPr>
                <w:spacing w:val="-3"/>
              </w:rPr>
              <w:t>2036 Notes</w:t>
            </w:r>
            <w:r>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863" w:type="dxa"/>
            <w:tcBorders/>
            <w:shd w:fill="CCEEFF" w:val="clear"/>
            <w:tcMar>
              <w:bottom w:w="0" w:type="dxa"/>
            </w:tcMar>
            <w:vAlign w:val="center"/>
          </w:tcPr>
          <w:p>
            <w:pPr>
              <w:pStyle w:val="TableContents"/>
              <w:bidi w:val="0"/>
              <w:spacing w:before="0" w:after="0"/>
              <w:jc w:val="left"/>
              <w:rPr>
                <w:spacing w:val="4"/>
              </w:rPr>
            </w:pPr>
            <w:r>
              <w:rPr>
                <w:spacing w:val="4"/>
              </w:rPr>
              <w:t xml:space="preserve">J.P. Morgan Securities LLC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 xml:space="preserve">42,000,000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 xml:space="preserve">42,000,000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63" w:type="dxa"/>
            <w:tcBorders/>
            <w:tcMar>
              <w:bottom w:w="0" w:type="dxa"/>
            </w:tcMar>
            <w:vAlign w:val="center"/>
          </w:tcPr>
          <w:p>
            <w:pPr>
              <w:pStyle w:val="TableContents"/>
              <w:bidi w:val="0"/>
              <w:spacing w:before="0" w:after="0"/>
              <w:jc w:val="left"/>
              <w:rPr>
                <w:spacing w:val="4"/>
              </w:rPr>
            </w:pPr>
            <w:r>
              <w:rPr>
                <w:spacing w:val="4"/>
              </w:rPr>
              <w:t xml:space="preserve">Mizuho Securities USA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 xml:space="preserve">42,000,000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 xml:space="preserve">42,000,000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863" w:type="dxa"/>
            <w:tcBorders/>
            <w:shd w:fill="CCEEFF" w:val="clear"/>
            <w:tcMar>
              <w:bottom w:w="0" w:type="dxa"/>
            </w:tcMar>
            <w:vAlign w:val="center"/>
          </w:tcPr>
          <w:p>
            <w:pPr>
              <w:pStyle w:val="TableContents"/>
              <w:bidi w:val="0"/>
              <w:spacing w:before="0" w:after="0"/>
              <w:jc w:val="left"/>
              <w:rPr>
                <w:spacing w:val="4"/>
              </w:rPr>
            </w:pPr>
            <w:r>
              <w:rPr>
                <w:spacing w:val="4"/>
              </w:rPr>
              <w:t xml:space="preserve">PNC Capital Markets LLC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 xml:space="preserve">42,000,000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 xml:space="preserve">42,000,000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63" w:type="dxa"/>
            <w:tcBorders/>
            <w:tcMar>
              <w:bottom w:w="0" w:type="dxa"/>
            </w:tcMar>
            <w:vAlign w:val="center"/>
          </w:tcPr>
          <w:p>
            <w:pPr>
              <w:pStyle w:val="TableContents"/>
              <w:bidi w:val="0"/>
              <w:spacing w:before="0" w:after="0"/>
              <w:jc w:val="left"/>
              <w:rPr>
                <w:spacing w:val="4"/>
              </w:rPr>
            </w:pPr>
            <w:r>
              <w:rPr>
                <w:spacing w:val="4"/>
              </w:rPr>
              <w:t xml:space="preserve">Wells Fargo Securities,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 xml:space="preserve">42,000,000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 xml:space="preserve">42,000,000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863" w:type="dxa"/>
            <w:tcBorders/>
            <w:shd w:fill="CCEEFF" w:val="clear"/>
            <w:tcMar>
              <w:bottom w:w="0" w:type="dxa"/>
            </w:tcMar>
            <w:vAlign w:val="center"/>
          </w:tcPr>
          <w:p>
            <w:pPr>
              <w:pStyle w:val="TableContents"/>
              <w:bidi w:val="0"/>
              <w:spacing w:before="0" w:after="0"/>
              <w:jc w:val="left"/>
              <w:rPr>
                <w:spacing w:val="4"/>
              </w:rPr>
            </w:pPr>
            <w:r>
              <w:rPr>
                <w:spacing w:val="4"/>
              </w:rPr>
              <w:t xml:space="preserve">BBVA Securities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 xml:space="preserve">28,000,000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 xml:space="preserve">28,000,000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63" w:type="dxa"/>
            <w:tcBorders/>
            <w:tcMar>
              <w:bottom w:w="0" w:type="dxa"/>
            </w:tcMar>
            <w:vAlign w:val="center"/>
          </w:tcPr>
          <w:p>
            <w:pPr>
              <w:pStyle w:val="TableContents"/>
              <w:bidi w:val="0"/>
              <w:spacing w:before="0" w:after="0"/>
              <w:jc w:val="left"/>
              <w:rPr>
                <w:spacing w:val="4"/>
              </w:rPr>
            </w:pPr>
            <w:r>
              <w:rPr>
                <w:spacing w:val="4"/>
              </w:rPr>
              <w:t xml:space="preserve">Citigroup Global Markets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 xml:space="preserve">28,000,000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 xml:space="preserve">28,000,000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863" w:type="dxa"/>
            <w:tcBorders/>
            <w:shd w:fill="CCEEFF" w:val="clear"/>
            <w:tcMar>
              <w:bottom w:w="0" w:type="dxa"/>
            </w:tcMar>
            <w:vAlign w:val="center"/>
          </w:tcPr>
          <w:p>
            <w:pPr>
              <w:pStyle w:val="TableContents"/>
              <w:bidi w:val="0"/>
              <w:spacing w:before="0" w:after="0"/>
              <w:jc w:val="left"/>
              <w:rPr>
                <w:spacing w:val="4"/>
              </w:rPr>
            </w:pPr>
            <w:r>
              <w:rPr>
                <w:spacing w:val="4"/>
              </w:rPr>
              <w:t xml:space="preserve">Natixis Securities Americas LLC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 xml:space="preserve">28,000,000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 xml:space="preserve">28,000,000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63" w:type="dxa"/>
            <w:tcBorders/>
            <w:tcMar>
              <w:bottom w:w="0" w:type="dxa"/>
            </w:tcMar>
            <w:vAlign w:val="center"/>
          </w:tcPr>
          <w:p>
            <w:pPr>
              <w:pStyle w:val="TableContents"/>
              <w:bidi w:val="0"/>
              <w:spacing w:before="0" w:after="0"/>
              <w:jc w:val="left"/>
              <w:rPr>
                <w:spacing w:val="4"/>
              </w:rPr>
            </w:pPr>
            <w:r>
              <w:rPr>
                <w:spacing w:val="4"/>
              </w:rPr>
              <w:t xml:space="preserve">RBC Capital Markets,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 xml:space="preserve">28,000,000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 xml:space="preserve">28,000,000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863" w:type="dxa"/>
            <w:tcBorders/>
            <w:shd w:fill="CCEEFF" w:val="clear"/>
            <w:tcMar>
              <w:bottom w:w="0" w:type="dxa"/>
            </w:tcMar>
            <w:vAlign w:val="center"/>
          </w:tcPr>
          <w:p>
            <w:pPr>
              <w:pStyle w:val="TableContents"/>
              <w:bidi w:val="0"/>
              <w:spacing w:before="0" w:after="0"/>
              <w:jc w:val="left"/>
              <w:rPr>
                <w:spacing w:val="4"/>
              </w:rPr>
            </w:pPr>
            <w:r>
              <w:rPr>
                <w:spacing w:val="4"/>
              </w:rPr>
              <w:t xml:space="preserve">TD Securities (USA) LLC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 xml:space="preserve">28,000,000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 xml:space="preserve">28,000,000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63" w:type="dxa"/>
            <w:tcBorders/>
            <w:tcMar>
              <w:bottom w:w="0" w:type="dxa"/>
            </w:tcMar>
            <w:vAlign w:val="center"/>
          </w:tcPr>
          <w:p>
            <w:pPr>
              <w:pStyle w:val="TableContents"/>
              <w:bidi w:val="0"/>
              <w:spacing w:before="0" w:after="0"/>
              <w:jc w:val="left"/>
              <w:rPr>
                <w:spacing w:val="4"/>
              </w:rPr>
            </w:pPr>
            <w:r>
              <w:rPr>
                <w:spacing w:val="4"/>
              </w:rPr>
              <w:t xml:space="preserve">Truist Securities,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 xml:space="preserve">28,000,000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 xml:space="preserve">28,000,000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863" w:type="dxa"/>
            <w:tcBorders/>
            <w:shd w:fill="CCEEFF" w:val="clear"/>
            <w:tcMar>
              <w:bottom w:w="0" w:type="dxa"/>
            </w:tcMar>
            <w:vAlign w:val="center"/>
          </w:tcPr>
          <w:p>
            <w:pPr>
              <w:pStyle w:val="TableContents"/>
              <w:bidi w:val="0"/>
              <w:spacing w:before="0" w:after="0"/>
              <w:jc w:val="left"/>
              <w:rPr>
                <w:spacing w:val="4"/>
              </w:rPr>
            </w:pPr>
            <w:r>
              <w:rPr>
                <w:spacing w:val="4"/>
              </w:rPr>
              <w:t xml:space="preserve">U.S. Bancorp Investments,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 xml:space="preserve">28,000,000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 xml:space="preserve">28,000,000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63" w:type="dxa"/>
            <w:tcBorders/>
            <w:tcMar>
              <w:bottom w:w="0" w:type="dxa"/>
            </w:tcMar>
            <w:vAlign w:val="center"/>
          </w:tcPr>
          <w:p>
            <w:pPr>
              <w:pStyle w:val="TableContents"/>
              <w:bidi w:val="0"/>
              <w:spacing w:before="0" w:after="0"/>
              <w:jc w:val="left"/>
              <w:rPr>
                <w:spacing w:val="4"/>
              </w:rPr>
            </w:pPr>
            <w:r>
              <w:rPr>
                <w:spacing w:val="4"/>
              </w:rPr>
              <w:t xml:space="preserve">Credit Agricole Securities (USA)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 xml:space="preserve">12,000,000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 xml:space="preserve">12,000,000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863" w:type="dxa"/>
            <w:tcBorders/>
            <w:shd w:fill="CCEEFF" w:val="clear"/>
            <w:tcMar>
              <w:bottom w:w="0" w:type="dxa"/>
            </w:tcMar>
            <w:vAlign w:val="center"/>
          </w:tcPr>
          <w:p>
            <w:pPr>
              <w:pStyle w:val="TableContents"/>
              <w:bidi w:val="0"/>
              <w:spacing w:before="0" w:after="0"/>
              <w:jc w:val="left"/>
              <w:rPr>
                <w:spacing w:val="4"/>
              </w:rPr>
            </w:pPr>
            <w:r>
              <w:rPr>
                <w:spacing w:val="4"/>
              </w:rPr>
              <w:t xml:space="preserve">Fifth Third Securities,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 xml:space="preserve">12,000,000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 xml:space="preserve">12,000,000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63"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M&amp;T Securities, Inc.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306" w:type="dxa"/>
            <w:tcBorders>
              <w:bottom w:val="single" w:sz="2" w:space="0" w:color="000000"/>
            </w:tcBorders>
            <w:tcMar>
              <w:bottom w:w="50" w:type="dxa"/>
            </w:tcMar>
            <w:vAlign w:val="center"/>
          </w:tcPr>
          <w:p>
            <w:pPr>
              <w:pStyle w:val="TableContents"/>
              <w:bidi w:val="0"/>
              <w:spacing w:before="0" w:after="283"/>
              <w:jc w:val="right"/>
              <w:rPr/>
            </w:pPr>
            <w:r>
              <w:rPr/>
              <w:t xml:space="preserve">12,000,000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306" w:type="dxa"/>
            <w:tcBorders>
              <w:bottom w:val="single" w:sz="2" w:space="0" w:color="000000"/>
            </w:tcBorders>
            <w:tcMar>
              <w:bottom w:w="50" w:type="dxa"/>
            </w:tcMar>
            <w:vAlign w:val="center"/>
          </w:tcPr>
          <w:p>
            <w:pPr>
              <w:pStyle w:val="TableContents"/>
              <w:bidi w:val="0"/>
              <w:spacing w:before="0" w:after="283"/>
              <w:jc w:val="right"/>
              <w:rPr/>
            </w:pPr>
            <w:r>
              <w:rPr/>
              <w:t xml:space="preserve">12,000,000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863" w:type="dxa"/>
            <w:tcBorders/>
            <w:shd w:fill="CCEEFF" w:val="clear"/>
            <w:tcMar>
              <w:bottom w:w="0" w:type="dxa"/>
            </w:tcMar>
            <w:vAlign w:val="center"/>
          </w:tcPr>
          <w:p>
            <w:pPr>
              <w:pStyle w:val="TableContents"/>
              <w:bidi w:val="0"/>
              <w:spacing w:before="0" w:after="0"/>
              <w:jc w:val="left"/>
              <w:rPr>
                <w:spacing w:val="-4"/>
              </w:rPr>
            </w:pPr>
            <w:r>
              <w:rPr>
                <w:spacing w:val="-4"/>
              </w:rPr>
              <w:t xml:space="preserve">Total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306" w:type="dxa"/>
            <w:tcBorders>
              <w:bottom w:val="double" w:sz="8" w:space="0" w:color="000000"/>
            </w:tcBorders>
            <w:shd w:fill="CCEEFF" w:val="clear"/>
            <w:tcMar>
              <w:bottom w:w="50" w:type="dxa"/>
            </w:tcMar>
            <w:vAlign w:val="center"/>
          </w:tcPr>
          <w:p>
            <w:pPr>
              <w:pStyle w:val="TableContents"/>
              <w:bidi w:val="0"/>
              <w:spacing w:before="0" w:after="283"/>
              <w:jc w:val="right"/>
              <w:rPr/>
            </w:pPr>
            <w:r>
              <w:rPr/>
              <w:t>400,000,000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306" w:type="dxa"/>
            <w:tcBorders>
              <w:bottom w:val="double" w:sz="8" w:space="0" w:color="000000"/>
            </w:tcBorders>
            <w:shd w:fill="CCEEFF" w:val="clear"/>
            <w:tcMar>
              <w:bottom w:w="50" w:type="dxa"/>
            </w:tcMar>
            <w:vAlign w:val="center"/>
          </w:tcPr>
          <w:p>
            <w:pPr>
              <w:pStyle w:val="TableContents"/>
              <w:bidi w:val="0"/>
              <w:spacing w:before="0" w:after="283"/>
              <w:jc w:val="right"/>
              <w:rPr/>
            </w:pPr>
            <w:r>
              <w:rPr/>
              <w:t>400,000,000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30" w:before="22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underwriters have agreed to purchase all of the notes sold under the underwriting agreement if any of the notes are purchased. If an underwriter defaults, the underwriting agreement provides that the purchase commitments of the nondefaulting underwriters may be increased or the underwriting agreement may be terminated.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agreed to indemnify the several underwriters against certain liabilities, including liabilities under the Securities Act of 1933, or to contribute to payments the underwriters may be required to make in respect of those liabilities.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underwriters are offering the notes, subject to prior sale, when, as, and if issued to and accepted by them, subject to approval of legal matters by their counsel and other conditions contained in the underwriting agreement, such as the receipt by the underwriters of officers’ certificates and legal opinions. The underwriters reserve the right to withdraw, cancel, or modify offers to the public and to reject orders in whole or in part. </w:t>
      </w:r>
    </w:p>
    <w:p>
      <w:pPr>
        <w:pStyle w:val="TextBody"/>
        <w:bidi w:val="0"/>
        <w:spacing w:lineRule="atLeast" w:line="240" w:before="228"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Commissions and Discounts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underwriters have advised us that they propose initially to offer the notes of each series to the public at the applicable public offering price set forth on the cover page of this prospectus supplement. After the initial offering, the underwriters may change the applicable public offering price and other selling terms for the notes of the applicable series.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shows the underwriting discounts that we have agreed to provide to the underwriters in connection with this offering (expressed as a percentage of the principal amount of each series of notes). </w:t>
      </w:r>
    </w:p>
    <w:tbl>
      <w:tblPr>
        <w:tblW w:w="3165" w:type="dxa"/>
        <w:jc w:val="left"/>
        <w:tblInd w:w="1393" w:type="dxa"/>
        <w:tblLayout w:type="fixed"/>
        <w:tblCellMar>
          <w:top w:w="0" w:type="dxa"/>
          <w:left w:w="0" w:type="dxa"/>
          <w:bottom w:w="28" w:type="dxa"/>
          <w:right w:w="0" w:type="dxa"/>
        </w:tblCellMar>
      </w:tblPr>
      <w:tblGrid>
        <w:gridCol w:w="1593"/>
        <w:gridCol w:w="109"/>
        <w:gridCol w:w="109"/>
        <w:gridCol w:w="112"/>
        <w:gridCol w:w="112"/>
        <w:gridCol w:w="864"/>
        <w:gridCol w:w="112"/>
        <w:gridCol w:w="154"/>
      </w:tblGrid>
      <w:tr>
        <w:trPr/>
        <w:tc>
          <w:tcPr>
            <w:tcW w:w="159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0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Paid by Us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593" w:type="dxa"/>
            <w:tcBorders/>
            <w:shd w:fill="CCEEFF" w:val="clear"/>
            <w:tcMar>
              <w:bottom w:w="0" w:type="dxa"/>
            </w:tcMar>
            <w:vAlign w:val="center"/>
          </w:tcPr>
          <w:p>
            <w:pPr>
              <w:pStyle w:val="TableContents"/>
              <w:bidi w:val="0"/>
              <w:spacing w:before="0" w:after="0"/>
              <w:jc w:val="left"/>
              <w:rPr>
                <w:spacing w:val="4"/>
              </w:rPr>
            </w:pPr>
            <w:r>
              <w:rPr>
                <w:spacing w:val="4"/>
              </w:rPr>
              <w:t xml:space="preserve">Per 2032 Note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864" w:type="dxa"/>
            <w:tcBorders/>
            <w:shd w:fill="CCEEFF" w:val="clear"/>
            <w:tcMar>
              <w:bottom w:w="0" w:type="dxa"/>
            </w:tcMar>
            <w:vAlign w:val="center"/>
          </w:tcPr>
          <w:p>
            <w:pPr>
              <w:pStyle w:val="TableContents"/>
              <w:bidi w:val="0"/>
              <w:spacing w:before="0" w:after="283"/>
              <w:jc w:val="right"/>
              <w:rPr/>
            </w:pPr>
            <w:r>
              <w:rPr/>
              <w:t>0.350%</w:t>
            </w:r>
          </w:p>
        </w:tc>
        <w:tc>
          <w:tcPr>
            <w:tcW w:w="11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93" w:type="dxa"/>
            <w:tcBorders/>
            <w:tcMar>
              <w:bottom w:w="0" w:type="dxa"/>
            </w:tcMar>
            <w:vAlign w:val="center"/>
          </w:tcPr>
          <w:p>
            <w:pPr>
              <w:pStyle w:val="TableContents"/>
              <w:bidi w:val="0"/>
              <w:spacing w:before="0" w:after="0"/>
              <w:jc w:val="left"/>
              <w:rPr>
                <w:spacing w:val="4"/>
              </w:rPr>
            </w:pPr>
            <w:r>
              <w:rPr>
                <w:spacing w:val="4"/>
              </w:rPr>
              <w:t xml:space="preserve">Per 2036 Note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864" w:type="dxa"/>
            <w:tcBorders/>
            <w:tcMar>
              <w:bottom w:w="0" w:type="dxa"/>
            </w:tcMar>
            <w:vAlign w:val="center"/>
          </w:tcPr>
          <w:p>
            <w:pPr>
              <w:pStyle w:val="TableContents"/>
              <w:bidi w:val="0"/>
              <w:spacing w:before="0" w:after="283"/>
              <w:jc w:val="right"/>
              <w:rPr/>
            </w:pPr>
            <w:r>
              <w:rPr/>
              <w:t>0.450%</w:t>
            </w:r>
          </w:p>
        </w:tc>
        <w:tc>
          <w:tcPr>
            <w:tcW w:w="11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expenses of this offering, excluding the underwriting discounts, are estimated at approximately $1.9 million and will be paid by us.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New Issues of Notes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series of notes is a new issue of securities with no established trading market. We do not intend to apply for listing of the notes of either series on any national securities exchange or for quotation of the notes of either series on any automated dealer quotation system. We have been advised by the underwriters that they presently intend to make a market in the notes of each series after completion of this offering. However, they are under no obligation to do so and may discontinue any market-making activities at any time without any notice. We cannot assure you that an active public trading market for the notes of either series will develop or be maintained or be liquid. If an active public trading market for the notes of either series does not develop or is not maintained, the market price and liquidity of those notes may be adversely affected.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Price Stabilization and Short Positions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this offering, the representatives, on behalf of the underwriters, may purchase and sell notes in the open market. These transactions may include overallotment, syndicate covering transactions, and stabilizing transactions. Overallotment involves syndicate sales of notes of the applicable series in excess of the principal amount of the notes of that series to be purchased by the underwriters in this offering, which creates a syndicate short position. Syndicate covering transactions involve purchases of notes of the applicable series in the open market after the distribution of the notes of that series has been completed in order to cover syndicate short positions. Stabilizing transactions consist of certain bids or purchases of notes of the applicable series made for the purpose of preventing or retarding a decline in the market price of such notes while the offering of such notes is in progress.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underwriters also may impose a penalty bid. Penalty bids permit the underwriters to reclaim a selling concession from a syndicate member when the representatives, in covering syndicate short positions or making stabilizing purchases, repurchase notes originally sold by that syndicate member.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of these activities may have the effect of raising or maintaining the market price of the notes of the applicable series or preventing or retarding a decline in the market price of such notes. As a result, the price of such notes may be higher than the price that might otherwise exist in the open market in the absence of these transactions. The underwriters may conduct these transactions in the over-the-counter market or otherwise. If the underwriters commence any of these transactions, they may discontinue them at any time without notice.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Extended Settlement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expect that the delivery of the notes will be made against payment therefor on or about the settlement date specified on the cover page of this prospectus supplement, which will be the fifth business day following the date of pricing of the notes (such settlement cycle being referred to herein as “T+5”). Under Rule 15c6-1 under the Exchange Act, trades in the secondary market generally are required to settle in one business day, unless the parties to that trade expressly agree otherwise. Accordingly, purchasers who wish to trade the notes prior to the date that is one business day preceding the settlement date will be required, by virtue of the fact that the notes initially will settle in T+5, to specify an alternate settlement cycle at the time of any such trade to prevent a failed settlement. Purchasers of the notes who wish to trade the notes prior to such date should consult their advisors.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Conflicts of Interest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of the underwriters and affiliates of certain of the underwriters may be holders of our 2026 Notes. If the net proceeds of this offering are used to repay all or a portion of our 2026 Notes, any such underwriter or its affiliates may receive more than 5% of the proceeds of this offering (not including the underwriting discounts). In such event, such underwriter(s) would have a “conflict of interest” pursuant to FINRA Rule 5121 and, in compliance with FINRA Rule 5121, will not confirm sales to accounts in which it exercises discretionary authority without the prior written consent of the customer. However, because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notes are investment grade rated, no “qualified independent underwriter” is required to be appointed in connection with this offering.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Other Relationships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underwriters and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have performed, and expect in the future to perform, investment banking and advisory services for which they have received, and may continue to receive, customary fees and expenses, and affiliates of the underwriters have performed, and expect in the future to perform, commercial lending services, for us and our affiliates from time to time.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Affiliates of certain of the underwriters are lenders under various financial arrangements extended to us or our affiliates, including our $5.0 billion senior unsecured revolving credit facility and our $3.5 billion unsecured revolving credit facility.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Further,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If any of the underwriters or their affiliates has a lending relationship with us, certain of those underwriters or their affiliates routinely hedge, and certain other of those underwriters or their affiliates may hedge, their credit exposure to us consistent with their customary risk management policies. Typically, these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the future trading prices of the notes offered hereby.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Selling Restrictions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Notice to Prospective Investors in Canada</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notes must be made in accordance with an exemption from, or in a transaction not subject to, the prospectus requirements of applicable securities laws.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Securities legislation in certain provinces or territories of Canada may provide a purchaser of the notes with remedies for rescission or damages if this prospectus supplement or the accompanying prospectus (including any amendment hereto or thereto) contains a misrepresentation, provided that the remedies for rescission or damages are exercised by the purchaser within the time limit prescribed by the securities legislation of such purchaser’s province or territory. Such purchaser should refer to any applicable provisions of the securities legislation of the purchaser’s province or territory for particulars of these rights or consult with a legal advisor.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section 3A.3 of National Instrument 33-105 Underwriting Conflicts (“NI 33-105”), the underwriters are not required to comply with the disclosure requirements of NI 33-105 regarding underwriter conflicts of interest in connection with this offering.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Notice to Prospective Investors in the European Economic Area</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None of this prospectus supplement, the accompanying prospectus and any related free writing prospectus is a prospectus for the purposes of Regulation (EU) 2017/1129, as amended (the “Prospectus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Regulation”). This prospectus supplement, the accompanying prospectus and any related free writing prospectus have been prepared on the basis that any offer of notes in any Member State of the European Economic Area (the “EEA”) will only be made to a legal entity which is a qualified investor under the Prospectus Regulation (each, an “EEA Qualified Investor”). Accordingly, any person making or intending to make an offer in any Member State of the EEA of notes which are the subject of the offering contemplated in this prospectus supplement, the accompanying prospectus and any related free writing prospectus may only do so with respect to EEA Qualified Investors. Neither Simon Property Group, L.P. nor the underwriters have authorized, nor do they authorize, the making of any offer of notes in the EEA other than to EEA Qualified Investors.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PROHIBITION OF SALES TO EEA RETAIL INVESTORS</w:t>
      </w:r>
      <w:r>
        <w:rPr>
          <w:rFonts w:ascii="Times New Roman;Times;serif" w:hAnsi="Times New Roman;Times;serif"/>
          <w:b w:val="false"/>
          <w:i w:val="false"/>
          <w:caps w:val="false"/>
          <w:smallCaps w:val="false"/>
          <w:color w:val="000000"/>
          <w:spacing w:val="4"/>
          <w:sz w:val="20"/>
        </w:rPr>
        <w:t xml:space="preserve"> — The notes are not intended to be offered, sold or otherwise made available to and should not be offered, sold or otherwise made available to any retail investor in the EEA. For these purposes, (a) the expression a “retail investor” means a person who is one (or more) of: (i) a retail client as defined in point (11) of Article 4(1) of Directive 2014/65/EU, as amended (“MiFID II”); (ii) a customer within the meaning of Directive (EU) 2016/97, as amended, where that customer would not qualify as a professional client as defined in point (10) of Article 4(1) of MiFID II; or (iii) not an EEA Qualified Investor; and (b) the expression “offer” includes the communication in any form and by any means of sufficient information on the terms of the offer and the notes to be offered so as to enable an investor to decide to purchase or subscribe for the notes.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Notice to Prospective Investors in the United Kingdom</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None of this prospectus supplement, the accompanying prospectus and any related free writing prospectus is a prospectus for the purposes of the United Kingdom Financial Conduct Authority’s (“FCA”) Prospectus Rules: Admission to Trading on a Regulated Market sourcebook. This prospectus supplement, the accompanying prospectus and any related free writing prospectus have been prepared on the basis that any offer of notes in the United Kingdom will only be made to a legal entity which is a qualified investor under paragraph 15 of Schedule 1 to the Public Offers and Admissions to Trading Regulations 2024 (each, a “UK Qualified Investor”). Accordingly, any person making or intending to make an offer in the United Kingdom of notes which are the subject of the offering contemplated in this prospectus supplement, the accompanying prospectus and any related free writing prospectus may only do so with respect to UK Qualified Investors. Neither Simon Property Group, L.P. nor the underwriters have authorized, nor do they authorize, the making of any offer of notes in the United Kingdom other than to UK Qualified Investors.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PROHIBITION OF SALES TO UNITED KINGDOM RETAIL INVESTORS —</w:t>
      </w:r>
      <w:r>
        <w:rPr>
          <w:rFonts w:ascii="Times New Roman;Times;serif" w:hAnsi="Times New Roman;Times;serif"/>
          <w:b w:val="false"/>
          <w:i w:val="false"/>
          <w:caps w:val="false"/>
          <w:smallCaps w:val="false"/>
          <w:color w:val="000000"/>
          <w:spacing w:val="4"/>
          <w:sz w:val="20"/>
        </w:rPr>
        <w:t xml:space="preserve"> The notes are not intended to be offered, sold, distributed or otherwise made available to and should not be offered, sold, distributed or otherwise made available to any retail investor in the United Kingdom. For these purposes, (a) the expression “retail investor” means a person who is either one (or both) of the following: (i) not a professional client, as defined in point (8) of Article 2(1) of Regulation (EU) No 600/2014 as it forms part of domestic law in the United Kingdom; or (ii) not a UK Qualified Investor; and (b) the expression “offer” includes the communication in any form and by any means of sufficient information on the terms of the offer and the notes to be offered so as to enable an investor to decide to buy or subscribe for the notes. Consequently, no disclosure document required by the FCA Product Disclosure Sourcebook (“DISC”) for offering, selling or distributing the notes or otherwise making them available to retail investors in the United Kingdom has been prepared and therefore offering, selling or distributing the notes or otherwise making them available to any retail investor in the United Kingdom may be unlawful under the DISC and the Consumer Composite Investments (Designated Activities) Regulations 2024.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applicable provisions of the Financial Services and Markets Act 2000, as amended (the “FSMA”) must be complied with in respect to anything done by any person in relation to the notes in, from or otherwise involving the United Kingdom.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invitation or inducement to engage in investment activity (within the meaning of Section 21 of the FSMA) in connection with the issue or sale of the notes may only be communicated or caused to be communicated in circumstances in which Section 21(1) of the FSMA does not apply to Simon Property Group, L.P.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communication of this prospectus supplement, the accompanying prospectus, any related free writing prospectus and any other documents and/or materials relating to the issue of the notes offered hereby is not being made, and this prospectus supplement, the accompanying prospectus, any related free writing prospectus and such other documents and/or materials have not been approved, by an authorized person for the purposes of Section 21 of the FSMA. Accordingly, this prospectus supplement, the accompanying prospectus, any related free writing prospectus and such other documents and/or materials are not being distributed to, and must not be passed on to, the general public in the United Kingdom. This prospectus supplement, the accompanying prospectus, any related free writing prospectus and such other documents and/or materials are for distribution only to persons who (i) have professional experience in matters relating to investments and who fall within the definition of investment professionals (as defined in Article 19(5) of the Financial Services and Markets Act 2000 (Financial Promotion) Order 2005, as amended (the “Financial Promotion Order”)), (ii) fall within Article 49(2)(a) to (d) of the Financial Promotion Order, (iii) are outside the United Kingdom, or (iv) are any other persons to whom it may otherwise lawfully be communicated or distributed under the Financial Promotion Order (all such persons together being referred to as “relevant persons”). This prospectus supplement, the accompanying prospectus, any related free writing prospectus and any such other documents and/or materials are directed only at relevant persons and must not be acted on or relied on by persons who are not relevant persons. Any investment or investment activity to which this prospectus supplement, the accompanying prospectus, any related free writing prospectus and any such other documents and/or materials relate will be engaged in only with relevant persons. Any person in the United Kingdom that is not a relevant person should not act or rely on this prospectus supplement, the accompanying prospectus, any related free writing prospectus, or any other documents and/or materials relating to the issue of the notes offered hereby or any of their contents.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Notice to Prospective Investors in France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Neither this prospectus supplement nor any other offering material relating to the notes described in this prospectus supplement nor the accompanying prospectus has been submitted to the clearance procedures of the </w:t>
      </w:r>
      <w:r>
        <w:rPr>
          <w:rFonts w:ascii="Times New Roman;Times;serif" w:hAnsi="Times New Roman;Times;serif"/>
          <w:b w:val="false"/>
          <w:i/>
          <w:caps w:val="false"/>
          <w:smallCaps w:val="false"/>
          <w:color w:val="000000"/>
          <w:spacing w:val="4"/>
          <w:sz w:val="20"/>
        </w:rPr>
        <w:t>Autorité des Marchés Financiers</w:t>
      </w:r>
      <w:r>
        <w:rPr>
          <w:rFonts w:ascii="Times New Roman;Times;serif" w:hAnsi="Times New Roman;Times;serif"/>
          <w:b w:val="false"/>
          <w:i w:val="false"/>
          <w:caps w:val="false"/>
          <w:smallCaps w:val="false"/>
          <w:color w:val="000000"/>
          <w:spacing w:val="4"/>
          <w:sz w:val="20"/>
        </w:rPr>
        <w:t xml:space="preserve"> or of the competent authority of another member state of the European Economic Area and notified to the </w:t>
      </w:r>
      <w:r>
        <w:rPr>
          <w:rFonts w:ascii="Times New Roman;Times;serif" w:hAnsi="Times New Roman;Times;serif"/>
          <w:b w:val="false"/>
          <w:i/>
          <w:caps w:val="false"/>
          <w:smallCaps w:val="false"/>
          <w:color w:val="000000"/>
          <w:spacing w:val="4"/>
          <w:sz w:val="20"/>
        </w:rPr>
        <w:t>Autorité des Marchés Financiers</w:t>
      </w:r>
      <w:r>
        <w:rPr>
          <w:rFonts w:ascii="Times New Roman;Times;serif" w:hAnsi="Times New Roman;Times;serif"/>
          <w:b w:val="false"/>
          <w:i w:val="false"/>
          <w:caps w:val="false"/>
          <w:smallCaps w:val="false"/>
          <w:color w:val="000000"/>
          <w:spacing w:val="4"/>
          <w:sz w:val="20"/>
        </w:rPr>
        <w:t xml:space="preserve">. The notes have not been offered or sold, and will not be offered or sold, directly or indirectly, to the public in France. Neither this prospectus supplement nor any other offering material relating to the notes nor the accompanying prospectus has been or will be: </w:t>
      </w:r>
    </w:p>
    <w:p>
      <w:pPr>
        <w:pStyle w:val="TextBody"/>
        <w:bidi w:val="0"/>
        <w:spacing w:lineRule="atLeast" w:line="240" w:before="13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released, issued, distributed or caused to be released, issued or distributed to the public in France; or </w:t>
      </w:r>
      <w:r>
        <mc:AlternateContent>
          <mc:Choice Requires="wps">
            <w:drawing>
              <wp:anchor behindDoc="0" distT="85090" distB="0" distL="254000" distR="0" simplePos="0" locked="0" layoutInCell="1" allowOverlap="1" relativeHeight="64">
                <wp:simplePos x="0" y="0"/>
                <wp:positionH relativeFrom="column">
                  <wp:align>left</wp:align>
                </wp:positionH>
                <wp:positionV relativeFrom="line">
                  <wp:align>top</wp:align>
                </wp:positionV>
                <wp:extent cx="127000" cy="350520"/>
                <wp:effectExtent l="0" t="0" r="0" b="0"/>
                <wp:wrapSquare wrapText="right"/>
                <wp:docPr id="61" name="Frame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7pt;mso-wrap-distance-bottom:0pt;margin-top:6.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used in connection with any offer for subscription or sale of the notes to the public in France. </w:t>
      </w:r>
      <w:r>
        <mc:AlternateContent>
          <mc:Choice Requires="wps">
            <w:drawing>
              <wp:anchor behindDoc="0" distT="88900" distB="0" distL="254000" distR="0" simplePos="0" locked="0" layoutInCell="1" allowOverlap="1" relativeHeight="65">
                <wp:simplePos x="0" y="0"/>
                <wp:positionH relativeFrom="column">
                  <wp:align>left</wp:align>
                </wp:positionH>
                <wp:positionV relativeFrom="line">
                  <wp:align>top</wp:align>
                </wp:positionV>
                <wp:extent cx="127000" cy="350520"/>
                <wp:effectExtent l="0" t="0" r="0" b="0"/>
                <wp:wrapSquare wrapText="right"/>
                <wp:docPr id="62" name="Frame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offers, sales and distributions will be made in France only: </w:t>
      </w:r>
    </w:p>
    <w:p>
      <w:pPr>
        <w:pStyle w:val="TextBody"/>
        <w:bidi w:val="0"/>
        <w:spacing w:lineRule="atLeast" w:line="240" w:before="134" w:after="0"/>
        <w:ind w:left="1993" w:right="0" w:hanging="0"/>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val="false"/>
          <w:caps w:val="false"/>
          <w:smallCaps w:val="false"/>
          <w:color w:val="000000"/>
          <w:spacing w:val="4"/>
          <w:sz w:val="20"/>
        </w:rPr>
        <w:t>to qualified investors (</w:t>
      </w:r>
      <w:r>
        <w:rPr>
          <w:rFonts w:ascii="Times New Roman;Times;serif" w:hAnsi="Times New Roman;Times;serif"/>
          <w:b w:val="false"/>
          <w:i/>
          <w:caps w:val="false"/>
          <w:smallCaps w:val="false"/>
          <w:color w:val="000000"/>
          <w:spacing w:val="4"/>
          <w:sz w:val="20"/>
        </w:rPr>
        <w:t>investisseurs qualifiés</w:t>
      </w:r>
      <w:r>
        <w:rPr>
          <w:rFonts w:ascii="Times New Roman;Times;serif" w:hAnsi="Times New Roman;Times;serif"/>
          <w:b w:val="false"/>
          <w:i w:val="false"/>
          <w:caps w:val="false"/>
          <w:smallCaps w:val="false"/>
          <w:color w:val="000000"/>
          <w:spacing w:val="4"/>
          <w:sz w:val="20"/>
        </w:rPr>
        <w:t>) and/or to a restricted circle of investors (</w:t>
      </w:r>
      <w:r>
        <w:rPr>
          <w:rFonts w:ascii="Times New Roman;Times;serif" w:hAnsi="Times New Roman;Times;serif"/>
          <w:b w:val="false"/>
          <w:i/>
          <w:caps w:val="false"/>
          <w:smallCaps w:val="false"/>
          <w:color w:val="000000"/>
          <w:spacing w:val="4"/>
          <w:sz w:val="20"/>
        </w:rPr>
        <w:t>cercle restreint d’investisseurs</w:t>
      </w:r>
      <w:r>
        <w:rPr>
          <w:rFonts w:ascii="Times New Roman;Times;serif" w:hAnsi="Times New Roman;Times;serif"/>
          <w:b w:val="false"/>
          <w:i w:val="false"/>
          <w:caps w:val="false"/>
          <w:smallCaps w:val="false"/>
          <w:color w:val="000000"/>
          <w:spacing w:val="4"/>
          <w:sz w:val="20"/>
        </w:rPr>
        <w:t xml:space="preserve">), in each case investing for their own account, all as defined in, and in accordance with, articles L.411-2, D.411-1, D.411-2, D.734-1, D.744-1, D.754-1 and D.764-1 of the French Code </w:t>
      </w:r>
      <w:r>
        <w:rPr>
          <w:rFonts w:ascii="Times New Roman;Times;serif" w:hAnsi="Times New Roman;Times;serif"/>
          <w:b w:val="false"/>
          <w:i/>
          <w:caps w:val="false"/>
          <w:smallCaps w:val="false"/>
          <w:color w:val="000000"/>
          <w:spacing w:val="4"/>
          <w:sz w:val="20"/>
        </w:rPr>
        <w:t>monétaire et financier</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85090" distB="0" distL="254000" distR="0" simplePos="0" locked="0" layoutInCell="1" allowOverlap="1" relativeHeight="66">
                <wp:simplePos x="0" y="0"/>
                <wp:positionH relativeFrom="column">
                  <wp:align>left</wp:align>
                </wp:positionH>
                <wp:positionV relativeFrom="line">
                  <wp:align>top</wp:align>
                </wp:positionV>
                <wp:extent cx="127000" cy="350520"/>
                <wp:effectExtent l="0" t="0" r="0" b="0"/>
                <wp:wrapSquare wrapText="right"/>
                <wp:docPr id="63" name="Frame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aps w:val="false"/>
                                <w:smallCaps w:val="false"/>
                                <w:spacing w:val="4"/>
                              </w:rPr>
                              <w:t>•</w:t>
                            </w:r>
                            <w:r>
                              <w:rPr/>
                              <w:t xml:space="preserve"> </w:t>
                            </w:r>
                            <w:r>
                              <w:rPr>
                                <w:i/>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7pt;mso-wrap-distance-bottom:0pt;margin-top:6.7pt;mso-position-vertical:top;mso-position-vertical-relative:text;margin-left:20pt;mso-position-horizontal:left;mso-position-horizontal-relative:text">
                <v:textbox>
                  <w:txbxContent>
                    <w:p>
                      <w:pPr>
                        <w:pStyle w:val="TextBody"/>
                        <w:bidi w:val="0"/>
                        <w:spacing w:lineRule="atLeast" w:line="240" w:before="0" w:after="283"/>
                        <w:jc w:val="left"/>
                        <w:rPr/>
                      </w:pPr>
                      <w:r>
                        <w:rPr>
                          <w:caps w:val="false"/>
                          <w:smallCaps w:val="false"/>
                          <w:spacing w:val="4"/>
                        </w:rPr>
                        <w:t>•</w:t>
                      </w:r>
                      <w:r>
                        <w:rPr/>
                        <w:t xml:space="preserve"> </w:t>
                      </w:r>
                      <w:r>
                        <w:rPr>
                          <w:i/>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investment services providers authorized to engage in portfolio management on behalf of third parties; or </w:t>
      </w:r>
      <w:r>
        <mc:AlternateContent>
          <mc:Choice Requires="wps">
            <w:drawing>
              <wp:anchor behindDoc="0" distT="88900" distB="0" distL="254000" distR="0" simplePos="0" locked="0" layoutInCell="1" allowOverlap="1" relativeHeight="67">
                <wp:simplePos x="0" y="0"/>
                <wp:positionH relativeFrom="column">
                  <wp:align>left</wp:align>
                </wp:positionH>
                <wp:positionV relativeFrom="line">
                  <wp:align>top</wp:align>
                </wp:positionV>
                <wp:extent cx="127000" cy="350520"/>
                <wp:effectExtent l="0" t="0" r="0" b="0"/>
                <wp:wrapSquare wrapText="right"/>
                <wp:docPr id="64" name="Frame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in a transaction that, in accordance with article L.411-2-II-1°-or-2°-or 3° of the French Code </w:t>
      </w:r>
      <w:r>
        <w:rPr>
          <w:rFonts w:ascii="Times New Roman;Times;serif" w:hAnsi="Times New Roman;Times;serif"/>
          <w:b w:val="false"/>
          <w:i/>
          <w:caps w:val="false"/>
          <w:smallCaps w:val="false"/>
          <w:color w:val="000000"/>
          <w:spacing w:val="4"/>
          <w:sz w:val="20"/>
        </w:rPr>
        <w:t xml:space="preserve">monétaire et financier </w:t>
      </w:r>
      <w:r>
        <w:rPr>
          <w:rFonts w:ascii="Times New Roman;Times;serif" w:hAnsi="Times New Roman;Times;serif"/>
          <w:b w:val="false"/>
          <w:i w:val="false"/>
          <w:caps w:val="false"/>
          <w:smallCaps w:val="false"/>
          <w:color w:val="000000"/>
          <w:spacing w:val="4"/>
          <w:sz w:val="20"/>
        </w:rPr>
        <w:t>and article 211-2 of the General Regulations (</w:t>
      </w:r>
      <w:r>
        <w:rPr>
          <w:rFonts w:ascii="Times New Roman;Times;serif" w:hAnsi="Times New Roman;Times;serif"/>
          <w:b w:val="false"/>
          <w:i/>
          <w:caps w:val="false"/>
          <w:smallCaps w:val="false"/>
          <w:color w:val="000000"/>
          <w:spacing w:val="4"/>
          <w:sz w:val="20"/>
        </w:rPr>
        <w:t>Règlement Général</w:t>
      </w:r>
      <w:r>
        <w:rPr>
          <w:rFonts w:ascii="Times New Roman;Times;serif" w:hAnsi="Times New Roman;Times;serif"/>
          <w:b w:val="false"/>
          <w:i w:val="false"/>
          <w:caps w:val="false"/>
          <w:smallCaps w:val="false"/>
          <w:color w:val="000000"/>
          <w:spacing w:val="4"/>
          <w:sz w:val="20"/>
        </w:rPr>
        <w:t xml:space="preserve">) of the </w:t>
      </w:r>
      <w:r>
        <w:rPr>
          <w:rFonts w:ascii="Times New Roman;Times;serif" w:hAnsi="Times New Roman;Times;serif"/>
          <w:b w:val="false"/>
          <w:i/>
          <w:caps w:val="false"/>
          <w:smallCaps w:val="false"/>
          <w:color w:val="000000"/>
          <w:spacing w:val="4"/>
          <w:sz w:val="20"/>
        </w:rPr>
        <w:t>Autorité des Marchés Financiers</w:t>
      </w:r>
      <w:r>
        <w:rPr>
          <w:rFonts w:ascii="Times New Roman;Times;serif" w:hAnsi="Times New Roman;Times;serif"/>
          <w:b w:val="false"/>
          <w:i w:val="false"/>
          <w:caps w:val="false"/>
          <w:smallCaps w:val="false"/>
          <w:color w:val="000000"/>
          <w:spacing w:val="4"/>
          <w:sz w:val="20"/>
        </w:rPr>
        <w:t>, does not constitute a public offer (</w:t>
      </w:r>
      <w:r>
        <w:rPr>
          <w:rFonts w:ascii="Times New Roman;Times;serif" w:hAnsi="Times New Roman;Times;serif"/>
          <w:b w:val="false"/>
          <w:i/>
          <w:caps w:val="false"/>
          <w:smallCaps w:val="false"/>
          <w:color w:val="000000"/>
          <w:spacing w:val="4"/>
          <w:sz w:val="20"/>
        </w:rPr>
        <w:t>appel public à l’épargne</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88900" distB="0" distL="254000" distR="0" simplePos="0" locked="0" layoutInCell="1" allowOverlap="1" relativeHeight="68">
                <wp:simplePos x="0" y="0"/>
                <wp:positionH relativeFrom="column">
                  <wp:align>left</wp:align>
                </wp:positionH>
                <wp:positionV relativeFrom="line">
                  <wp:align>top</wp:align>
                </wp:positionV>
                <wp:extent cx="127000" cy="350520"/>
                <wp:effectExtent l="0" t="0" r="0" b="0"/>
                <wp:wrapSquare wrapText="right"/>
                <wp:docPr id="65" name="Frame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aps w:val="false"/>
                                <w:smallCaps w:val="false"/>
                                <w:spacing w:val="4"/>
                              </w:rPr>
                              <w:t>•</w:t>
                            </w:r>
                            <w:r>
                              <w:rPr/>
                              <w:t xml:space="preserve"> </w:t>
                            </w:r>
                            <w:r>
                              <w:rPr>
                                <w:i/>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caps w:val="false"/>
                          <w:smallCaps w:val="false"/>
                          <w:spacing w:val="4"/>
                        </w:rPr>
                        <w:t>•</w:t>
                      </w:r>
                      <w:r>
                        <w:rPr/>
                        <w:t xml:space="preserve"> </w:t>
                      </w:r>
                      <w:r>
                        <w:rPr>
                          <w:i/>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notes may be resold directly or indirectly, only in compliance with articles L.411-1, L.411-2, L.412-1 and L.621-8 through L.621-8-3 of the French Code </w:t>
      </w:r>
      <w:r>
        <w:rPr>
          <w:rFonts w:ascii="Times New Roman;Times;serif" w:hAnsi="Times New Roman;Times;serif"/>
          <w:b w:val="false"/>
          <w:i/>
          <w:caps w:val="false"/>
          <w:smallCaps w:val="false"/>
          <w:color w:val="000000"/>
          <w:spacing w:val="4"/>
          <w:sz w:val="20"/>
        </w:rPr>
        <w:t>monétaire et financier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Notice to Prospective Investors in Hong Kong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have not been offered or sold and will not be offered or sold in Hong Kong by means of any document other than (i) to “professional investors” as defined in the Securities and Futures Ordinance (Cap. 571) of Hong Kong (the “SFO”) and any rules made under the SFO, or (ii) in other circumstances which do not result in the document being a “prospectus” as defined in the Companies (Winding Up and Miscellaneous Provisions) Ordinance (Cap. 32) of Hong Kong (the “C(WUMP)O”) or which do not constitute an offer to the public within the meaning of the C(WUMP)O; and no advertisement, invitation or document relating to the notes has been or will be issued or has been or will be in the possession of any person for the purposes of issue (in each case whether in Hong Kong or elsewhere), which is directed at, or the contents of which are likely to be accessed or read by, the public of Hong Kong (except if permitted to do so under the securities laws of Hong Kong) other than with respect to notes which are or are intended to be disposed of only to persons outside Hong Kong or only to “professional investors” as defined in the SFO and any rules made under the SFO.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Notice to Prospective Investors in Singapore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this prospectus supplement nor the accompanying prospectus has been or will be registered as a prospectus under the Securities and Futures Act 2001 (the “SFA”) by the Monetary Authority of Singapore, and the offer of the notes in Singapore is made primarily pursuant to the exemptions under Sections 274 and 275 of the SFA. Accordingly, this prospectus supplement, the accompanying prospectus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 (i) to an institutional investor as defined in Section 4A of the SFA (an “Institutional Investor”) pursuant to Section 274 of the SFA, (ii) to an accredited investor as defined in Section 4A of the SFA (an “Accredited Investor”) or other relevant person as defined in Section 275(2) of the SFA (a “Relevant Person”) and pursuant to Section 275(1) of the SFA, or to any person pursuant to an offer referred to in Section 275(1A) of the SFA, and in accordance with the conditions specified in Section 275 of the SFA, and (where applicable) Regulation 3 of the Securities and Futures (Classes of Investors) Regulations 2018, or (iii) otherwise pursuant to, and in accordance with, the conditions of any other applicable exemption or provision of the SFA.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 is a condition of the offer that where the notes are subscribed for or acquired pursuant to an offer made in reliance on Section 275 of the SFA by a Relevant Person which is: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a corporation (which is not an Accredited Investor), the sole business of which is to hold investments and the entire share capital of which is owned by one or more individuals, each of whom is an Accredited Investor; or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a trust (where the trustee is not an Accredited Investor), the sole purpose of which is to hold investments and each beneficiary of the trust is an individual who is an Accredited Investor, securities or securities-based derivatives contracts (each as defined in Section 2(1) of the SFA) of that corporation and the beneficiaries’ rights and interest (howsoever described) in that trust shall not be transferred within six months after that corporation or that trust has subscribed for or acquired the notes except: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to an Institutional Investor, an Accredited Investor, a Relevant Person, or which arises from an offer referred to in Section 275(1A) of the SFA (in the case of that corporation) or Section 276(4)(c)(ii) of the SFA (in the case of that trust); </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   where no consideration is or will be given for the transfer; </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   where the transfer is by operation of law; or </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(4)   as specified in Section 276(7) of the SFA.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Singapore SFA Product Classification — Solely for the purposes of our obligations pursuant to Sections 309B(1)(a) and 309B(1)(c) of the SFA, we have determined, and hereby notify all relevant persons (as defined in Section 309A of the SFA) that the notes are “prescribed capital markets products” ​(as defined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 w:name="sLEMA2"/>
      <w:bookmarkEnd w:id="1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4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Securities and Futures (Capital Markets Products) Regulations 2018) and “Excluded Investment Products” ​(as defined in MAS Notice SFA 04-N12: Notice on the Sale of Investment Products and MAS Notice FAA-N16: Notice on Recommendations on Investment Products).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Notice to Prospective Investors in Switzerland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may not be publicly offered, directly or indirectly, in Switzerland within the meaning of the Swiss Financial Services Act (“FinSA”) and no application has or will be made to admit the notes to trading on any trading venue (exchange or multilateral trading facility) in Switzerland. Neither this prospectus supplement, the accompanying prospectus nor any other offering or marketing material relating to the notes constitutes a prospectus pursuant to the FinSA, and neither this prospectus supplement, the accompanying prospectus nor any other offering or marketing material relating to the notes may be publicly distributed or otherwise made publicly available in Switzerland.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Notice to Prospective Investors in the United Arab Emirates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supplement and the accompanying prospectus do not constitute a public offer of securities in the United Arab Emirates (including the Dubai International Financial Centre) and are not intended to be a public offer. This prospectus supplement and the accompanying prospectus have not been approved by or filed with the Central Bank of the United Arab Emirates, the Securities and Commodities Authority, the Dubai Financial Services Authority or any other relevant licensing authority in the United Arab Emirates.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Notice to Prospective Investors in the Dubai International Financial Centre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and the accompanying prospectus relate to an Exempt Offer in accordance with the Markets Rules (MKT) Module of the Dubai Financial Services Authority (“DFSA”). This prospectus supplement and the accompanying prospectus are intended for distribution only to persons who meet the Professional Client criteria set out in Rule 2.3 of the Conduct of Business Module of the DFSA. They must not be delivered to, or relied on by, any other person. The DFSA has no responsibility for reviewing or verifying any documents in connection with Exempt Offers. The DFSA has not approved this prospectus supplement or the accompanying prospectus nor taken steps to verify the information set forth herein or therein and has no responsibility for this prospectus supplement and the accompanying prospectus. The securities to which this prospectus supplement and the accompanying prospectus relate may be illiquid and/or subject to restrictions on their resale. Prospective purchasers of the notes offered hereby should conduct their own due diligence on the notes. If you do not understand the contents of this prospectus supplement and the accompanying prospectus, you should consult an authorized financial advisor.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relation to their use in the Dubai International Financial Centre, this prospectus supplement and the accompanying prospectus are strictly private and confidential and are being distributed to a limited number of investors and must not be provided to any person other than the original recipient, and may not be reproduced or used for any other purpose. The interests in the notes may not be offered or sold directly or indirectly to the public in the Dubai International Financial Centre.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validity of the notes and certain U.S. federal income tax matters will be passed upon for us by Latham &amp; Watkins LLP, Los Angeles, California. Barnes &amp; Thornburg LLP, Indianapolis, Indiana, will act as special Indiana counsel for us in this offering. Sidley Austin LLP, New York, New York, will act as counsel to the underwriters in this offering.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sEXP2"/>
      <w:bookmarkEnd w:id="1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4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Ernst &amp; Young LLP, independent registered public accounting firm, has audited the consolidated</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financial statements and schedule of Simon Property Group, L.P., included in its </w:t>
      </w:r>
      <w:hyperlink r:id="rId4">
        <w:r>
          <w:rPr>
            <w:rStyle w:val="InternetLink"/>
          </w:rPr>
          <w:t>Annual Report on Form 10-K for the year ended December 31, 2025</w:t>
        </w:r>
      </w:hyperlink>
      <w:r>
        <w:rPr>
          <w:rFonts w:ascii="Times New Roman;Times;serif" w:hAnsi="Times New Roman;Times;serif"/>
          <w:b w:val="false"/>
          <w:i w:val="false"/>
          <w:caps w:val="false"/>
          <w:smallCaps w:val="false"/>
          <w:color w:val="000000"/>
          <w:spacing w:val="4"/>
          <w:sz w:val="20"/>
        </w:rPr>
        <w:t>, and the effectiveness of Simon Property Group, L.P.’s internal control over financial reporting as of December 31, 2025, as set forth in their reports, which are incorporated by reference in this prospectus supplement and elsewhere in the registration statement. These financial statements and schedule are incorporated by reference in reliance on Ernst &amp; Young LLP’s reports, given on their authority as experts in accounting and auditing.</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557"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w:t>
      </w:r>
      <w:r>
        <w:rPr>
          <w:rFonts w:ascii="Times New Roman;Times;serif" w:hAnsi="Times New Roman;Times;serif"/>
          <w:b/>
          <w:i w:val="false"/>
          <w:caps w:val="false"/>
          <w:smallCaps w:val="false"/>
          <w:color w:val="000000"/>
          <w:spacing w:val="4"/>
          <w:sz w:val="20"/>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2352675" cy="933450"/>
            <wp:effectExtent l="0" t="0" r="0" b="0"/>
            <wp:docPr id="6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2" descr=""/>
                    <pic:cNvPicPr>
                      <a:picLocks noChangeAspect="1" noChangeArrowheads="1"/>
                    </pic:cNvPicPr>
                  </pic:nvPicPr>
                  <pic:blipFill>
                    <a:blip r:embed="rId5"/>
                    <a:stretch>
                      <a:fillRect/>
                    </a:stretch>
                  </pic:blipFill>
                  <pic:spPr bwMode="auto">
                    <a:xfrm>
                      <a:off x="0" y="0"/>
                      <a:ext cx="2352675" cy="933450"/>
                    </a:xfrm>
                    <a:prstGeom prst="rect">
                      <a:avLst/>
                    </a:prstGeom>
                  </pic:spPr>
                </pic:pic>
              </a:graphicData>
            </a:graphic>
          </wp:inline>
        </w:drawing>
      </w:r>
      <w:r>
        <w:rPr>
          <w:caps w:val="false"/>
          <w:smallCaps w:val="false"/>
          <w:color w:val="000000"/>
        </w:rPr>
        <w:t xml:space="preserve"> </w:t>
      </w:r>
    </w:p>
    <w:p>
      <w:pPr>
        <w:pStyle w:val="TextBody"/>
        <w:bidi w:val="0"/>
        <w:spacing w:lineRule="atLeast" w:line="400" w:before="340" w:after="283"/>
        <w:jc w:val="center"/>
        <w:rPr>
          <w:rFonts w:ascii="Times New Roman;Times;serif" w:hAnsi="Times New Roman;Times;serif"/>
          <w:b/>
          <w:i w:val="false"/>
          <w:caps w:val="false"/>
          <w:smallCaps w:val="false"/>
          <w:color w:val="000000"/>
          <w:sz w:val="36"/>
        </w:rPr>
      </w:pPr>
      <w:r>
        <w:rPr>
          <w:rFonts w:ascii="Times New Roman;Times;serif" w:hAnsi="Times New Roman;Times;serif"/>
          <w:b/>
          <w:i w:val="false"/>
          <w:caps w:val="false"/>
          <w:smallCaps w:val="false"/>
          <w:color w:val="000000"/>
          <w:spacing w:val="-7"/>
          <w:sz w:val="36"/>
        </w:rPr>
        <w:t>SIMON PROPERTY GROUP, L.P.</w:t>
      </w:r>
      <w:r>
        <w:rPr>
          <w:rFonts w:ascii="Times New Roman;Times;serif" w:hAnsi="Times New Roman;Times;serif"/>
          <w:b/>
          <w:i w:val="false"/>
          <w:caps w:val="false"/>
          <w:smallCaps w:val="false"/>
          <w:color w:val="000000"/>
          <w:spacing w:val="7"/>
          <w:sz w:val="36"/>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Debt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is part of a registration statement that we filed with the Securities and Exchange Commission under a “shelf” registration or continuous offering process. We may offer the non-convertible debt securities described in this prospectus in one or more offerings. The debt securities will be our direct unsecured obligations and will rank equally with all of our other unsecured and unsubordinated indebtedness. We may offer the debt securities separately or together, in separate series and in amounts, at prices and on terms described in one or more supplements to this prospectus and other offering material.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offer and sell these debt securities to or through one or more underwriters, dealers and agents, or directly to purchasers, on a continuous or delayed basis.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describes some of the general terms that may apply to these debt securities. The specific terms of any debt securities to be offered, and any other information relating to a specific offering, will be set forth in a post-effective amendment to the registration statement of which this prospectus is a part, in a supplement to this prospectus or in other offering material related to the debt securities or may be set forth in one or more documents incorporated by reference in this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read carefully both this prospectus and any prospectus supplement or other offering material before you make a decision to invest. This prospectus may be used to offer and sell debt securities only if accompanied by a prospectus supplement.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Neither the Securities and Exchange Commission nor any state or other securities commission has approved or disapproved of these securities or determined if this prospectus is truthful or complete. Any representation to the contrary is a criminal offense.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48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date of this prospectus is January 6, 2026.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 w:name="TOC3"/>
      <w:bookmarkEnd w:id="1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6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7605"/>
        <w:gridCol w:w="109"/>
        <w:gridCol w:w="109"/>
        <w:gridCol w:w="109"/>
        <w:gridCol w:w="109"/>
        <w:gridCol w:w="383"/>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7605" w:type="dxa"/>
            <w:tcBorders/>
            <w:shd w:fill="CCEEFF" w:val="clear"/>
            <w:vAlign w:val="center"/>
          </w:tcPr>
          <w:p>
            <w:pPr>
              <w:pStyle w:val="TableContents"/>
              <w:bidi w:val="0"/>
              <w:spacing w:before="0" w:after="0"/>
              <w:jc w:val="left"/>
              <w:rPr/>
            </w:pPr>
            <w:hyperlink w:anchor="sATP">
              <w:r>
                <w:rPr>
                  <w:rStyle w:val="InternetLink"/>
                  <w:spacing w:val="4"/>
                </w:rPr>
                <w:t xml:space="preserve">ABOUT THIS PROSPECTUS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83" w:type="dxa"/>
            <w:tcBorders/>
            <w:shd w:fill="CCEEFF" w:val="clear"/>
            <w:vAlign w:val="center"/>
          </w:tcPr>
          <w:p>
            <w:pPr>
              <w:pStyle w:val="TableContents"/>
              <w:bidi w:val="0"/>
              <w:spacing w:before="0" w:after="283"/>
              <w:jc w:val="right"/>
              <w:rPr/>
            </w:pPr>
            <w:hyperlink w:anchor="sATP">
              <w:r>
                <w:rPr>
                  <w:rStyle w:val="InternetLink"/>
                  <w:spacing w:val="4"/>
                </w:rPr>
                <w:t>1</w:t>
              </w:r>
            </w:hyperlink>
            <w:hyperlink w:anchor="sAT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05" w:type="dxa"/>
            <w:tcBorders/>
            <w:vAlign w:val="center"/>
          </w:tcPr>
          <w:p>
            <w:pPr>
              <w:pStyle w:val="TableContents"/>
              <w:bidi w:val="0"/>
              <w:spacing w:before="0" w:after="0"/>
              <w:jc w:val="left"/>
              <w:rPr/>
            </w:pPr>
            <w:hyperlink w:anchor="sWYCF">
              <w:r>
                <w:rPr>
                  <w:rStyle w:val="InternetLink"/>
                  <w:spacing w:val="4"/>
                </w:rPr>
                <w:t xml:space="preserve">WHERE YOU CAN FIND MORE INFORMATION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3" w:type="dxa"/>
            <w:tcBorders/>
            <w:vAlign w:val="center"/>
          </w:tcPr>
          <w:p>
            <w:pPr>
              <w:pStyle w:val="TableContents"/>
              <w:bidi w:val="0"/>
              <w:spacing w:before="0" w:after="283"/>
              <w:jc w:val="right"/>
              <w:rPr/>
            </w:pPr>
            <w:hyperlink w:anchor="sWYCF">
              <w:r>
                <w:rPr>
                  <w:rStyle w:val="InternetLink"/>
                  <w:spacing w:val="4"/>
                </w:rPr>
                <w:t>1</w:t>
              </w:r>
            </w:hyperlink>
            <w:hyperlink w:anchor="sWYCF">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05" w:type="dxa"/>
            <w:tcBorders/>
            <w:shd w:fill="CCEEFF" w:val="clear"/>
            <w:vAlign w:val="center"/>
          </w:tcPr>
          <w:p>
            <w:pPr>
              <w:pStyle w:val="TableContents"/>
              <w:bidi w:val="0"/>
              <w:spacing w:before="0" w:after="0"/>
              <w:jc w:val="left"/>
              <w:rPr/>
            </w:pPr>
            <w:hyperlink w:anchor="sWWA">
              <w:r>
                <w:rPr>
                  <w:rStyle w:val="InternetLink"/>
                  <w:spacing w:val="4"/>
                </w:rPr>
                <w:t xml:space="preserve">WHO WE ARE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83" w:type="dxa"/>
            <w:tcBorders/>
            <w:shd w:fill="CCEEFF" w:val="clear"/>
            <w:vAlign w:val="center"/>
          </w:tcPr>
          <w:p>
            <w:pPr>
              <w:pStyle w:val="TableContents"/>
              <w:bidi w:val="0"/>
              <w:spacing w:before="0" w:after="283"/>
              <w:jc w:val="right"/>
              <w:rPr/>
            </w:pPr>
            <w:hyperlink w:anchor="sWWA">
              <w:r>
                <w:rPr>
                  <w:rStyle w:val="InternetLink"/>
                  <w:spacing w:val="4"/>
                </w:rPr>
                <w:t>1</w:t>
              </w:r>
            </w:hyperlink>
            <w:hyperlink w:anchor="sWW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05" w:type="dxa"/>
            <w:tcBorders/>
            <w:vAlign w:val="center"/>
          </w:tcPr>
          <w:p>
            <w:pPr>
              <w:pStyle w:val="TableContents"/>
              <w:bidi w:val="0"/>
              <w:spacing w:before="0" w:after="0"/>
              <w:jc w:val="left"/>
              <w:rPr/>
            </w:pPr>
            <w:hyperlink w:anchor="sUOP">
              <w:r>
                <w:rPr>
                  <w:rStyle w:val="InternetLink"/>
                  <w:spacing w:val="4"/>
                </w:rPr>
                <w:t xml:space="preserve">USE OF PROCEEDS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3" w:type="dxa"/>
            <w:tcBorders/>
            <w:vAlign w:val="center"/>
          </w:tcPr>
          <w:p>
            <w:pPr>
              <w:pStyle w:val="TableContents"/>
              <w:bidi w:val="0"/>
              <w:spacing w:before="0" w:after="283"/>
              <w:jc w:val="right"/>
              <w:rPr/>
            </w:pPr>
            <w:hyperlink w:anchor="sUOP">
              <w:r>
                <w:rPr>
                  <w:rStyle w:val="InternetLink"/>
                  <w:spacing w:val="4"/>
                </w:rPr>
                <w:t>2</w:t>
              </w:r>
            </w:hyperlink>
            <w:hyperlink w:anchor="sUO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05" w:type="dxa"/>
            <w:tcBorders/>
            <w:shd w:fill="CCEEFF" w:val="clear"/>
            <w:vAlign w:val="center"/>
          </w:tcPr>
          <w:p>
            <w:pPr>
              <w:pStyle w:val="TableContents"/>
              <w:bidi w:val="0"/>
              <w:spacing w:before="0" w:after="0"/>
              <w:jc w:val="left"/>
              <w:rPr/>
            </w:pPr>
            <w:hyperlink w:anchor="sDOSB">
              <w:r>
                <w:rPr>
                  <w:rStyle w:val="InternetLink"/>
                  <w:spacing w:val="4"/>
                </w:rPr>
                <w:t xml:space="preserve">DESCRIPTION OF SECURITIES BEING OFFERED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83" w:type="dxa"/>
            <w:tcBorders/>
            <w:shd w:fill="CCEEFF" w:val="clear"/>
            <w:vAlign w:val="center"/>
          </w:tcPr>
          <w:p>
            <w:pPr>
              <w:pStyle w:val="TableContents"/>
              <w:bidi w:val="0"/>
              <w:spacing w:before="0" w:after="283"/>
              <w:jc w:val="right"/>
              <w:rPr/>
            </w:pPr>
            <w:hyperlink w:anchor="sDOSB">
              <w:r>
                <w:rPr>
                  <w:rStyle w:val="InternetLink"/>
                  <w:spacing w:val="4"/>
                </w:rPr>
                <w:t>3</w:t>
              </w:r>
            </w:hyperlink>
            <w:hyperlink w:anchor="sDOSB">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05" w:type="dxa"/>
            <w:tcBorders/>
            <w:vAlign w:val="center"/>
          </w:tcPr>
          <w:p>
            <w:pPr>
              <w:pStyle w:val="TableContents"/>
              <w:bidi w:val="0"/>
              <w:spacing w:before="0" w:after="0"/>
              <w:jc w:val="left"/>
              <w:rPr/>
            </w:pPr>
            <w:hyperlink w:anchor="sUFIT">
              <w:r>
                <w:rPr>
                  <w:rStyle w:val="InternetLink"/>
                  <w:spacing w:val="4"/>
                </w:rPr>
                <w:t xml:space="preserve">U.S. FEDERAL INCOME TAX CONSIDERATIONS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3" w:type="dxa"/>
            <w:tcBorders/>
            <w:vAlign w:val="center"/>
          </w:tcPr>
          <w:p>
            <w:pPr>
              <w:pStyle w:val="TableContents"/>
              <w:bidi w:val="0"/>
              <w:spacing w:before="0" w:after="283"/>
              <w:jc w:val="right"/>
              <w:rPr/>
            </w:pPr>
            <w:hyperlink w:anchor="sUFIT">
              <w:r>
                <w:rPr>
                  <w:rStyle w:val="InternetLink"/>
                  <w:spacing w:val="4"/>
                </w:rPr>
                <w:t>14</w:t>
              </w:r>
            </w:hyperlink>
            <w:hyperlink w:anchor="sUFIT">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05" w:type="dxa"/>
            <w:tcBorders/>
            <w:shd w:fill="CCEEFF" w:val="clear"/>
            <w:vAlign w:val="center"/>
          </w:tcPr>
          <w:p>
            <w:pPr>
              <w:pStyle w:val="TableContents"/>
              <w:bidi w:val="0"/>
              <w:spacing w:before="0" w:after="0"/>
              <w:jc w:val="left"/>
              <w:rPr/>
            </w:pPr>
            <w:hyperlink w:anchor="sLEMA">
              <w:r>
                <w:rPr>
                  <w:rStyle w:val="InternetLink"/>
                  <w:spacing w:val="4"/>
                </w:rPr>
                <w:t xml:space="preserve">LEGAL MATTERS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83" w:type="dxa"/>
            <w:tcBorders/>
            <w:shd w:fill="CCEEFF" w:val="clear"/>
            <w:vAlign w:val="center"/>
          </w:tcPr>
          <w:p>
            <w:pPr>
              <w:pStyle w:val="TableContents"/>
              <w:bidi w:val="0"/>
              <w:spacing w:before="0" w:after="283"/>
              <w:jc w:val="right"/>
              <w:rPr/>
            </w:pPr>
            <w:hyperlink w:anchor="sLEMA">
              <w:r>
                <w:rPr>
                  <w:rStyle w:val="InternetLink"/>
                  <w:spacing w:val="4"/>
                </w:rPr>
                <w:t>19</w:t>
              </w:r>
            </w:hyperlink>
            <w:hyperlink w:anchor="sLEM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05" w:type="dxa"/>
            <w:tcBorders/>
            <w:vAlign w:val="center"/>
          </w:tcPr>
          <w:p>
            <w:pPr>
              <w:pStyle w:val="TableContents"/>
              <w:bidi w:val="0"/>
              <w:spacing w:before="0" w:after="0"/>
              <w:jc w:val="left"/>
              <w:rPr/>
            </w:pPr>
            <w:hyperlink w:anchor="sEXP">
              <w:r>
                <w:rPr>
                  <w:rStyle w:val="InternetLink"/>
                  <w:spacing w:val="4"/>
                </w:rPr>
                <w:t xml:space="preserve">EXPERTS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3" w:type="dxa"/>
            <w:tcBorders/>
            <w:vAlign w:val="center"/>
          </w:tcPr>
          <w:p>
            <w:pPr>
              <w:pStyle w:val="TableContents"/>
              <w:bidi w:val="0"/>
              <w:spacing w:before="0" w:after="283"/>
              <w:jc w:val="right"/>
              <w:rPr/>
            </w:pPr>
            <w:hyperlink w:anchor="sEXP">
              <w:r>
                <w:rPr>
                  <w:rStyle w:val="InternetLink"/>
                  <w:spacing w:val="4"/>
                </w:rPr>
                <w:t>19</w:t>
              </w:r>
            </w:hyperlink>
            <w:hyperlink w:anchor="sEX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05" w:type="dxa"/>
            <w:tcBorders/>
            <w:shd w:fill="CCEEFF" w:val="clear"/>
            <w:vAlign w:val="center"/>
          </w:tcPr>
          <w:p>
            <w:pPr>
              <w:pStyle w:val="TableContents"/>
              <w:bidi w:val="0"/>
              <w:spacing w:before="0" w:after="0"/>
              <w:ind w:left="200" w:right="0" w:hanging="200"/>
              <w:jc w:val="left"/>
              <w:rPr/>
            </w:pPr>
            <w:hyperlink w:anchor="sDOCP">
              <w:r>
                <w:rPr>
                  <w:rStyle w:val="InternetLink"/>
                  <w:spacing w:val="4"/>
                </w:rPr>
                <w:t xml:space="preserve">DISCLOSURE OF COMMISSION POSITION ON INDEMNIFICATION FOR SECURITIES ACT LIABILITIES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83" w:type="dxa"/>
            <w:tcBorders/>
            <w:shd w:fill="CCEEFF" w:val="clear"/>
            <w:vAlign w:val="center"/>
          </w:tcPr>
          <w:p>
            <w:pPr>
              <w:pStyle w:val="TableContents"/>
              <w:bidi w:val="0"/>
              <w:spacing w:before="0" w:after="283"/>
              <w:jc w:val="right"/>
              <w:rPr/>
            </w:pPr>
            <w:hyperlink w:anchor="sDOCP">
              <w:r>
                <w:rPr>
                  <w:rStyle w:val="InternetLink"/>
                  <w:spacing w:val="4"/>
                </w:rPr>
                <w:t>19</w:t>
              </w:r>
            </w:hyperlink>
            <w:hyperlink w:anchor="sDOC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05" w:type="dxa"/>
            <w:tcBorders/>
            <w:vAlign w:val="center"/>
          </w:tcPr>
          <w:p>
            <w:pPr>
              <w:pStyle w:val="TableContents"/>
              <w:bidi w:val="0"/>
              <w:spacing w:before="0" w:after="0"/>
              <w:jc w:val="left"/>
              <w:rPr/>
            </w:pPr>
            <w:hyperlink w:anchor="sIOIW">
              <w:r>
                <w:rPr>
                  <w:rStyle w:val="InternetLink"/>
                  <w:spacing w:val="4"/>
                </w:rPr>
                <w:t xml:space="preserve">INCORPORATION OF INFORMATION WE FILE WITH THE SEC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3" w:type="dxa"/>
            <w:tcBorders/>
            <w:vAlign w:val="center"/>
          </w:tcPr>
          <w:p>
            <w:pPr>
              <w:pStyle w:val="TableContents"/>
              <w:bidi w:val="0"/>
              <w:spacing w:before="0" w:after="283"/>
              <w:jc w:val="right"/>
              <w:rPr/>
            </w:pPr>
            <w:hyperlink w:anchor="sIOIW">
              <w:r>
                <w:rPr>
                  <w:rStyle w:val="InternetLink"/>
                  <w:spacing w:val="4"/>
                </w:rPr>
                <w:t>20</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 w:name="sATP"/>
      <w:bookmarkEnd w:id="15"/>
      <w:r>
        <w:rPr>
          <w:rFonts w:ascii="calibri;arial;sans-serif" w:hAnsi="calibri;arial;sans-serif"/>
          <w:b w:val="false"/>
          <w:i w:val="false"/>
          <w:caps w:val="false"/>
          <w:smallCaps w:val="false"/>
          <w:color w:val="000000"/>
          <w:sz w:val="16"/>
        </w:rPr>
        <w:t>​</w:t>
      </w:r>
      <w:bookmarkStart w:id="16" w:name="sWYCF"/>
      <w:bookmarkEnd w:id="16"/>
      <w:r>
        <w:rPr>
          <w:rFonts w:ascii="calibri;arial;sans-serif" w:hAnsi="calibri;arial;sans-serif"/>
          <w:b w:val="false"/>
          <w:i w:val="false"/>
          <w:caps w:val="false"/>
          <w:smallCaps w:val="false"/>
          <w:color w:val="000000"/>
          <w:sz w:val="16"/>
        </w:rPr>
        <w:t>​</w:t>
      </w:r>
      <w:bookmarkStart w:id="17" w:name="sWWA"/>
      <w:bookmarkEnd w:id="1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2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provides you with a general description of the securities offered by us. Each time we sell securities, we will provide a prospectus supplement that will contain specific information about the terms of that offering. The prospectus supplement and any other offering material may also add to, update or change information contained in the prospectus or in documents we have incorporated by reference into this prospectus and, accordingly, to the extent inconsistent, information in or incorporated by reference in this prospectus is superseded by the information in the prospectus supplement and any other offering material related to such securities. </w:t>
      </w:r>
    </w:p>
    <w:p>
      <w:pPr>
        <w:pStyle w:val="TextBody"/>
        <w:bidi w:val="0"/>
        <w:spacing w:lineRule="atLeast" w:line="22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not authorized anyone to provide you with information different from that contained or incorporated by reference in this prospectus. We are offering to sell, and seeking offers to buy, our securities only in jurisdictions where offers and sales are permitted. The information contained in this prospectus is accurate only as of the date of this prospectus, regardless of the time of delivery of this prospectus or of any sale of securities.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2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file annual, quarterly and current reports and proxy statements and other information with the Securities and Exchange Commission, or the SEC. Our SEC filings are also available over the Internet at the SEC’s website at http://www.sec.gov. </w:t>
      </w:r>
    </w:p>
    <w:p>
      <w:pPr>
        <w:pStyle w:val="TextBody"/>
        <w:bidi w:val="0"/>
        <w:spacing w:lineRule="atLeast" w:line="22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filed a registration statement on Form S-3 with the SEC covering the securities that may be sold under this prospectus. For further information on us, our affiliates and the securities being offered, you should refer to our registration statement and its exhibits. This prospectus summarizes material provisions of contracts and other documents that we refer you to. Because the prospectus may not contain all the information that you may find important, you should review the full text of these documents. We have included copies of these documents as exhibits to our registration statement of which this prospectus is a part.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WHO WE ARE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2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 majority-owned operating partnership subsidiary of Simon Property Group, Inc. (“Simon Property”), which has elected to be treated as a real estate investment trust, or REIT, for U.S. federal income tax purposes. Simon Property’s common stock is listed on the New York Stock Exchange under the symbol “SPG.” </w:t>
      </w:r>
    </w:p>
    <w:p>
      <w:pPr>
        <w:pStyle w:val="TextBody"/>
        <w:bidi w:val="0"/>
        <w:spacing w:lineRule="atLeast" w:line="22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own, develop and manage premier shopping, dining, entertainment and mixed-use destinations, which consist primarily of malls, Premium Outlets</w:t>
      </w:r>
      <w:r>
        <w:rPr>
          <w:rFonts w:ascii="Times New Roman;Times;serif" w:hAnsi="Times New Roman;Times;serif"/>
          <w:b w:val="false"/>
          <w:i w:val="false"/>
          <w:caps w:val="false"/>
          <w:smallCaps w:val="false"/>
          <w:color w:val="000000"/>
          <w:spacing w:val="3"/>
          <w:sz w:val="15"/>
        </w:rPr>
        <w:t>®</w:t>
      </w:r>
      <w:r>
        <w:rPr>
          <w:rFonts w:ascii="Times New Roman;Times;serif" w:hAnsi="Times New Roman;Times;serif"/>
          <w:b w:val="false"/>
          <w:i w:val="false"/>
          <w:caps w:val="false"/>
          <w:smallCaps w:val="false"/>
          <w:color w:val="000000"/>
          <w:spacing w:val="4"/>
          <w:sz w:val="20"/>
        </w:rPr>
        <w:t>, and The Mills</w:t>
      </w:r>
      <w:r>
        <w:rPr>
          <w:rFonts w:ascii="Times New Roman;Times;serif" w:hAnsi="Times New Roman;Times;serif"/>
          <w:b w:val="false"/>
          <w:i w:val="false"/>
          <w:caps w:val="false"/>
          <w:smallCaps w:val="false"/>
          <w:color w:val="000000"/>
          <w:spacing w:val="3"/>
          <w:sz w:val="15"/>
        </w:rPr>
        <w:t>®</w:t>
      </w:r>
      <w:r>
        <w:rPr>
          <w:rFonts w:ascii="Times New Roman;Times;serif" w:hAnsi="Times New Roman;Times;serif"/>
          <w:b w:val="false"/>
          <w:i w:val="false"/>
          <w:caps w:val="false"/>
          <w:smallCaps w:val="false"/>
          <w:color w:val="000000"/>
          <w:spacing w:val="4"/>
          <w:sz w:val="20"/>
        </w:rPr>
        <w:t xml:space="preserve">. As of September 30, 2025, we owned or held an interest in 194 income-producing properties in the United States, which consisted of 92 malls, 70 Premium Outlets, 14 Mills, six lifestyle centers, and 12 other retail properties in 37 states and Puerto Rico. As of September 30, 2025, we also owned an 88% noncontrolling interest in the Taubman Realty Group, LLC, or TRG, which has an interest in 22 regional, super-regional, and outlet malls in the U.S. and Asia. On October 31, 2025, we closed on the acquisition of the 12% interest in TRG for 5.06 million of our limited partnership units. Internationally, as of September 30, 2025, we had ownership in 38 Premium Outlets, Designer Outlets, and Luxury Outlet properties primarily located in Asia, Europe, and Canada. As of September 30, 2025, we also owned a 22.4% equity stake in Klépierre SA, a publicly traded, Paris-based real estate company which owns, or has an interest in, shopping centers located in 14 countries in Europe. We also have interests in investments in retail operations (such as Catalyst Brands LLC); an e-commerce venture (Rue Gilt Groupe which operates shop.simon.com), and Jamestown (a global real estate investment and management company). </w:t>
      </w:r>
    </w:p>
    <w:p>
      <w:pPr>
        <w:pStyle w:val="TextBody"/>
        <w:bidi w:val="0"/>
        <w:spacing w:lineRule="atLeast" w:line="22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were formed on November 18, 1993 as a Delaware limited partnership. Simon Property is our sole general partner. Our principal executive offices are located at 225 West Washington Street, Indianapolis, Indiana 46204. Our telephone number is (317) 636-1600. Our Internet website address is www.simon.com. The information in our website is not a part of, or incorporated by reference into, this prospectus. </w:t>
      </w:r>
    </w:p>
    <w:p>
      <w:pPr>
        <w:pStyle w:val="TextBody"/>
        <w:bidi w:val="0"/>
        <w:spacing w:lineRule="atLeast" w:line="22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want to find more information about us, please see the sections entitled “Where You Can Find More Information” and “Incorporation of Information We File with the SEC” in this prospectus. </w:t>
      </w:r>
    </w:p>
    <w:p>
      <w:pPr>
        <w:pStyle w:val="TextBody"/>
        <w:bidi w:val="0"/>
        <w:spacing w:lineRule="atLeast" w:line="22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this prospectus, the “Operating Partnership” and the terms “we,” “us” and “our” refer to Simon Property Group, L.P. and its subsidiaries. “Simon Property” refers specifically to our sole general partner, Simon Property Group, Inc.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 w:name="sUOP"/>
      <w:bookmarkEnd w:id="1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9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expect to use the net proceeds from the sale of debt securities for general business purposes, unless otherwise specified in the prospectus supplement relating to a specific offering. Our general business purposes may include repaying debt, financing capital commitments and financing future acquisitions. If we decide to use the net proceeds from an offering in some other way, we will describe the use of the net proceeds in the prospectus supplement for that offering.</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 w:name="sDOSB"/>
      <w:bookmarkEnd w:id="1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SECURITIES BEING OFFERED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securities offered by this prospectus will be debt securities issued under an Indenture dated as of November 26, 1996, or the Indenture, among us, The Bank of New York Mellon Trust Company, N.A. (as successor to The Chase Manhattan Bank), as trustee, and a former affiliate, as guarantor. The former affiliate was subsequently merged into the Operating Partnership.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used in this prospectus, “debt securities” means the debt securities that we issue and that the trustee authenticates under the Indenture. Capitalized terms used but not defined under this prospectus have the meanings given to them in the Indenture.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summarized material terms and provisions of the Indenture below. The following summary is not complete and is subject to, and qualified in its entirety by reference to, all provisions of the Indenture. We have included references to section numbers of the Indenture so that you can easily locate the summarized provisions. If you would like more information on any of these provisions, you should read the relevant sections of the Indenture. We have included a copy of the Indenture as an exhibit to our registration statement relating to the debt securities. See “Where You Can Find More Information.”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debt securities will not be convertible into or exchangeable for any capital stock of Simon Property or any equity interest in us.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Terms of the Debt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Indenture does not limit the amount of debt securities we may issue under it. We may issue debt securities from time to time, without limit as to aggregate principal amount and in one or more series. The terms of each series of debt securities will be established in a resolution of the board of directors of our general partner or in one or more supplemental indentures. Without the consent of the holders of the debt securities, we may issue multiple series of debt securities with different terms or “reopen” a previous series of debt securities and issue additional debt securities of that series. (</w:t>
      </w:r>
      <w:r>
        <w:rPr>
          <w:rFonts w:ascii="Times New Roman;Times;serif" w:hAnsi="Times New Roman;Times;serif"/>
          <w:b w:val="false"/>
          <w:i/>
          <w:caps w:val="false"/>
          <w:smallCaps w:val="false"/>
          <w:color w:val="000000"/>
          <w:spacing w:val="4"/>
          <w:sz w:val="20"/>
        </w:rPr>
        <w:t>Section 301</w:t>
      </w:r>
      <w:r>
        <w:rPr>
          <w:rFonts w:ascii="Times New Roman;Times;serif" w:hAnsi="Times New Roman;Times;serif"/>
          <w:b w:val="false"/>
          <w:i w:val="false"/>
          <w:caps w:val="false"/>
          <w:smallCaps w:val="false"/>
          <w:color w:val="000000"/>
          <w:spacing w:val="4"/>
          <w:sz w:val="20"/>
        </w:rPr>
        <w:t xml:space="preserve">). The terms of the debt securities include those provisions contained in the Indenture, the supplemental indenture relating to a series of debt securities and those made a part of the Indenture by reference to the Trust Indenture Act of 1939.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prospectus supplement relating to a series of debt securities being offered will include the specific terms of those debt securities and may include modifications of or additions to the general terms described in this prospectus. The specific terms will include: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title of the debt securities; </w:t>
      </w:r>
      <w:r>
        <mc:AlternateContent>
          <mc:Choice Requires="wps">
            <w:drawing>
              <wp:anchor behindDoc="0" distT="77470" distB="0" distL="254000" distR="0" simplePos="0" locked="0" layoutInCell="1" allowOverlap="1" relativeHeight="69">
                <wp:simplePos x="0" y="0"/>
                <wp:positionH relativeFrom="column">
                  <wp:align>left</wp:align>
                </wp:positionH>
                <wp:positionV relativeFrom="line">
                  <wp:align>top</wp:align>
                </wp:positionV>
                <wp:extent cx="127000" cy="350520"/>
                <wp:effectExtent l="0" t="0" r="0" b="0"/>
                <wp:wrapSquare wrapText="right"/>
                <wp:docPr id="67" name="Frame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aggregate principal amount of the debt securities and whether there is any limit on the aggregate principal amount that we may subsequently issue; </w:t>
      </w:r>
      <w:r>
        <mc:AlternateContent>
          <mc:Choice Requires="wps">
            <w:drawing>
              <wp:anchor behindDoc="0" distT="77470" distB="0" distL="254000" distR="0" simplePos="0" locked="0" layoutInCell="1" allowOverlap="1" relativeHeight="70">
                <wp:simplePos x="0" y="0"/>
                <wp:positionH relativeFrom="column">
                  <wp:align>left</wp:align>
                </wp:positionH>
                <wp:positionV relativeFrom="line">
                  <wp:align>top</wp:align>
                </wp:positionV>
                <wp:extent cx="127000" cy="350520"/>
                <wp:effectExtent l="0" t="0" r="0" b="0"/>
                <wp:wrapSquare wrapText="right"/>
                <wp:docPr id="68" name="Frame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percentage of the principal amount at which the debt securities will be issued; </w:t>
      </w:r>
      <w:r>
        <mc:AlternateContent>
          <mc:Choice Requires="wps">
            <w:drawing>
              <wp:anchor behindDoc="0" distT="77470" distB="0" distL="254000" distR="0" simplePos="0" locked="0" layoutInCell="1" allowOverlap="1" relativeHeight="71">
                <wp:simplePos x="0" y="0"/>
                <wp:positionH relativeFrom="column">
                  <wp:align>left</wp:align>
                </wp:positionH>
                <wp:positionV relativeFrom="line">
                  <wp:align>top</wp:align>
                </wp:positionV>
                <wp:extent cx="127000" cy="350520"/>
                <wp:effectExtent l="0" t="0" r="0" b="0"/>
                <wp:wrapSquare wrapText="right"/>
                <wp:docPr id="69" name="Frame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principal amount payable whether at maturity or upon earlier acceleration, and whether the principal amount will be determined with reference to an index, formula or other method; </w:t>
      </w:r>
      <w:r>
        <mc:AlternateContent>
          <mc:Choice Requires="wps">
            <w:drawing>
              <wp:anchor behindDoc="0" distT="77470" distB="0" distL="254000" distR="0" simplePos="0" locked="0" layoutInCell="1" allowOverlap="1" relativeHeight="72">
                <wp:simplePos x="0" y="0"/>
                <wp:positionH relativeFrom="column">
                  <wp:align>left</wp:align>
                </wp:positionH>
                <wp:positionV relativeFrom="line">
                  <wp:align>top</wp:align>
                </wp:positionV>
                <wp:extent cx="127000" cy="350520"/>
                <wp:effectExtent l="0" t="0" r="0" b="0"/>
                <wp:wrapSquare wrapText="right"/>
                <wp:docPr id="70" name="Frame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 or dates on which the principal of the debt securities will be payable, or the manner in which the payment date or dates will be determined; </w:t>
      </w:r>
      <w:r>
        <mc:AlternateContent>
          <mc:Choice Requires="wps">
            <w:drawing>
              <wp:anchor behindDoc="0" distT="77470" distB="0" distL="254000" distR="0" simplePos="0" locked="0" layoutInCell="1" allowOverlap="1" relativeHeight="73">
                <wp:simplePos x="0" y="0"/>
                <wp:positionH relativeFrom="column">
                  <wp:align>left</wp:align>
                </wp:positionH>
                <wp:positionV relativeFrom="line">
                  <wp:align>top</wp:align>
                </wp:positionV>
                <wp:extent cx="127000" cy="350520"/>
                <wp:effectExtent l="0" t="0" r="0" b="0"/>
                <wp:wrapSquare wrapText="right"/>
                <wp:docPr id="71" name="Frame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debt securities will bear interest at a fixed or variable rate or not at all and, as applicable: </w:t>
      </w:r>
      <w:r>
        <mc:AlternateContent>
          <mc:Choice Requires="wps">
            <w:drawing>
              <wp:anchor behindDoc="0" distT="77470" distB="0" distL="254000" distR="0" simplePos="0" locked="0" layoutInCell="1" allowOverlap="1" relativeHeight="74">
                <wp:simplePos x="0" y="0"/>
                <wp:positionH relativeFrom="column">
                  <wp:align>left</wp:align>
                </wp:positionH>
                <wp:positionV relativeFrom="line">
                  <wp:align>top</wp:align>
                </wp:positionV>
                <wp:extent cx="127000" cy="350520"/>
                <wp:effectExtent l="0" t="0" r="0" b="0"/>
                <wp:wrapSquare wrapText="right"/>
                <wp:docPr id="72" name="Frame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interest rate or the manner in which the interest rate is determined, </w:t>
      </w:r>
      <w:r>
        <mc:AlternateContent>
          <mc:Choice Requires="wps">
            <w:drawing>
              <wp:anchor behindDoc="0" distT="77470" distB="0" distL="508000" distR="0" simplePos="0" locked="0" layoutInCell="1" allowOverlap="1" relativeHeight="75">
                <wp:simplePos x="0" y="0"/>
                <wp:positionH relativeFrom="column">
                  <wp:align>left</wp:align>
                </wp:positionH>
                <wp:positionV relativeFrom="line">
                  <wp:align>top</wp:align>
                </wp:positionV>
                <wp:extent cx="127000" cy="350520"/>
                <wp:effectExtent l="0" t="0" r="0" b="0"/>
                <wp:wrapSquare wrapText="right"/>
                <wp:docPr id="73" name="Frame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1pt;mso-wrap-distance-bottom:0pt;margin-top:6.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 or dates from which any interest will accrue, or the method for determining such date or dates, </w:t>
      </w:r>
      <w:r>
        <mc:AlternateContent>
          <mc:Choice Requires="wps">
            <w:drawing>
              <wp:anchor behindDoc="0" distT="77470" distB="0" distL="508000" distR="0" simplePos="0" locked="0" layoutInCell="1" allowOverlap="1" relativeHeight="76">
                <wp:simplePos x="0" y="0"/>
                <wp:positionH relativeFrom="column">
                  <wp:align>left</wp:align>
                </wp:positionH>
                <wp:positionV relativeFrom="line">
                  <wp:align>top</wp:align>
                </wp:positionV>
                <wp:extent cx="127000" cy="350520"/>
                <wp:effectExtent l="0" t="0" r="0" b="0"/>
                <wp:wrapSquare wrapText="right"/>
                <wp:docPr id="74" name="Frame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1pt;mso-wrap-distance-bottom:0pt;margin-top:6.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basis upon which interest shall be calculated if other than a 360-day year of twelve 30-day months, </w:t>
      </w:r>
      <w:r>
        <mc:AlternateContent>
          <mc:Choice Requires="wps">
            <w:drawing>
              <wp:anchor behindDoc="0" distT="77470" distB="0" distL="508000" distR="0" simplePos="0" locked="0" layoutInCell="1" allowOverlap="1" relativeHeight="77">
                <wp:simplePos x="0" y="0"/>
                <wp:positionH relativeFrom="column">
                  <wp:align>left</wp:align>
                </wp:positionH>
                <wp:positionV relativeFrom="line">
                  <wp:align>top</wp:align>
                </wp:positionV>
                <wp:extent cx="127000" cy="350520"/>
                <wp:effectExtent l="0" t="0" r="0" b="0"/>
                <wp:wrapSquare wrapText="right"/>
                <wp:docPr id="75" name="Frame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1pt;mso-wrap-distance-bottom:0pt;margin-top:6.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record dates and interest payment dates for the debt securities, or the method(s) of determining such dates, and </w:t>
      </w:r>
      <w:r>
        <mc:AlternateContent>
          <mc:Choice Requires="wps">
            <w:drawing>
              <wp:anchor behindDoc="0" distT="77470" distB="0" distL="508000" distR="0" simplePos="0" locked="0" layoutInCell="1" allowOverlap="1" relativeHeight="78">
                <wp:simplePos x="0" y="0"/>
                <wp:positionH relativeFrom="column">
                  <wp:align>left</wp:align>
                </wp:positionH>
                <wp:positionV relativeFrom="line">
                  <wp:align>top</wp:align>
                </wp:positionV>
                <wp:extent cx="127000" cy="350520"/>
                <wp:effectExtent l="0" t="0" r="0" b="0"/>
                <wp:wrapSquare wrapText="right"/>
                <wp:docPr id="76" name="Frame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1pt;mso-wrap-distance-bottom:0pt;margin-top:6.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first interest payment date. </w:t>
      </w:r>
      <w:r>
        <mc:AlternateContent>
          <mc:Choice Requires="wps">
            <w:drawing>
              <wp:anchor behindDoc="0" distT="0" distB="0" distL="508000" distR="0" simplePos="0" locked="0" layoutInCell="1" allowOverlap="1" relativeHeight="79">
                <wp:simplePos x="0" y="0"/>
                <wp:positionH relativeFrom="column">
                  <wp:align>left</wp:align>
                </wp:positionH>
                <wp:positionV relativeFrom="line">
                  <wp:posOffset>635</wp:posOffset>
                </wp:positionV>
                <wp:extent cx="127000" cy="350520"/>
                <wp:effectExtent l="0" t="0" r="0" b="0"/>
                <wp:wrapSquare wrapText="right"/>
                <wp:docPr id="77" name="Frame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0pt;mso-wrap-distance-bottom:0pt;margin-top:0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places where payments on the debt securities will be payable and where the debt securities may be surrendered for registration of transfer or exchange; </w:t>
      </w:r>
      <w:r>
        <mc:AlternateContent>
          <mc:Choice Requires="wps">
            <w:drawing>
              <wp:anchor behindDoc="0" distT="66040" distB="0" distL="254000" distR="0" simplePos="0" locked="0" layoutInCell="1" allowOverlap="1" relativeHeight="80">
                <wp:simplePos x="0" y="0"/>
                <wp:positionH relativeFrom="column">
                  <wp:align>left</wp:align>
                </wp:positionH>
                <wp:positionV relativeFrom="line">
                  <wp:align>top</wp:align>
                </wp:positionV>
                <wp:extent cx="127000" cy="350520"/>
                <wp:effectExtent l="0" t="0" r="0" b="0"/>
                <wp:wrapSquare wrapText="right"/>
                <wp:docPr id="78" name="Frame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provision that would obligate or permit us to repurchase, redeem or repay some or all of the debt securities, including any sinking fund requirements; </w:t>
      </w:r>
      <w:r>
        <mc:AlternateContent>
          <mc:Choice Requires="wps">
            <w:drawing>
              <wp:anchor behindDoc="0" distT="66040" distB="0" distL="254000" distR="0" simplePos="0" locked="0" layoutInCell="1" allowOverlap="1" relativeHeight="81">
                <wp:simplePos x="0" y="0"/>
                <wp:positionH relativeFrom="column">
                  <wp:align>left</wp:align>
                </wp:positionH>
                <wp:positionV relativeFrom="line">
                  <wp:align>top</wp:align>
                </wp:positionV>
                <wp:extent cx="127000" cy="350520"/>
                <wp:effectExtent l="0" t="0" r="0" b="0"/>
                <wp:wrapSquare wrapText="right"/>
                <wp:docPr id="79" name="Frame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redemption period or periods, redemption price or prices and the terms and conditions upon which the debt securities may be redeemed, if any; </w:t>
      </w:r>
      <w:r>
        <mc:AlternateContent>
          <mc:Choice Requires="wps">
            <w:drawing>
              <wp:anchor behindDoc="0" distT="66040" distB="0" distL="254000" distR="0" simplePos="0" locked="0" layoutInCell="1" allowOverlap="1" relativeHeight="82">
                <wp:simplePos x="0" y="0"/>
                <wp:positionH relativeFrom="column">
                  <wp:align>left</wp:align>
                </wp:positionH>
                <wp:positionV relativeFrom="line">
                  <wp:align>top</wp:align>
                </wp:positionV>
                <wp:extent cx="127000" cy="350520"/>
                <wp:effectExtent l="0" t="0" r="0" b="0"/>
                <wp:wrapSquare wrapText="right"/>
                <wp:docPr id="80" name="Frame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debt securities are denominated or payable in a foreign currency, units of two or more foreign currencies or a composite currency or currencies, and the related terms, conditions and consequences; </w:t>
      </w:r>
      <w:r>
        <mc:AlternateContent>
          <mc:Choice Requires="wps">
            <w:drawing>
              <wp:anchor behindDoc="0" distT="66040" distB="0" distL="254000" distR="0" simplePos="0" locked="0" layoutInCell="1" allowOverlap="1" relativeHeight="83">
                <wp:simplePos x="0" y="0"/>
                <wp:positionH relativeFrom="column">
                  <wp:align>left</wp:align>
                </wp:positionH>
                <wp:positionV relativeFrom="line">
                  <wp:align>top</wp:align>
                </wp:positionV>
                <wp:extent cx="127000" cy="350520"/>
                <wp:effectExtent l="0" t="0" r="0" b="0"/>
                <wp:wrapSquare wrapText="right"/>
                <wp:docPr id="81" name="Frame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deletions from, modifications of or additions to the events of default or our covenants with respect to the debt securities; </w:t>
      </w:r>
      <w:r>
        <mc:AlternateContent>
          <mc:Choice Requires="wps">
            <w:drawing>
              <wp:anchor behindDoc="0" distT="66040" distB="0" distL="254000" distR="0" simplePos="0" locked="0" layoutInCell="1" allowOverlap="1" relativeHeight="84">
                <wp:simplePos x="0" y="0"/>
                <wp:positionH relativeFrom="column">
                  <wp:align>left</wp:align>
                </wp:positionH>
                <wp:positionV relativeFrom="line">
                  <wp:align>top</wp:align>
                </wp:positionV>
                <wp:extent cx="127000" cy="350520"/>
                <wp:effectExtent l="0" t="0" r="0" b="0"/>
                <wp:wrapSquare wrapText="right"/>
                <wp:docPr id="82" name="Frame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debt securities will be issued in certificated or book-entry form, and the identity of the depositary for debt securities issued in book-entry form; </w:t>
      </w:r>
      <w:r>
        <mc:AlternateContent>
          <mc:Choice Requires="wps">
            <w:drawing>
              <wp:anchor behindDoc="0" distT="66040" distB="0" distL="254000" distR="0" simplePos="0" locked="0" layoutInCell="1" allowOverlap="1" relativeHeight="85">
                <wp:simplePos x="0" y="0"/>
                <wp:positionH relativeFrom="column">
                  <wp:align>left</wp:align>
                </wp:positionH>
                <wp:positionV relativeFrom="line">
                  <wp:align>top</wp:align>
                </wp:positionV>
                <wp:extent cx="127000" cy="350520"/>
                <wp:effectExtent l="0" t="0" r="0" b="0"/>
                <wp:wrapSquare wrapText="right"/>
                <wp:docPr id="83" name="Frame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debt securities will be in registered or bearer form, and any restrictions applicable to the exchange of one form for another and to the offer, sale and delivery of the debt securities in either form; </w:t>
      </w:r>
      <w:r>
        <mc:AlternateContent>
          <mc:Choice Requires="wps">
            <w:drawing>
              <wp:anchor behindDoc="0" distT="66040" distB="0" distL="254000" distR="0" simplePos="0" locked="0" layoutInCell="1" allowOverlap="1" relativeHeight="86">
                <wp:simplePos x="0" y="0"/>
                <wp:positionH relativeFrom="column">
                  <wp:align>left</wp:align>
                </wp:positionH>
                <wp:positionV relativeFrom="line">
                  <wp:align>top</wp:align>
                </wp:positionV>
                <wp:extent cx="127000" cy="350520"/>
                <wp:effectExtent l="0" t="0" r="0" b="0"/>
                <wp:wrapSquare wrapText="right"/>
                <wp:docPr id="84" name="Frame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applicability, if any, of the defeasance and covenant defeasance options described under “— Discharge, Defeasance and Covenant Defeasance” and any modifications of these provisions; </w:t>
      </w:r>
      <w:r>
        <mc:AlternateContent>
          <mc:Choice Requires="wps">
            <w:drawing>
              <wp:anchor behindDoc="0" distT="64770" distB="0" distL="254000" distR="0" simplePos="0" locked="0" layoutInCell="1" allowOverlap="1" relativeHeight="87">
                <wp:simplePos x="0" y="0"/>
                <wp:positionH relativeFrom="column">
                  <wp:align>left</wp:align>
                </wp:positionH>
                <wp:positionV relativeFrom="line">
                  <wp:align>top</wp:align>
                </wp:positionV>
                <wp:extent cx="127000" cy="350520"/>
                <wp:effectExtent l="0" t="0" r="0" b="0"/>
                <wp:wrapSquare wrapText="right"/>
                <wp:docPr id="85" name="Frame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and under what circumstances we will pay additional amounts on the debt securities held by a person who is not a U.S. person for specified taxes, assessments or other governmental charges and, if so, whether we have the option to redeem the affected debt securities rather than pay the additional amounts; </w:t>
      </w:r>
      <w:r>
        <mc:AlternateContent>
          <mc:Choice Requires="wps">
            <w:drawing>
              <wp:anchor behindDoc="0" distT="64770" distB="0" distL="254000" distR="0" simplePos="0" locked="0" layoutInCell="1" allowOverlap="1" relativeHeight="88">
                <wp:simplePos x="0" y="0"/>
                <wp:positionH relativeFrom="column">
                  <wp:align>left</wp:align>
                </wp:positionH>
                <wp:positionV relativeFrom="line">
                  <wp:align>top</wp:align>
                </wp:positionV>
                <wp:extent cx="127000" cy="350520"/>
                <wp:effectExtent l="0" t="0" r="0" b="0"/>
                <wp:wrapSquare wrapText="right"/>
                <wp:docPr id="86" name="Frame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any debt securities that provide for optional redemption or prepayment upon the occurrence of certain events (such as a change of control), </w:t>
      </w:r>
      <w:r>
        <mc:AlternateContent>
          <mc:Choice Requires="wps">
            <w:drawing>
              <wp:anchor behindDoc="0" distT="64770" distB="0" distL="254000" distR="0" simplePos="0" locked="0" layoutInCell="1" allowOverlap="1" relativeHeight="89">
                <wp:simplePos x="0" y="0"/>
                <wp:positionH relativeFrom="column">
                  <wp:align>left</wp:align>
                </wp:positionH>
                <wp:positionV relativeFrom="line">
                  <wp:align>top</wp:align>
                </wp:positionV>
                <wp:extent cx="127000" cy="350520"/>
                <wp:effectExtent l="0" t="0" r="0" b="0"/>
                <wp:wrapSquare wrapText="right"/>
                <wp:docPr id="87" name="Frame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possible effects of such provisions on the market price of the debt securities or in deterring certain mergers, tender offers or other takeover attempts, and our intention to comply with the requirements of Rule 14e-1 under the Exchange Act and any other applicable securities laws in connection with these provisions, </w:t>
      </w:r>
      <w:r>
        <mc:AlternateContent>
          <mc:Choice Requires="wps">
            <w:drawing>
              <wp:anchor behindDoc="0" distT="64770" distB="0" distL="508000" distR="0" simplePos="0" locked="0" layoutInCell="1" allowOverlap="1" relativeHeight="90">
                <wp:simplePos x="0" y="0"/>
                <wp:positionH relativeFrom="column">
                  <wp:align>left</wp:align>
                </wp:positionH>
                <wp:positionV relativeFrom="line">
                  <wp:align>top</wp:align>
                </wp:positionV>
                <wp:extent cx="127000" cy="350520"/>
                <wp:effectExtent l="0" t="0" r="0" b="0"/>
                <wp:wrapSquare wrapText="right"/>
                <wp:docPr id="88" name="Frame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1pt;mso-wrap-distance-bottom:0pt;margin-top:5.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occurrence of the specified events may give rise to cross-defaults on other indebtedness such that payment on the debt securities may be effectively subordinated, and </w:t>
      </w:r>
      <w:r>
        <mc:AlternateContent>
          <mc:Choice Requires="wps">
            <w:drawing>
              <wp:anchor behindDoc="0" distT="64770" distB="0" distL="508000" distR="0" simplePos="0" locked="0" layoutInCell="1" allowOverlap="1" relativeHeight="91">
                <wp:simplePos x="0" y="0"/>
                <wp:positionH relativeFrom="column">
                  <wp:align>left</wp:align>
                </wp:positionH>
                <wp:positionV relativeFrom="line">
                  <wp:align>top</wp:align>
                </wp:positionV>
                <wp:extent cx="127000" cy="350520"/>
                <wp:effectExtent l="0" t="0" r="0" b="0"/>
                <wp:wrapSquare wrapText="right"/>
                <wp:docPr id="89" name="Frame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1pt;mso-wrap-distance-bottom:0pt;margin-top:5.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existence of any limitation on our financial or legal ability to repurchase such debt securities upon the occurrence of such an event (including, if true, the lack of assurance that such a repurchase can be effected) and the impact, if any, under the Indenture of such a failure, including whether and under what circumstances such a failure may constitute an Event of Default; and </w:t>
      </w:r>
      <w:r>
        <mc:AlternateContent>
          <mc:Choice Requires="wps">
            <w:drawing>
              <wp:anchor behindDoc="0" distT="64770" distB="0" distL="508000" distR="0" simplePos="0" locked="0" layoutInCell="1" allowOverlap="1" relativeHeight="92">
                <wp:simplePos x="0" y="0"/>
                <wp:positionH relativeFrom="column">
                  <wp:align>left</wp:align>
                </wp:positionH>
                <wp:positionV relativeFrom="line">
                  <wp:align>top</wp:align>
                </wp:positionV>
                <wp:extent cx="127000" cy="350520"/>
                <wp:effectExtent l="0" t="0" r="0" b="0"/>
                <wp:wrapSquare wrapText="right"/>
                <wp:docPr id="90" name="Frame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1pt;mso-wrap-distance-bottom:0pt;margin-top:5.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material terms of the debt securities. </w:t>
      </w:r>
      <w:r>
        <mc:AlternateContent>
          <mc:Choice Requires="wps">
            <w:drawing>
              <wp:anchor behindDoc="0" distT="64770" distB="0" distL="254000" distR="0" simplePos="0" locked="0" layoutInCell="1" allowOverlap="1" relativeHeight="93">
                <wp:simplePos x="0" y="0"/>
                <wp:positionH relativeFrom="column">
                  <wp:align>left</wp:align>
                </wp:positionH>
                <wp:positionV relativeFrom="line">
                  <wp:align>top</wp:align>
                </wp:positionV>
                <wp:extent cx="127000" cy="350520"/>
                <wp:effectExtent l="0" t="0" r="0" b="0"/>
                <wp:wrapSquare wrapText="right"/>
                <wp:docPr id="91" name="Frame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be aware that special U.S. federal income tax, accounting and other considerations may be applicable to instruments such as the debt securities. The prospectus supplement relating to a series of debt securities will describe these considerations, if they apply.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One or more series of debt securities may provide that if their maturity is accelerated, the amount due and payable will be less than their stated principal amount. These are referred to as “Original Issue Discount Securities”. The prospectus supplement relating to any debt securities issued as Original Issue Discount Securities will describe, if material or applicable, the special U.S. federal income tax consequences, accounting and other special considerations that you should consider before purchasing them.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Denominations, Interest, Registration and Transfer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issue each series of debt securities in fully registered form without coupons and/or in bearer form with or without coupons, as described in the applicable prospectus supplement. The Indenture provides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we may issue debt securities in global form. If any series of debt securities is issued in global form, the applicable prospectus supplement will describe the circumstances, if any, under which beneficial owners of interests in any of those global debt securities may exchange their interests for debt securities of that series and of like tenor and principal amount in any authorized form and denomination.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Unless the applicable prospectus supplement states otherwise, debt securities issued in fully registered form will be issued in denominations of $1,000 and any integral multiple thereof and debt securities issued in bearer form will be issued in denominations of $5,000 and any integral multiple thereof. Debt securities in global form may be issued in any denomination. (</w:t>
      </w:r>
      <w:r>
        <w:rPr>
          <w:rFonts w:ascii="Times New Roman;Times;serif" w:hAnsi="Times New Roman;Times;serif"/>
          <w:b w:val="false"/>
          <w:i/>
          <w:caps w:val="false"/>
          <w:smallCaps w:val="false"/>
          <w:color w:val="000000"/>
          <w:spacing w:val="4"/>
          <w:sz w:val="20"/>
        </w:rPr>
        <w:t>Section 302</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Unless the applicable prospectus supplement states otherwise, we will pay the principal of and any premium or interest on any series of debt securities in registered form at the corporate trust office of the trustee, currently located at 311 S. Wacker Drive, Suite 6200B, Chicago, IL 60606. At our option, we may pay interest by check, wire transfer or any other means permitted under the terms of the debt securities. Unless the applicable prospectus supplement states otherwise, we will have the option to pay interest by check mailed to the person in whose name the debt securities are registered on the applicable record dates or by wire transfer of funds to that person at an account maintained within the United States. (</w:t>
      </w:r>
      <w:r>
        <w:rPr>
          <w:rFonts w:ascii="Times New Roman;Times;serif" w:hAnsi="Times New Roman;Times;serif"/>
          <w:b w:val="false"/>
          <w:i/>
          <w:caps w:val="false"/>
          <w:smallCaps w:val="false"/>
          <w:color w:val="000000"/>
          <w:spacing w:val="4"/>
          <w:sz w:val="20"/>
        </w:rPr>
        <w:t>Sections 301, 307 and 1002</w:t>
      </w:r>
      <w:r>
        <w:rPr>
          <w:rFonts w:ascii="Times New Roman;Times;serif" w:hAnsi="Times New Roman;Times;serif"/>
          <w:b w:val="false"/>
          <w:i w:val="false"/>
          <w:caps w:val="false"/>
          <w:smallCaps w:val="false"/>
          <w:color w:val="000000"/>
          <w:spacing w:val="4"/>
          <w:sz w:val="20"/>
        </w:rPr>
        <w:t xml:space="preserve">). Payments on global debt securities will be made to the depositary or its nominee in accordance with the then-existing arrangements between the paying agent(s) for the global debt securities and the depositary. See “— Global Securities.”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You may present debt securities for exchange, and registered debt securities for transfer, in the manner, at the places and subject to the restrictions set forth in the Indenture and the applicable prospectus supplement. You may transfer debt securities in bearer form and the coupons, if any, by delivery. There will be no service charge for any transfer or exchange of debt securities, but we may require payment to cover any tax or other governmental charge related to the transfer or exchange. (</w:t>
      </w:r>
      <w:r>
        <w:rPr>
          <w:rFonts w:ascii="Times New Roman;Times;serif" w:hAnsi="Times New Roman;Times;serif"/>
          <w:b w:val="false"/>
          <w:i/>
          <w:caps w:val="false"/>
          <w:smallCaps w:val="false"/>
          <w:color w:val="000000"/>
          <w:spacing w:val="4"/>
          <w:sz w:val="20"/>
        </w:rPr>
        <w:t>Section 305</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not required and the trustee is not required: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issue or register the transfer or exchange of any debt security, or portion of a registered debt security, selected for redemption; or </w:t>
      </w:r>
      <w:r>
        <mc:AlternateContent>
          <mc:Choice Requires="wps">
            <w:drawing>
              <wp:anchor behindDoc="0" distT="72390" distB="0" distL="254000" distR="0" simplePos="0" locked="0" layoutInCell="1" allowOverlap="1" relativeHeight="94">
                <wp:simplePos x="0" y="0"/>
                <wp:positionH relativeFrom="column">
                  <wp:align>left</wp:align>
                </wp:positionH>
                <wp:positionV relativeFrom="line">
                  <wp:align>top</wp:align>
                </wp:positionV>
                <wp:extent cx="127000" cy="350520"/>
                <wp:effectExtent l="0" t="0" r="0" b="0"/>
                <wp:wrapSquare wrapText="right"/>
                <wp:docPr id="92" name="Frame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issue or register the transfer or exchange of any debt security for a period of 15 days prior to the selection of debt securities to be redeemed; or </w:t>
      </w:r>
      <w:r>
        <mc:AlternateContent>
          <mc:Choice Requires="wps">
            <w:drawing>
              <wp:anchor behindDoc="0" distT="72390" distB="0" distL="254000" distR="0" simplePos="0" locked="0" layoutInCell="1" allowOverlap="1" relativeHeight="95">
                <wp:simplePos x="0" y="0"/>
                <wp:positionH relativeFrom="column">
                  <wp:align>left</wp:align>
                </wp:positionH>
                <wp:positionV relativeFrom="line">
                  <wp:align>top</wp:align>
                </wp:positionV>
                <wp:extent cx="127000" cy="350520"/>
                <wp:effectExtent l="0" t="0" r="0" b="0"/>
                <wp:wrapSquare wrapText="right"/>
                <wp:docPr id="93" name="Frame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exchange any debt security issued in bearer form that has been selected for redemption, unless such debt security is being exchanged for a registered debt security of the same series and of like tenor, provided that the registered debt security is simultaneously surrendered for redemption; or </w:t>
      </w:r>
      <w:r>
        <mc:AlternateContent>
          <mc:Choice Requires="wps">
            <w:drawing>
              <wp:anchor behindDoc="0" distT="72390" distB="0" distL="254000" distR="0" simplePos="0" locked="0" layoutInCell="1" allowOverlap="1" relativeHeight="96">
                <wp:simplePos x="0" y="0"/>
                <wp:positionH relativeFrom="column">
                  <wp:align>left</wp:align>
                </wp:positionH>
                <wp:positionV relativeFrom="line">
                  <wp:align>top</wp:align>
                </wp:positionV>
                <wp:extent cx="127000" cy="350520"/>
                <wp:effectExtent l="0" t="0" r="0" b="0"/>
                <wp:wrapSquare wrapText="right"/>
                <wp:docPr id="94" name="Frame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to issue or register the transfer or exchange of any debt security, in whole or in part, surrendered for repayment at the option of the holder. (</w:t>
      </w:r>
      <w:r>
        <w:rPr>
          <w:rFonts w:ascii="Times New Roman;Times;serif" w:hAnsi="Times New Roman;Times;serif"/>
          <w:b w:val="false"/>
          <w:i/>
          <w:caps w:val="false"/>
          <w:smallCaps w:val="false"/>
          <w:color w:val="000000"/>
          <w:spacing w:val="4"/>
          <w:sz w:val="20"/>
        </w:rPr>
        <w:t>Section 305</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2390" distB="0" distL="254000" distR="0" simplePos="0" locked="0" layoutInCell="1" allowOverlap="1" relativeHeight="97">
                <wp:simplePos x="0" y="0"/>
                <wp:positionH relativeFrom="column">
                  <wp:align>left</wp:align>
                </wp:positionH>
                <wp:positionV relativeFrom="line">
                  <wp:align>top</wp:align>
                </wp:positionV>
                <wp:extent cx="127000" cy="350520"/>
                <wp:effectExtent l="0" t="0" r="0" b="0"/>
                <wp:wrapSquare wrapText="right"/>
                <wp:docPr id="95" name="Frame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Ranking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debt securities will be our direct, unsecured and unsubordinated obligations and will rank equally with all our other unsecured and unsubordinated indebtedness from time to time outstanding, and the debt securities will be effectively subordinated to the claims of mortgage lenders holding our secured indebtedness, as to the specific property securing each lender’s mortgage and to claims of creditors of our subsidiaries to the extent of the assets of those subsidiaries. Subject to specified limitations in the Indenture and as described below under “— Covenants,” the Indenture permits us to incur additional secured and unsecured indebtedness.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Except as described below under “— Covenants — </w:t>
      </w:r>
      <w:r>
        <w:rPr>
          <w:rFonts w:ascii="Times New Roman;Times;serif" w:hAnsi="Times New Roman;Times;serif"/>
          <w:b w:val="false"/>
          <w:i/>
          <w:caps w:val="false"/>
          <w:smallCaps w:val="false"/>
          <w:color w:val="000000"/>
          <w:spacing w:val="4"/>
          <w:sz w:val="20"/>
        </w:rPr>
        <w:t>Merger, Consolidation or Sale</w:t>
      </w:r>
      <w:r>
        <w:rPr>
          <w:rFonts w:ascii="Times New Roman;Times;serif" w:hAnsi="Times New Roman;Times;serif"/>
          <w:b w:val="false"/>
          <w:i w:val="false"/>
          <w:caps w:val="false"/>
          <w:smallCaps w:val="false"/>
          <w:color w:val="000000"/>
          <w:spacing w:val="4"/>
          <w:sz w:val="20"/>
        </w:rPr>
        <w:t xml:space="preserve">,” the Indenture does not contain any provisions that would limit our ability to incur indebtedness or that would afford holders of the debt securities protection in the event of: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highly leveraged or similar transaction involving us or any of our affiliates; </w:t>
      </w:r>
      <w:r>
        <mc:AlternateContent>
          <mc:Choice Requires="wps">
            <w:drawing>
              <wp:anchor behindDoc="0" distT="73660" distB="0" distL="254000" distR="0" simplePos="0" locked="0" layoutInCell="1" allowOverlap="1" relativeHeight="98">
                <wp:simplePos x="0" y="0"/>
                <wp:positionH relativeFrom="column">
                  <wp:align>left</wp:align>
                </wp:positionH>
                <wp:positionV relativeFrom="line">
                  <wp:align>top</wp:align>
                </wp:positionV>
                <wp:extent cx="127000" cy="350520"/>
                <wp:effectExtent l="0" t="0" r="0" b="0"/>
                <wp:wrapSquare wrapText="right"/>
                <wp:docPr id="96" name="Frame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change of control; or </w:t>
      </w:r>
      <w:r>
        <mc:AlternateContent>
          <mc:Choice Requires="wps">
            <w:drawing>
              <wp:anchor behindDoc="0" distT="73660" distB="0" distL="254000" distR="0" simplePos="0" locked="0" layoutInCell="1" allowOverlap="1" relativeHeight="99">
                <wp:simplePos x="0" y="0"/>
                <wp:positionH relativeFrom="column">
                  <wp:align>left</wp:align>
                </wp:positionH>
                <wp:positionV relativeFrom="line">
                  <wp:align>top</wp:align>
                </wp:positionV>
                <wp:extent cx="127000" cy="350520"/>
                <wp:effectExtent l="0" t="0" r="0" b="0"/>
                <wp:wrapSquare wrapText="right"/>
                <wp:docPr id="97" name="Frame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reorganization, restructuring, merger or similar transaction involving us that may adversely affect the holders of the debt securities. </w:t>
      </w:r>
      <w:r>
        <mc:AlternateContent>
          <mc:Choice Requires="wps">
            <w:drawing>
              <wp:anchor behindDoc="0" distT="73660" distB="0" distL="254000" distR="0" simplePos="0" locked="0" layoutInCell="1" allowOverlap="1" relativeHeight="100">
                <wp:simplePos x="0" y="0"/>
                <wp:positionH relativeFrom="column">
                  <wp:align>left</wp:align>
                </wp:positionH>
                <wp:positionV relativeFrom="line">
                  <wp:align>top</wp:align>
                </wp:positionV>
                <wp:extent cx="127000" cy="350520"/>
                <wp:effectExtent l="0" t="0" r="0" b="0"/>
                <wp:wrapSquare wrapText="right"/>
                <wp:docPr id="98" name="Frame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Restrictions on the ownership and transfer of the shares of common stock of Simon Property designed to preserve its status as a REIT, however, may act to prevent or hinder a change of control.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 Guarantee by Predecessor Operating Partnership</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indicates that a predecessor operating partnership subsidiary of Simon Property that had the same name as us would guarantee the payment of any securities issued under the Indenture. Effective December 31, 1997, this predecessor operating partnership was merged into us. As a result, we acquired all of the assets and partnership interests it previously owned and its obligations as guarantor under the Indenture were terminated.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Covenants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covenants will apply to the debt securities unless they are amended or supplemented in the supplemental indenture relating to a particular series of debt securities: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Merger, Consolidation or Sale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consolidate with, or sell, lease or convey all or substantially all of our assets to, or merge with or into, any other entity, provided that: </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either we will be the continuing entity or the successor entity will be an entity organized and existing under U.S. laws and the successor entity expressly assumes payment of the principal of, premium, if any, and any interest on all of the debt securities and the due and punctual performance and observance of all of the covenants and conditions contained in the Indenture; </w:t>
      </w:r>
      <w:r>
        <mc:AlternateContent>
          <mc:Choice Requires="wps">
            <w:drawing>
              <wp:anchor behindDoc="0" distT="69850" distB="0" distL="254000" distR="0" simplePos="0" locked="0" layoutInCell="1" allowOverlap="1" relativeHeight="101">
                <wp:simplePos x="0" y="0"/>
                <wp:positionH relativeFrom="column">
                  <wp:align>left</wp:align>
                </wp:positionH>
                <wp:positionV relativeFrom="line">
                  <wp:align>top</wp:align>
                </wp:positionV>
                <wp:extent cx="127000" cy="350520"/>
                <wp:effectExtent l="0" t="0" r="0" b="0"/>
                <wp:wrapSquare wrapText="right"/>
                <wp:docPr id="99" name="Frame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immediately after giving effect to the transaction and treating any indebtedness which becomes our obligation or the obligation of a Subsidiary as a result thereof as having been incurred by us or that Subsidiary at the time of the transaction, no Event of Default, and no event which, after notice or the lapse of time, or both, would become an Event of Default, will have occurred and be continuing; and </w:t>
      </w:r>
      <w:r>
        <mc:AlternateContent>
          <mc:Choice Requires="wps">
            <w:drawing>
              <wp:anchor behindDoc="0" distT="67310" distB="0" distL="254000" distR="0" simplePos="0" locked="0" layoutInCell="1" allowOverlap="1" relativeHeight="102">
                <wp:simplePos x="0" y="0"/>
                <wp:positionH relativeFrom="column">
                  <wp:align>left</wp:align>
                </wp:positionH>
                <wp:positionV relativeFrom="line">
                  <wp:align>top</wp:align>
                </wp:positionV>
                <wp:extent cx="127000" cy="350520"/>
                <wp:effectExtent l="0" t="0" r="0" b="0"/>
                <wp:wrapSquare wrapText="right"/>
                <wp:docPr id="100" name="Frame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 officer’s certificate and legal opinion covering these conditions is delivered to the trustee. (</w:t>
      </w:r>
      <w:r>
        <w:rPr>
          <w:rFonts w:ascii="Times New Roman;Times;serif" w:hAnsi="Times New Roman;Times;serif"/>
          <w:b w:val="false"/>
          <w:i/>
          <w:caps w:val="false"/>
          <w:smallCaps w:val="false"/>
          <w:color w:val="000000"/>
          <w:spacing w:val="4"/>
          <w:sz w:val="20"/>
        </w:rPr>
        <w:t>Section 801 and 803</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67310" distB="0" distL="254000" distR="0" simplePos="0" locked="0" layoutInCell="1" allowOverlap="1" relativeHeight="103">
                <wp:simplePos x="0" y="0"/>
                <wp:positionH relativeFrom="column">
                  <wp:align>left</wp:align>
                </wp:positionH>
                <wp:positionV relativeFrom="line">
                  <wp:align>top</wp:align>
                </wp:positionV>
                <wp:extent cx="127000" cy="350520"/>
                <wp:effectExtent l="0" t="0" r="0" b="0"/>
                <wp:wrapSquare wrapText="right"/>
                <wp:docPr id="101" name="Frame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Existence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Except as described under “— </w:t>
      </w:r>
      <w:r>
        <w:rPr>
          <w:rFonts w:ascii="Times New Roman;Times;serif" w:hAnsi="Times New Roman;Times;serif"/>
          <w:b w:val="false"/>
          <w:i/>
          <w:caps w:val="false"/>
          <w:smallCaps w:val="false"/>
          <w:color w:val="000000"/>
          <w:spacing w:val="4"/>
          <w:sz w:val="20"/>
        </w:rPr>
        <w:t>Merger, Consolidation or Sale</w:t>
      </w:r>
      <w:r>
        <w:rPr>
          <w:rFonts w:ascii="Times New Roman;Times;serif" w:hAnsi="Times New Roman;Times;serif"/>
          <w:b w:val="false"/>
          <w:i w:val="false"/>
          <w:caps w:val="false"/>
          <w:smallCaps w:val="false"/>
          <w:color w:val="000000"/>
          <w:spacing w:val="4"/>
          <w:sz w:val="20"/>
        </w:rPr>
        <w:t>,” above, we will do or cause to be done all things necessary to preserve and keep in full force and effect our existence, rights (by partnership agreement and statute) and franchises. However, we will not be required to preserve any right or franchise if we determine that its loss is not disadvantageous in any material respect to the holders of the debt securities. (</w:t>
      </w:r>
      <w:r>
        <w:rPr>
          <w:rFonts w:ascii="Times New Roman;Times;serif" w:hAnsi="Times New Roman;Times;serif"/>
          <w:b w:val="false"/>
          <w:i/>
          <w:caps w:val="false"/>
          <w:smallCaps w:val="false"/>
          <w:color w:val="000000"/>
          <w:spacing w:val="4"/>
          <w:sz w:val="20"/>
        </w:rPr>
        <w:t>Section 1006</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Maintenance of Properties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will cause all of our material properties used or useful in the conduct of our business or the business of any Subsidiary to be maintained and kept in good condition, repair and working order and supplied with all necessary equipment. We will also cause to be made all necessary repairs, renewals, replacements, betterments and improvements on these properties. Our obligations with respect to the maintenance of these properties is subject to our reasonable judgment as to what may be necessary so that the business carried on in connection with these properties may be properly conducted at all times. We and our Subsidiaries will not be prevented from selling or otherwise disposing of any properties for value in the ordinary course of business. (</w:t>
      </w:r>
      <w:r>
        <w:rPr>
          <w:rFonts w:ascii="Times New Roman;Times;serif" w:hAnsi="Times New Roman;Times;serif"/>
          <w:b w:val="false"/>
          <w:i/>
          <w:caps w:val="false"/>
          <w:smallCaps w:val="false"/>
          <w:color w:val="000000"/>
          <w:spacing w:val="4"/>
          <w:sz w:val="20"/>
        </w:rPr>
        <w:t>Section 1007</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Insurance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will, and will cause each of our Subsidiaries to, keep in force insurance policies on all our insurable properties. The insurance policies will be issued by financially sound and reputable companies protecting against loss or damage at least equal to the property’s then full insurable value (subject to reasonable deductibles determined by us). (</w:t>
      </w:r>
      <w:r>
        <w:rPr>
          <w:rFonts w:ascii="Times New Roman;Times;serif" w:hAnsi="Times New Roman;Times;serif"/>
          <w:b w:val="false"/>
          <w:i/>
          <w:caps w:val="false"/>
          <w:smallCaps w:val="false"/>
          <w:color w:val="000000"/>
          <w:spacing w:val="4"/>
          <w:sz w:val="20"/>
        </w:rPr>
        <w:t>Section 1008</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Payment of Taxes and Other Claims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pay or discharge or cause to be paid or discharged, before the same become delinquent: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taxes, assessments and governmental charges levied or imposed upon us or any Subsidiary or upon our income, profits or property or upon any Subsidiary’s income, profits or property; and </w:t>
      </w:r>
      <w:r>
        <mc:AlternateContent>
          <mc:Choice Requires="wps">
            <w:drawing>
              <wp:anchor behindDoc="0" distT="77470" distB="0" distL="254000" distR="0" simplePos="0" locked="0" layoutInCell="1" allowOverlap="1" relativeHeight="104">
                <wp:simplePos x="0" y="0"/>
                <wp:positionH relativeFrom="column">
                  <wp:align>left</wp:align>
                </wp:positionH>
                <wp:positionV relativeFrom="line">
                  <wp:align>top</wp:align>
                </wp:positionV>
                <wp:extent cx="127000" cy="350520"/>
                <wp:effectExtent l="0" t="0" r="0" b="0"/>
                <wp:wrapSquare wrapText="right"/>
                <wp:docPr id="102" name="Frame1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lawful claims for labor, materials and supplies which, if unpaid, might by law become a lien upon our property or the property of any Subsidiary; </w:t>
      </w:r>
      <w:r>
        <mc:AlternateContent>
          <mc:Choice Requires="wps">
            <w:drawing>
              <wp:anchor behindDoc="0" distT="77470" distB="0" distL="254000" distR="0" simplePos="0" locked="0" layoutInCell="1" allowOverlap="1" relativeHeight="105">
                <wp:simplePos x="0" y="0"/>
                <wp:positionH relativeFrom="column">
                  <wp:align>left</wp:align>
                </wp:positionH>
                <wp:positionV relativeFrom="line">
                  <wp:align>top</wp:align>
                </wp:positionV>
                <wp:extent cx="127000" cy="350520"/>
                <wp:effectExtent l="0" t="0" r="0" b="0"/>
                <wp:wrapSquare wrapText="right"/>
                <wp:docPr id="103" name="Frame1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excluding, however, any tax, assessment, charge or claim whose amount, applicability or validity is being contested in good faith by appropriate proceedings. (</w:t>
      </w:r>
      <w:r>
        <w:rPr>
          <w:rFonts w:ascii="Times New Roman;Times;serif" w:hAnsi="Times New Roman;Times;serif"/>
          <w:b w:val="false"/>
          <w:i/>
          <w:caps w:val="false"/>
          <w:smallCaps w:val="false"/>
          <w:color w:val="000000"/>
          <w:spacing w:val="4"/>
          <w:sz w:val="20"/>
        </w:rPr>
        <w:t>Section 1009</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Provision of Financial Information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or not we are subject to Section 13 or 15(d) of the Exchange Act, and to the extent permitted under the Exchange Act, we will file with the SEC the annual reports, quarterly reports and other documents required under Section 13 or 15(d) (the “Financial Information”) on or prior to the respective dates (the “Required Filing Dates”) by which we would have been required to file those documents if we were subject to Section 13 or 15(d). We also will in any event within 15 days of each Required Filing Date: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transmit copies of the Financial Information by mail to all holders of debt securities (as their names and addresses appear in the security register) without cost to the holders, and </w:t>
      </w:r>
      <w:r>
        <mc:AlternateContent>
          <mc:Choice Requires="wps">
            <w:drawing>
              <wp:anchor behindDoc="0" distT="77470" distB="0" distL="254000" distR="0" simplePos="0" locked="0" layoutInCell="1" allowOverlap="1" relativeHeight="106">
                <wp:simplePos x="0" y="0"/>
                <wp:positionH relativeFrom="column">
                  <wp:align>left</wp:align>
                </wp:positionH>
                <wp:positionV relativeFrom="line">
                  <wp:align>top</wp:align>
                </wp:positionV>
                <wp:extent cx="127000" cy="350520"/>
                <wp:effectExtent l="0" t="0" r="0" b="0"/>
                <wp:wrapSquare wrapText="right"/>
                <wp:docPr id="104" name="Frame1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file copies of the Financial Information with the trustee. </w:t>
      </w:r>
      <w:r>
        <mc:AlternateContent>
          <mc:Choice Requires="wps">
            <w:drawing>
              <wp:anchor behindDoc="0" distT="77470" distB="0" distL="254000" distR="0" simplePos="0" locked="0" layoutInCell="1" allowOverlap="1" relativeHeight="107">
                <wp:simplePos x="0" y="0"/>
                <wp:positionH relativeFrom="column">
                  <wp:align>left</wp:align>
                </wp:positionH>
                <wp:positionV relativeFrom="line">
                  <wp:align>top</wp:align>
                </wp:positionV>
                <wp:extent cx="127000" cy="350520"/>
                <wp:effectExtent l="0" t="0" r="0" b="0"/>
                <wp:wrapSquare wrapText="right"/>
                <wp:docPr id="105" name="Frame1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we are not permitted to file these documents with the SEC under the Exchange Act, we will supply copies of the documents to any prospective holder promptly upon written request. (</w:t>
      </w:r>
      <w:r>
        <w:rPr>
          <w:rFonts w:ascii="Times New Roman;Times;serif" w:hAnsi="Times New Roman;Times;serif"/>
          <w:b w:val="false"/>
          <w:i/>
          <w:caps w:val="false"/>
          <w:smallCaps w:val="false"/>
          <w:color w:val="000000"/>
          <w:spacing w:val="4"/>
          <w:sz w:val="20"/>
        </w:rPr>
        <w:t>Section 1010</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Waiver; Additional Covenants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Compliance with the covenants described in this prospectus and with respect to the debt securities generally may not be waived by us, or by the trustee, unless the holders of at least a majority in principal amount of all outstanding debt securities consent to the waiver.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additional or different covenants with respect to any series of debt securities will be set forth in the applicable prospectus supplement.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Modification of the Indenture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Modifications and amendments of the Indenture may be made only with the consent of the holders of not less than a majority in principal amount of all outstanding debt securities (as defined in the Indenture) affected by the modification or amendment (voting as a single class); provided, however, that no such modification or amendment may, without the consent of the holder of each debt security affected thereby: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 the stated maturity of the principal of, or premium, if any, on, or any installment of principal of or interest on, any debt security; </w:t>
      </w:r>
      <w:r>
        <mc:AlternateContent>
          <mc:Choice Requires="wps">
            <w:drawing>
              <wp:anchor behindDoc="0" distT="77470" distB="0" distL="254000" distR="0" simplePos="0" locked="0" layoutInCell="1" allowOverlap="1" relativeHeight="108">
                <wp:simplePos x="0" y="0"/>
                <wp:positionH relativeFrom="column">
                  <wp:align>left</wp:align>
                </wp:positionH>
                <wp:positionV relativeFrom="line">
                  <wp:align>top</wp:align>
                </wp:positionV>
                <wp:extent cx="127000" cy="350520"/>
                <wp:effectExtent l="0" t="0" r="0" b="0"/>
                <wp:wrapSquare wrapText="right"/>
                <wp:docPr id="106" name="Frame1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the principal amount of, or the rate or amount of interest on, or any premium payable on redemption of the debt security or reduce the amount of principal of an Original Issue Discount Security (as defined in the Indenture) that would be due and payable upon acceleration of maturity or that would be provable in bankruptcy, or adversely affect any right of repayment at the option of the holder of any debt securities; </w:t>
      </w:r>
      <w:r>
        <mc:AlternateContent>
          <mc:Choice Requires="wps">
            <w:drawing>
              <wp:anchor behindDoc="0" distT="77470" distB="0" distL="254000" distR="0" simplePos="0" locked="0" layoutInCell="1" allowOverlap="1" relativeHeight="109">
                <wp:simplePos x="0" y="0"/>
                <wp:positionH relativeFrom="column">
                  <wp:align>left</wp:align>
                </wp:positionH>
                <wp:positionV relativeFrom="line">
                  <wp:align>top</wp:align>
                </wp:positionV>
                <wp:extent cx="127000" cy="350520"/>
                <wp:effectExtent l="0" t="0" r="0" b="0"/>
                <wp:wrapSquare wrapText="right"/>
                <wp:docPr id="107" name="Frame1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 the place of payment, or the coin or currency, for payment of principal or premium, if any, or interest on the debt securities; </w:t>
      </w:r>
      <w:r>
        <mc:AlternateContent>
          <mc:Choice Requires="wps">
            <w:drawing>
              <wp:anchor behindDoc="0" distT="76200" distB="0" distL="254000" distR="0" simplePos="0" locked="0" layoutInCell="1" allowOverlap="1" relativeHeight="110">
                <wp:simplePos x="0" y="0"/>
                <wp:positionH relativeFrom="column">
                  <wp:align>left</wp:align>
                </wp:positionH>
                <wp:positionV relativeFrom="line">
                  <wp:align>top</wp:align>
                </wp:positionV>
                <wp:extent cx="127000" cy="350520"/>
                <wp:effectExtent l="0" t="0" r="0" b="0"/>
                <wp:wrapSquare wrapText="right"/>
                <wp:docPr id="108" name="Frame1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impair the right to institute suit for the enforcement of any payment on or with respect to the debt securities on or after the stated maturity of any debt security; </w:t>
      </w:r>
      <w:r>
        <mc:AlternateContent>
          <mc:Choice Requires="wps">
            <w:drawing>
              <wp:anchor behindDoc="0" distT="76200" distB="0" distL="254000" distR="0" simplePos="0" locked="0" layoutInCell="1" allowOverlap="1" relativeHeight="111">
                <wp:simplePos x="0" y="0"/>
                <wp:positionH relativeFrom="column">
                  <wp:align>left</wp:align>
                </wp:positionH>
                <wp:positionV relativeFrom="line">
                  <wp:align>top</wp:align>
                </wp:positionV>
                <wp:extent cx="127000" cy="350520"/>
                <wp:effectExtent l="0" t="0" r="0" b="0"/>
                <wp:wrapSquare wrapText="right"/>
                <wp:docPr id="109" name="Frame1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the percentage in principal amount of outstanding debt securities the consent of whose holders is necessary to modify or amend the Indenture, for any waiver with respect to the debt </w:t>
      </w:r>
      <w:r>
        <mc:AlternateContent>
          <mc:Choice Requires="wps">
            <w:drawing>
              <wp:anchor behindDoc="0" distT="76200" distB="0" distL="254000" distR="0" simplePos="0" locked="0" layoutInCell="1" allowOverlap="1" relativeHeight="112">
                <wp:simplePos x="0" y="0"/>
                <wp:positionH relativeFrom="column">
                  <wp:align>left</wp:align>
                </wp:positionH>
                <wp:positionV relativeFrom="line">
                  <wp:align>top</wp:align>
                </wp:positionV>
                <wp:extent cx="127000" cy="350520"/>
                <wp:effectExtent l="0" t="0" r="0" b="0"/>
                <wp:wrapSquare wrapText="right"/>
                <wp:docPr id="110" name="Frame1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securities, or to waive compliance with specified provisions of the Indenture or specified defaults and consequences thereunder or to reduce the quorum or voting requirements set forth in the Indenture; or </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modify any of the foregoing provisions or any of the provisions relating to the waiver of specified past defaults or specified covenants, except to increase the required percentage to effect the action or to provide that specified other provisions of the Indenture may not be modified or waived without the consent of the holder of each affected outstanding debt security. (</w:t>
      </w:r>
      <w:r>
        <w:rPr>
          <w:rFonts w:ascii="Times New Roman;Times;serif" w:hAnsi="Times New Roman;Times;serif"/>
          <w:b w:val="false"/>
          <w:i/>
          <w:caps w:val="false"/>
          <w:smallCaps w:val="false"/>
          <w:color w:val="000000"/>
          <w:spacing w:val="4"/>
          <w:sz w:val="20"/>
        </w:rPr>
        <w:t>Section 902</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80010" distB="0" distL="254000" distR="0" simplePos="0" locked="0" layoutInCell="1" allowOverlap="1" relativeHeight="113">
                <wp:simplePos x="0" y="0"/>
                <wp:positionH relativeFrom="column">
                  <wp:align>left</wp:align>
                </wp:positionH>
                <wp:positionV relativeFrom="line">
                  <wp:align>top</wp:align>
                </wp:positionV>
                <wp:extent cx="127000" cy="350520"/>
                <wp:effectExtent l="0" t="0" r="0" b="0"/>
                <wp:wrapSquare wrapText="right"/>
                <wp:docPr id="111" name="Frame1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holders of not less than a majority in principal amount of a series of outstanding debt securities have the right to waive compliance by us with covenants relating to those debt securities in the Indenture. (</w:t>
      </w:r>
      <w:r>
        <w:rPr>
          <w:rFonts w:ascii="Times New Roman;Times;serif" w:hAnsi="Times New Roman;Times;serif"/>
          <w:b w:val="false"/>
          <w:i/>
          <w:caps w:val="false"/>
          <w:smallCaps w:val="false"/>
          <w:color w:val="000000"/>
          <w:spacing w:val="4"/>
          <w:sz w:val="20"/>
        </w:rPr>
        <w:t>Section 1013</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Modifications and amendments of the Indenture may be permitted to be made by us and the trustee without the consent of any holder of debt securities for any of the following purposes: </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evidence the succession of another person to us as obligor under the Indenture; </w:t>
      </w:r>
      <w:r>
        <mc:AlternateContent>
          <mc:Choice Requires="wps">
            <w:drawing>
              <wp:anchor behindDoc="0" distT="80010" distB="0" distL="254000" distR="0" simplePos="0" locked="0" layoutInCell="1" allowOverlap="1" relativeHeight="114">
                <wp:simplePos x="0" y="0"/>
                <wp:positionH relativeFrom="column">
                  <wp:align>left</wp:align>
                </wp:positionH>
                <wp:positionV relativeFrom="line">
                  <wp:align>top</wp:align>
                </wp:positionV>
                <wp:extent cx="127000" cy="350520"/>
                <wp:effectExtent l="0" t="0" r="0" b="0"/>
                <wp:wrapSquare wrapText="right"/>
                <wp:docPr id="112" name="Frame1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add to our covenants for the benefit of the holders of any series of debt securities or to surrender any right or power conferred upon us in the Indenture; </w:t>
      </w:r>
      <w:r>
        <mc:AlternateContent>
          <mc:Choice Requires="wps">
            <w:drawing>
              <wp:anchor behindDoc="0" distT="80010" distB="0" distL="254000" distR="0" simplePos="0" locked="0" layoutInCell="1" allowOverlap="1" relativeHeight="115">
                <wp:simplePos x="0" y="0"/>
                <wp:positionH relativeFrom="column">
                  <wp:align>left</wp:align>
                </wp:positionH>
                <wp:positionV relativeFrom="line">
                  <wp:align>top</wp:align>
                </wp:positionV>
                <wp:extent cx="127000" cy="350520"/>
                <wp:effectExtent l="0" t="0" r="0" b="0"/>
                <wp:wrapSquare wrapText="right"/>
                <wp:docPr id="113" name="Frame1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5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add Events of Default for the benefit of the holders of any series of debt securities; </w:t>
      </w:r>
      <w:r>
        <mc:AlternateContent>
          <mc:Choice Requires="wps">
            <w:drawing>
              <wp:anchor behindDoc="0" distT="80010" distB="0" distL="254000" distR="0" simplePos="0" locked="0" layoutInCell="1" allowOverlap="1" relativeHeight="116">
                <wp:simplePos x="0" y="0"/>
                <wp:positionH relativeFrom="column">
                  <wp:align>left</wp:align>
                </wp:positionH>
                <wp:positionV relativeFrom="line">
                  <wp:align>top</wp:align>
                </wp:positionV>
                <wp:extent cx="127000" cy="350520"/>
                <wp:effectExtent l="0" t="0" r="0" b="0"/>
                <wp:wrapSquare wrapText="right"/>
                <wp:docPr id="114" name="Frame1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add or change any provisions of the Indenture to facilitate the issuance of, or to liberalize certain terms of, debt securities in bearer form, or to permit or facilitate the issuance of debt securities in uncertificated form, provided that the action shall not adversely affect the interests of the holders of debt securities of any series in any material respect; </w:t>
      </w:r>
      <w:r>
        <mc:AlternateContent>
          <mc:Choice Requires="wps">
            <w:drawing>
              <wp:anchor behindDoc="0" distT="80010" distB="0" distL="254000" distR="0" simplePos="0" locked="0" layoutInCell="1" allowOverlap="1" relativeHeight="117">
                <wp:simplePos x="0" y="0"/>
                <wp:positionH relativeFrom="column">
                  <wp:align>left</wp:align>
                </wp:positionH>
                <wp:positionV relativeFrom="line">
                  <wp:align>top</wp:align>
                </wp:positionV>
                <wp:extent cx="127000" cy="350520"/>
                <wp:effectExtent l="0" t="0" r="0" b="0"/>
                <wp:wrapSquare wrapText="right"/>
                <wp:docPr id="115" name="Frame1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change or eliminate any provisions of the Indenture, provided that any change or elimination shall become effective only when the outstanding debt securities are not entitled to the benefit of that provision; </w:t>
      </w:r>
      <w:r>
        <mc:AlternateContent>
          <mc:Choice Requires="wps">
            <w:drawing>
              <wp:anchor behindDoc="0" distT="78740" distB="0" distL="254000" distR="0" simplePos="0" locked="0" layoutInCell="1" allowOverlap="1" relativeHeight="118">
                <wp:simplePos x="0" y="0"/>
                <wp:positionH relativeFrom="column">
                  <wp:align>left</wp:align>
                </wp:positionH>
                <wp:positionV relativeFrom="line">
                  <wp:align>top</wp:align>
                </wp:positionV>
                <wp:extent cx="127000" cy="350520"/>
                <wp:effectExtent l="0" t="0" r="0" b="0"/>
                <wp:wrapSquare wrapText="right"/>
                <wp:docPr id="116" name="Frame1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secure the debt securities; </w:t>
      </w:r>
      <w:r>
        <mc:AlternateContent>
          <mc:Choice Requires="wps">
            <w:drawing>
              <wp:anchor behindDoc="0" distT="78740" distB="0" distL="254000" distR="0" simplePos="0" locked="0" layoutInCell="1" allowOverlap="1" relativeHeight="119">
                <wp:simplePos x="0" y="0"/>
                <wp:positionH relativeFrom="column">
                  <wp:align>left</wp:align>
                </wp:positionH>
                <wp:positionV relativeFrom="line">
                  <wp:align>top</wp:align>
                </wp:positionV>
                <wp:extent cx="127000" cy="350520"/>
                <wp:effectExtent l="0" t="0" r="0" b="0"/>
                <wp:wrapSquare wrapText="right"/>
                <wp:docPr id="117" name="Frame1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establish the form or terms of the debt securities of any series; </w:t>
      </w:r>
      <w:r>
        <mc:AlternateContent>
          <mc:Choice Requires="wps">
            <w:drawing>
              <wp:anchor behindDoc="0" distT="78740" distB="0" distL="254000" distR="0" simplePos="0" locked="0" layoutInCell="1" allowOverlap="1" relativeHeight="120">
                <wp:simplePos x="0" y="0"/>
                <wp:positionH relativeFrom="column">
                  <wp:align>left</wp:align>
                </wp:positionH>
                <wp:positionV relativeFrom="line">
                  <wp:align>top</wp:align>
                </wp:positionV>
                <wp:extent cx="127000" cy="350520"/>
                <wp:effectExtent l="0" t="0" r="0" b="0"/>
                <wp:wrapSquare wrapText="right"/>
                <wp:docPr id="118" name="Frame1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provide for the acceptance of appointment under the Indenture by a successor trustee or facilitate the administration of the trust under the Indenture by more than one trustee; </w:t>
      </w:r>
      <w:r>
        <mc:AlternateContent>
          <mc:Choice Requires="wps">
            <w:drawing>
              <wp:anchor behindDoc="0" distT="78740" distB="0" distL="254000" distR="0" simplePos="0" locked="0" layoutInCell="1" allowOverlap="1" relativeHeight="121">
                <wp:simplePos x="0" y="0"/>
                <wp:positionH relativeFrom="column">
                  <wp:align>left</wp:align>
                </wp:positionH>
                <wp:positionV relativeFrom="line">
                  <wp:align>top</wp:align>
                </wp:positionV>
                <wp:extent cx="127000" cy="350520"/>
                <wp:effectExtent l="0" t="0" r="0" b="0"/>
                <wp:wrapSquare wrapText="right"/>
                <wp:docPr id="119" name="Frame1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cure any ambiguity, defect or inconsistency in the Indenture, provided that the action is not inconsistent with the provisions of the Indenture and will not adversely affect the interests of holders of debt securities of any series in any material respect; or </w:t>
      </w:r>
      <w:r>
        <mc:AlternateContent>
          <mc:Choice Requires="wps">
            <w:drawing>
              <wp:anchor behindDoc="0" distT="78740" distB="0" distL="254000" distR="0" simplePos="0" locked="0" layoutInCell="1" allowOverlap="1" relativeHeight="122">
                <wp:simplePos x="0" y="0"/>
                <wp:positionH relativeFrom="column">
                  <wp:align>left</wp:align>
                </wp:positionH>
                <wp:positionV relativeFrom="line">
                  <wp:align>top</wp:align>
                </wp:positionV>
                <wp:extent cx="127000" cy="350520"/>
                <wp:effectExtent l="0" t="0" r="0" b="0"/>
                <wp:wrapSquare wrapText="right"/>
                <wp:docPr id="120" name="Frame1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to supplement any of the provisions of the Indenture to the extent necessary to permit or facilitate defeasance and discharge of debt securities, provided that the action will not adversely affect the interests of the holders of the debt securities of any series in any material respect. (</w:t>
      </w:r>
      <w:r>
        <w:rPr>
          <w:rFonts w:ascii="Times New Roman;Times;serif" w:hAnsi="Times New Roman;Times;serif"/>
          <w:b w:val="false"/>
          <w:i/>
          <w:caps w:val="false"/>
          <w:smallCaps w:val="false"/>
          <w:color w:val="000000"/>
          <w:spacing w:val="4"/>
          <w:sz w:val="20"/>
        </w:rPr>
        <w:t>Section 901</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123">
                <wp:simplePos x="0" y="0"/>
                <wp:positionH relativeFrom="column">
                  <wp:align>left</wp:align>
                </wp:positionH>
                <wp:positionV relativeFrom="line">
                  <wp:align>top</wp:align>
                </wp:positionV>
                <wp:extent cx="127000" cy="350520"/>
                <wp:effectExtent l="0" t="0" r="0" b="0"/>
                <wp:wrapSquare wrapText="right"/>
                <wp:docPr id="121" name="Frame1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Indenture provides that in determining whether the holders of the requisite principal amount of a series of outstanding debt securities have given any request, demand, authorization, direction, notice, consent or waiver thereunder or whether a quorum is present at a meeting of holders of those debt securities, (1) the principal amount of an Original Issue Discount Security that shall be deemed to be Outstanding shall be the amount of the principal thereof that would be due and payable as of the date of such determination upon acceleration of the maturity thereof, (2) the principal amount of a debt security denominated in a foreign currency that shall be deemed Outstanding shall be the U.S. dollar equivalent, determined on the issue date for that debt security, of the principal amount (or, in the case of an Original Issue Discount Security, the U.S. dollar equivalent on the issue date of such debt security of the amount determined as provided in (1) above) of that debt security, (3) the principal amount of an Indexed Security that shall be deemed Outstanding shall be the principal face amount of such Indexed Security at original issuance, unless otherwise provided with respect to such Indexed Security pursuant to the Indenture, and (4) securities owned by the Operating Partnership or any other obligor upon the securities or any affiliate of the Operating Partnership or of such other obligor shall be disregarded. (</w:t>
      </w:r>
      <w:r>
        <w:rPr>
          <w:rFonts w:ascii="Times New Roman;Times;serif" w:hAnsi="Times New Roman;Times;serif"/>
          <w:b w:val="false"/>
          <w:i/>
          <w:caps w:val="false"/>
          <w:smallCaps w:val="false"/>
          <w:color w:val="000000"/>
          <w:spacing w:val="4"/>
          <w:sz w:val="20"/>
        </w:rPr>
        <w:t>Section 101</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Indenture contains provisions of convening meetings of the holders of debt securities of a series issuable, in whole or in part, as bearer securities. (</w:t>
      </w:r>
      <w:r>
        <w:rPr>
          <w:rFonts w:ascii="Times New Roman;Times;serif" w:hAnsi="Times New Roman;Times;serif"/>
          <w:b w:val="false"/>
          <w:i/>
          <w:caps w:val="false"/>
          <w:smallCaps w:val="false"/>
          <w:color w:val="000000"/>
          <w:spacing w:val="4"/>
          <w:sz w:val="20"/>
        </w:rPr>
        <w:t>Section 1501</w:t>
      </w:r>
      <w:r>
        <w:rPr>
          <w:rFonts w:ascii="Times New Roman;Times;serif" w:hAnsi="Times New Roman;Times;serif"/>
          <w:b w:val="false"/>
          <w:i w:val="false"/>
          <w:caps w:val="false"/>
          <w:smallCaps w:val="false"/>
          <w:color w:val="000000"/>
          <w:spacing w:val="4"/>
          <w:sz w:val="20"/>
        </w:rPr>
        <w:t>). A meeting will be permitted to be called at any time by the trustee, and also, upon request, by the Operating Partnership or the holders of at least 10% in principal amount of the outstanding debt securities of such series, in any such case upon notice given as provided in the Indenture. (</w:t>
      </w:r>
      <w:r>
        <w:rPr>
          <w:rFonts w:ascii="Times New Roman;Times;serif" w:hAnsi="Times New Roman;Times;serif"/>
          <w:b w:val="false"/>
          <w:i/>
          <w:caps w:val="false"/>
          <w:smallCaps w:val="false"/>
          <w:color w:val="000000"/>
          <w:spacing w:val="4"/>
          <w:sz w:val="20"/>
        </w:rPr>
        <w:t>Section 1502</w:t>
      </w:r>
      <w:r>
        <w:rPr>
          <w:rFonts w:ascii="Times New Roman;Times;serif" w:hAnsi="Times New Roman;Times;serif"/>
          <w:b w:val="false"/>
          <w:i w:val="false"/>
          <w:caps w:val="false"/>
          <w:smallCaps w:val="false"/>
          <w:color w:val="000000"/>
          <w:spacing w:val="4"/>
          <w:sz w:val="20"/>
        </w:rPr>
        <w:t>). Except for any consent that must be given by the holder of each debt security affected by certain modifications and amendments of the Indenture, any resolution presented at a meeting or adjourned meeting duly reconvened at which a quorum is present will be permitted to be adopted by the affirmative vote of the holders of a majority in principal amount of the outstanding debt securities of that series; provided, however, that, except as referred to above, any resolution with respect to any request, demand, authorization, direction, notice, consent, waiver or other action that may be made, given or taken by the holders of a specified percentage in principal amount of the outstanding debt securities of a series may be adopted at a meeting at which a quorum is present by the affirmative vote of the holders of such specified percentage in principal amount of the outstanding debt securities of that series. Any resolution passed or decision taken at any meeting of holders of debt securities of any series duly held in accordance with the Indenture will be binding on all holders of debt securities of that series. The quorum at any meeting called to adopt a resolution, and at any reconvened meeting, will be persons holding or representing a majority in principal amount of the outstanding debt securities of a series; provided, however, that if any action is to be taken at such meeting with respect to any request, demand, authorization, direction, notice, consent, waiver or other action which may be made, given or taken by the holders of not less than a specified percentage in principal amount of the outstanding debt securities of a series, then with respect to such action (and only such action) the persons holding or representing such specified percentage in principal amount of the outstanding debt securities of such series will constitute a quorum. (</w:t>
      </w:r>
      <w:r>
        <w:rPr>
          <w:rFonts w:ascii="Times New Roman;Times;serif" w:hAnsi="Times New Roman;Times;serif"/>
          <w:b w:val="false"/>
          <w:i/>
          <w:caps w:val="false"/>
          <w:smallCaps w:val="false"/>
          <w:color w:val="000000"/>
          <w:spacing w:val="4"/>
          <w:sz w:val="20"/>
        </w:rPr>
        <w:t>Section 1504</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the foregoing provisions, the Indenture provides that if any action is to be taken at a meeting of holders of debt securities of any series with respect to any request, demand, authorization, direction, notice, consent, waiver or other action that the Indenture expressly provides may be made, given or taken by the holders of a specified percentage in principal amount of all outstanding debt securities affected thereby, or the holders of that series and any other series: </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will be no minimum quorum requirement for the meeting; and </w:t>
      </w:r>
      <w:r>
        <mc:AlternateContent>
          <mc:Choice Requires="wps">
            <w:drawing>
              <wp:anchor behindDoc="0" distT="68580" distB="0" distL="254000" distR="0" simplePos="0" locked="0" layoutInCell="1" allowOverlap="1" relativeHeight="124">
                <wp:simplePos x="0" y="0"/>
                <wp:positionH relativeFrom="column">
                  <wp:align>left</wp:align>
                </wp:positionH>
                <wp:positionV relativeFrom="line">
                  <wp:align>top</wp:align>
                </wp:positionV>
                <wp:extent cx="127000" cy="350520"/>
                <wp:effectExtent l="0" t="0" r="0" b="0"/>
                <wp:wrapSquare wrapText="right"/>
                <wp:docPr id="122" name="Frame1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principal amount of the outstanding debt securities of the series that votes in favor of the request, demand, authorization, direction, notice, consent, waiver or other action will be taken into account in determining whether the request, demand, authorization, direction, notice, consent, waiver or other action has been made, given or taken under the Indenture. (</w:t>
      </w:r>
      <w:r>
        <w:rPr>
          <w:rFonts w:ascii="Times New Roman;Times;serif" w:hAnsi="Times New Roman;Times;serif"/>
          <w:b w:val="false"/>
          <w:i/>
          <w:caps w:val="false"/>
          <w:smallCaps w:val="false"/>
          <w:color w:val="000000"/>
          <w:spacing w:val="4"/>
          <w:sz w:val="20"/>
        </w:rPr>
        <w:t>Section 1504</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67310" distB="0" distL="254000" distR="0" simplePos="0" locked="0" layoutInCell="1" allowOverlap="1" relativeHeight="125">
                <wp:simplePos x="0" y="0"/>
                <wp:positionH relativeFrom="column">
                  <wp:align>left</wp:align>
                </wp:positionH>
                <wp:positionV relativeFrom="line">
                  <wp:align>top</wp:align>
                </wp:positionV>
                <wp:extent cx="127000" cy="350520"/>
                <wp:effectExtent l="0" t="0" r="0" b="0"/>
                <wp:wrapSquare wrapText="right"/>
                <wp:docPr id="123" name="Frame1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Events of Default, Notice and Waiver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amended, modified or supplemented in the supplemental indenture relating to a particular series of debt securities, the term “Event of Default,” when used in this prospectus and the Indenture means any one of the following events: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default in the payment of any interest upon the debt securities when the interest becomes due and payable, and continuance of the default for a period of 30 days;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   default in the payment of the principal of, or premium, if any, on, any debt security when it becomes due and payable at its Maturity Date or by declaration of acceleration, notice of redemption or otherwise;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   default in making a required sinking fund payment, if any;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(4)   default in the performance of any of our covenants in the Indenture (other than a covenant added to the Indenture solely for the benefit of a series of debt securities issued under the Indenture) and continuance of the default for a period of 60 days after there has been given, by registered or certified mail, to us by the trustee, or to us and the trustee by the holders of at least 25% in principal amount of the debt securities, a written notice specifying the default and requiring it to be remedied and stating that the notice is a “Notice of Default” under the Indenture;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(5)   a default in the payment of an aggregate principal amount exceeding $30 million of any of our recourse indebtedness (however evidenced) after the expiration of any applicable grace period with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respect thereto and the default has resulted in the indebtedness becoming or being declared due and payable prior to the date on which it would otherwise have become due and payable, but only if that indebtedness is not discharged, or the acceleration rescinded or annulled within a period of 10 days after there has been given, by registered or certified mail, to us by the trustee, or to us and the trustee by the holders of at least 10% in principal amount of the outstanding debt securities, a written notice specifying the default and requiring us to cause the indebtedness to be discharged or cause the acceleration to be rescinded or annulled and stating that the notice is a “Notice of Default” under the Indenture;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(6)   specific events of bankruptcy, insolvency or reorganization affecting us or certain Subsidiaries or any of their respective properties; or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   any other Event of Default provided with respect to a particular series of debt securities issued under the Indenture. (</w:t>
      </w:r>
      <w:r>
        <w:rPr>
          <w:rFonts w:ascii="Times New Roman;Times;serif" w:hAnsi="Times New Roman;Times;serif"/>
          <w:b w:val="false"/>
          <w:i/>
          <w:caps w:val="false"/>
          <w:smallCaps w:val="false"/>
          <w:color w:val="000000"/>
          <w:spacing w:val="4"/>
          <w:sz w:val="20"/>
        </w:rPr>
        <w:t>Section 501</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 Event of Default under the Indenture with respect to the debt securities at the time outstanding occurs and is continuing, then in every such case the trustee or the holders of not less than 25% of the principal amount of the outstanding debt securities may declare the principal amount and premium or Make-Whole Amount, if any, and accrued interest on all the debt securities to be due and payable immediately by written notice thereof to us, and to the trustee if given by the holders; provided, that in the case of an Event of Default described in clause (6) above, acceleration is automatic. However, at any time after a declaration of acceleration with respect to the debt securities has been made, but before a judgment or decree for payment of the money due has been obtained by the trustee, the holders of not less than a majority in principal amount of the outstanding debt securities may, by written notice to us and the trustee, rescind and annul the declaration and its consequences if: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deposited with the trustee all required payments of the principal of, and premium or Make-Whole Amount, if any, and interest on the debt securities, plus specified fees, expenses, disbursement and advances of the trustee; and </w:t>
      </w:r>
      <w:r>
        <mc:AlternateContent>
          <mc:Choice Requires="wps">
            <w:drawing>
              <wp:anchor behindDoc="0" distT="74930" distB="0" distL="254000" distR="0" simplePos="0" locked="0" layoutInCell="1" allowOverlap="1" relativeHeight="126">
                <wp:simplePos x="0" y="0"/>
                <wp:positionH relativeFrom="column">
                  <wp:align>left</wp:align>
                </wp:positionH>
                <wp:positionV relativeFrom="line">
                  <wp:align>top</wp:align>
                </wp:positionV>
                <wp:extent cx="127000" cy="350520"/>
                <wp:effectExtent l="0" t="0" r="0" b="0"/>
                <wp:wrapSquare wrapText="right"/>
                <wp:docPr id="124" name="Frame1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all Events of Default with respect to the debt securities, other than the non-payment of principal of, or Make-Whole Amount, if any, or interest on the debt securities which has become due solely by the declaration of acceleration, have been cured or waived as provided in the Indenture. (</w:t>
      </w:r>
      <w:r>
        <w:rPr>
          <w:rFonts w:ascii="Times New Roman;Times;serif" w:hAnsi="Times New Roman;Times;serif"/>
          <w:b w:val="false"/>
          <w:i/>
          <w:caps w:val="false"/>
          <w:smallCaps w:val="false"/>
          <w:color w:val="000000"/>
          <w:spacing w:val="4"/>
          <w:sz w:val="20"/>
        </w:rPr>
        <w:t>Section 502</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127">
                <wp:simplePos x="0" y="0"/>
                <wp:positionH relativeFrom="column">
                  <wp:align>left</wp:align>
                </wp:positionH>
                <wp:positionV relativeFrom="line">
                  <wp:align>top</wp:align>
                </wp:positionV>
                <wp:extent cx="127000" cy="350520"/>
                <wp:effectExtent l="0" t="0" r="0" b="0"/>
                <wp:wrapSquare wrapText="right"/>
                <wp:docPr id="125" name="Frame1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holders of not less than a majority in principal amount of the debt securities of any series may waive any past default with respect to such series and its consequences, except a default: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payment of the principal of, or premium, if any, or interest payable on any debt security of that series; or </w:t>
      </w:r>
      <w:r>
        <mc:AlternateContent>
          <mc:Choice Requires="wps">
            <w:drawing>
              <wp:anchor behindDoc="0" distT="74930" distB="0" distL="254000" distR="0" simplePos="0" locked="0" layoutInCell="1" allowOverlap="1" relativeHeight="128">
                <wp:simplePos x="0" y="0"/>
                <wp:positionH relativeFrom="column">
                  <wp:align>left</wp:align>
                </wp:positionH>
                <wp:positionV relativeFrom="line">
                  <wp:align>top</wp:align>
                </wp:positionV>
                <wp:extent cx="127000" cy="350520"/>
                <wp:effectExtent l="0" t="0" r="0" b="0"/>
                <wp:wrapSquare wrapText="right"/>
                <wp:docPr id="126" name="Frame1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respect of a covenant or provision contained in the Indenture that cannot be modified or amended without the consent of the holder of each debt security of the affected series. (</w:t>
      </w:r>
      <w:r>
        <w:rPr>
          <w:rFonts w:ascii="Times New Roman;Times;serif" w:hAnsi="Times New Roman;Times;serif"/>
          <w:b w:val="false"/>
          <w:i/>
          <w:caps w:val="false"/>
          <w:smallCaps w:val="false"/>
          <w:color w:val="000000"/>
          <w:spacing w:val="4"/>
          <w:sz w:val="20"/>
        </w:rPr>
        <w:t>Section 513</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29">
                <wp:simplePos x="0" y="0"/>
                <wp:positionH relativeFrom="column">
                  <wp:align>left</wp:align>
                </wp:positionH>
                <wp:positionV relativeFrom="line">
                  <wp:align>top</wp:align>
                </wp:positionV>
                <wp:extent cx="127000" cy="350520"/>
                <wp:effectExtent l="0" t="0" r="0" b="0"/>
                <wp:wrapSquare wrapText="right"/>
                <wp:docPr id="127" name="Frame1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trustee will be required to give notice to the holders of the debt securities within 90 days of the occurrence of a default under the Indenture unless the default has been cured or waived; provided, however, that the trustee may withhold notice to the holders of the debt securities of any default, except a default in the payment of the principal of, or premium or Make-Whole Amount, if any, or interest on the debt securities, if and so long as specified responsible officers of the trustee determine in good faith that the withholding of the notice is in the interest of the holders. (</w:t>
      </w:r>
      <w:r>
        <w:rPr>
          <w:rFonts w:ascii="Times New Roman;Times;serif" w:hAnsi="Times New Roman;Times;serif"/>
          <w:b w:val="false"/>
          <w:i/>
          <w:caps w:val="false"/>
          <w:smallCaps w:val="false"/>
          <w:color w:val="000000"/>
          <w:spacing w:val="4"/>
          <w:sz w:val="20"/>
        </w:rPr>
        <w:t>Section 601</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Indenture provides that no holder of debt securities may institute any proceedings, judicial or otherwise, with respect to the Indenture, or for the appointment of a receiver or trustee, or for any remedy thereunder, except in the case of failure of the trustee, for 60 days, to act after it has received a written request to institute proceedings in respect of an Event of Default from the holders of not less than 25% in principal amount of the outstanding debt securities, as well as an offer of indemnity reasonably satisfactory to it. This provision will not prevent, however, any holder of debt securities from instituting suit for the payment of the principal of, and premium or Make-Whole Amount, if any, and interest on the debt securities on the due date thereof. (</w:t>
      </w:r>
      <w:r>
        <w:rPr>
          <w:rFonts w:ascii="Times New Roman;Times;serif" w:hAnsi="Times New Roman;Times;serif"/>
          <w:b w:val="false"/>
          <w:i/>
          <w:caps w:val="false"/>
          <w:smallCaps w:val="false"/>
          <w:color w:val="000000"/>
          <w:spacing w:val="4"/>
          <w:sz w:val="20"/>
        </w:rPr>
        <w:t>Sections 507 and 508</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provisions in the Indenture relating to its duties in case of default, the trustee is under no obligation to exercise any of its rights or powers under the Indenture at the request or direction of 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holders of debt securities then outstanding under the Indenture, unless the holders have offered to the trustee reasonable security or indemnity. (</w:t>
      </w:r>
      <w:r>
        <w:rPr>
          <w:rFonts w:ascii="Times New Roman;Times;serif" w:hAnsi="Times New Roman;Times;serif"/>
          <w:b w:val="false"/>
          <w:i/>
          <w:caps w:val="false"/>
          <w:smallCaps w:val="false"/>
          <w:color w:val="000000"/>
          <w:spacing w:val="4"/>
          <w:sz w:val="20"/>
        </w:rPr>
        <w:t>Section 602</w:t>
      </w:r>
      <w:r>
        <w:rPr>
          <w:rFonts w:ascii="Times New Roman;Times;serif" w:hAnsi="Times New Roman;Times;serif"/>
          <w:b w:val="false"/>
          <w:i w:val="false"/>
          <w:caps w:val="false"/>
          <w:smallCaps w:val="false"/>
          <w:color w:val="000000"/>
          <w:spacing w:val="4"/>
          <w:sz w:val="20"/>
        </w:rPr>
        <w:t>). The holders of not less than a majority in principal amount of the outstanding debt securities have the right to direct the time, method and place of conducting any proceeding for any remedy available to the trustee or exercising any trust or power conferred upon the trustee. However, the trustee may refuse to follow any direction which is in conflict with any law or the Indenture, which may involve the trustee in personal liability or which may be unduly prejudicial to the holders of debt securities not joining therein and the trustee may take any other action it deems proper and not inconsistent with the direction given. (</w:t>
      </w:r>
      <w:r>
        <w:rPr>
          <w:rFonts w:ascii="Times New Roman;Times;serif" w:hAnsi="Times New Roman;Times;serif"/>
          <w:b w:val="false"/>
          <w:i/>
          <w:caps w:val="false"/>
          <w:smallCaps w:val="false"/>
          <w:color w:val="000000"/>
          <w:spacing w:val="4"/>
          <w:sz w:val="20"/>
        </w:rPr>
        <w:t>Section 512</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Within 120 days after the close of each fiscal year, we will be required to deliver to the trustee a certificate, signed by one of several of our specified officers, stating whether or not the officer has knowledge of any default under the Indenture and, if so, specifying each default and the nature and status thereof. (</w:t>
      </w:r>
      <w:r>
        <w:rPr>
          <w:rFonts w:ascii="Times New Roman;Times;serif" w:hAnsi="Times New Roman;Times;serif"/>
          <w:b w:val="false"/>
          <w:i/>
          <w:caps w:val="false"/>
          <w:smallCaps w:val="false"/>
          <w:color w:val="000000"/>
          <w:spacing w:val="4"/>
          <w:sz w:val="20"/>
        </w:rPr>
        <w:t>Section 1011</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Discharge, Defeasance and Covenant Defeasance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are permitted under the Indenture to discharge specific obligations to the holders of the debt securities that have not already been delivered to the trustee for cancellation by irrevocably depositing with the trustee, in trust, funds in the currency in which the debt securities are payable in an amount sufficient to pay the entire indebtedness on the debt securities in respect of principal, and premium or Make-Whole Amount, if any, and interest to the date of the deposit, if the debt securities have become due and payable, or to the stated Maturity Date or redemption date, as the case may be. (</w:t>
      </w:r>
      <w:r>
        <w:rPr>
          <w:rFonts w:ascii="Times New Roman;Times;serif" w:hAnsi="Times New Roman;Times;serif"/>
          <w:b w:val="false"/>
          <w:i/>
          <w:caps w:val="false"/>
          <w:smallCaps w:val="false"/>
          <w:color w:val="000000"/>
          <w:spacing w:val="4"/>
          <w:sz w:val="20"/>
        </w:rPr>
        <w:t>Section 401</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also provides that we may elect either: </w:t>
      </w:r>
    </w:p>
    <w:p>
      <w:pPr>
        <w:pStyle w:val="TextBody"/>
        <w:bidi w:val="0"/>
        <w:spacing w:lineRule="atLeast" w:line="240" w:before="11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defease and be discharged from any and all obligations with respect to the debt securities other than the obligations to register the transfer or exchange of the debt securities, to replace temporary or mutilated, destroyed, lost or stolen debt securities, to maintain an office or agency in respect of the debt securities and to hold moneys for payment in trust (“defeasance”); or </w:t>
      </w:r>
      <w:r>
        <mc:AlternateContent>
          <mc:Choice Requires="wps">
            <w:drawing>
              <wp:anchor behindDoc="0" distT="71120" distB="0" distL="254000" distR="0" simplePos="0" locked="0" layoutInCell="1" allowOverlap="1" relativeHeight="130">
                <wp:simplePos x="0" y="0"/>
                <wp:positionH relativeFrom="column">
                  <wp:align>left</wp:align>
                </wp:positionH>
                <wp:positionV relativeFrom="line">
                  <wp:align>top</wp:align>
                </wp:positionV>
                <wp:extent cx="127000" cy="350520"/>
                <wp:effectExtent l="0" t="0" r="0" b="0"/>
                <wp:wrapSquare wrapText="right"/>
                <wp:docPr id="128" name="Frame1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be released from our obligations with respect to the debt securities and any other covenant, and any omission to comply with these obligations shall not constitute an Event of Default with respect to the debt securities (“covenant defeasance”); </w:t>
      </w:r>
      <w:r>
        <mc:AlternateContent>
          <mc:Choice Requires="wps">
            <w:drawing>
              <wp:anchor behindDoc="0" distT="71120" distB="0" distL="254000" distR="0" simplePos="0" locked="0" layoutInCell="1" allowOverlap="1" relativeHeight="131">
                <wp:simplePos x="0" y="0"/>
                <wp:positionH relativeFrom="column">
                  <wp:align>left</wp:align>
                </wp:positionH>
                <wp:positionV relativeFrom="line">
                  <wp:align>top</wp:align>
                </wp:positionV>
                <wp:extent cx="127000" cy="350520"/>
                <wp:effectExtent l="0" t="0" r="0" b="0"/>
                <wp:wrapSquare wrapText="right"/>
                <wp:docPr id="129" name="Frame1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either case upon the irrevocable deposit by us with the trustee, in trust, of an amount, in the currency in which the debt securities are payable at stated maturity, or Government Obligations, or both, applicable to the debt securities which through the scheduled payment of principal and interest in accordance with their terms will provide money in an amount sufficient without reinvestment to pay the principal of, and premium or Make-Whole Amount, if any, and interest on the debt securities on the scheduled due dates therefor. (</w:t>
      </w:r>
      <w:r>
        <w:rPr>
          <w:rFonts w:ascii="Times New Roman;Times;serif" w:hAnsi="Times New Roman;Times;serif"/>
          <w:b w:val="false"/>
          <w:i/>
          <w:caps w:val="false"/>
          <w:smallCaps w:val="false"/>
          <w:color w:val="000000"/>
          <w:spacing w:val="4"/>
          <w:sz w:val="20"/>
        </w:rPr>
        <w:t>Sections 1402 and 1404</w:t>
      </w:r>
      <w:r>
        <w:rPr>
          <w:rFonts w:ascii="Times New Roman;Times;serif" w:hAnsi="Times New Roman;Times;serif"/>
          <w:b w:val="false"/>
          <w:i w:val="false"/>
          <w:caps w:val="false"/>
          <w:smallCaps w:val="false"/>
          <w:color w:val="000000"/>
          <w:spacing w:val="4"/>
          <w:sz w:val="20"/>
        </w:rPr>
        <w:t xml:space="preserve">). If either of these options are available to us with respect to a specific series of debt securities, we will indicate it in the prospectus supplement relating to that series of debt securities. Unless the prospectus supplement relating to that series of debt securities provides otherwise, the terms of the defeasance option and the covenant defeasance option will be as described in this section.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trust may only be established if, among other things, we have delivered to the trustee an opinion of counsel, as specified in the Indenture, to the effect that the holders of the debt securities will not recognize income, gain or loss for federal income tax purposes as a result of the defeasance or covenant defeasance and will be subject to federal income tax on the same amounts, in the same manner and at the same times as would have been the case if the defeasance or covenant defeasance had not occurred, and the opinion of counsel, in the case of defeasance, will be required to refer to and be based upon a ruling of the Internal Revenue Service, or the IRS, or a change in applicable federal income tax law occurring after the date of the Indenture. (</w:t>
      </w:r>
      <w:r>
        <w:rPr>
          <w:rFonts w:ascii="Times New Roman;Times;serif" w:hAnsi="Times New Roman;Times;serif"/>
          <w:b w:val="false"/>
          <w:i/>
          <w:caps w:val="false"/>
          <w:smallCaps w:val="false"/>
          <w:color w:val="000000"/>
          <w:spacing w:val="4"/>
          <w:sz w:val="20"/>
        </w:rPr>
        <w:t>Section 1404</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Government Obligations</w:t>
      </w:r>
      <w:r>
        <w:rPr>
          <w:rFonts w:ascii="Times New Roman;Times;serif" w:hAnsi="Times New Roman;Times;serif"/>
          <w:b w:val="false"/>
          <w:i w:val="false"/>
          <w:caps w:val="false"/>
          <w:smallCaps w:val="false"/>
          <w:color w:val="000000"/>
          <w:spacing w:val="4"/>
          <w:sz w:val="20"/>
        </w:rPr>
        <w:t xml:space="preserve">” means securities that are: </w:t>
      </w:r>
    </w:p>
    <w:p>
      <w:pPr>
        <w:pStyle w:val="TextBody"/>
        <w:bidi w:val="0"/>
        <w:spacing w:lineRule="atLeast" w:line="240" w:before="11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direct obligations of the United States of America for the payment of which its full faith and credit is pledged; or </w:t>
      </w:r>
      <w:r>
        <mc:AlternateContent>
          <mc:Choice Requires="wps">
            <w:drawing>
              <wp:anchor behindDoc="0" distT="71120" distB="0" distL="254000" distR="0" simplePos="0" locked="0" layoutInCell="1" allowOverlap="1" relativeHeight="132">
                <wp:simplePos x="0" y="0"/>
                <wp:positionH relativeFrom="column">
                  <wp:align>left</wp:align>
                </wp:positionH>
                <wp:positionV relativeFrom="line">
                  <wp:align>top</wp:align>
                </wp:positionV>
                <wp:extent cx="127000" cy="350520"/>
                <wp:effectExtent l="0" t="0" r="0" b="0"/>
                <wp:wrapSquare wrapText="right"/>
                <wp:docPr id="130" name="Frame1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obligations of a person controlled or supervised by and acting as an agency or instrumentality of the United States of America, the payment of which is unconditionally guaranteed as a full faith and credit obligation by the United States of America; </w:t>
      </w:r>
      <w:r>
        <mc:AlternateContent>
          <mc:Choice Requires="wps">
            <w:drawing>
              <wp:anchor behindDoc="0" distT="71120" distB="0" distL="254000" distR="0" simplePos="0" locked="0" layoutInCell="1" allowOverlap="1" relativeHeight="133">
                <wp:simplePos x="0" y="0"/>
                <wp:positionH relativeFrom="column">
                  <wp:align>left</wp:align>
                </wp:positionH>
                <wp:positionV relativeFrom="line">
                  <wp:align>top</wp:align>
                </wp:positionV>
                <wp:extent cx="127000" cy="350520"/>
                <wp:effectExtent l="0" t="0" r="0" b="0"/>
                <wp:wrapSquare wrapText="right"/>
                <wp:docPr id="131" name="Frame1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which, in either case, are not callable or redeemable at the option of the issuer thereof, and will also include a depositary receipt issued by a bank or trust company as custodian with respect to any Government Obligation or a specific payment of interest on or principal of any Government Obligation held by the custodian for the account of the holder of a depositary receipt, provided that, except as required by law, the custodian is not authorized to make any deduction from the amount payable to the holder of the depositary receipt from any amount received by the custodian in respect of the Government Obligation or the specific payment of interest on or principal of the Government Obligation evidenced by the depositary receipt.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provided in the applicable prospectus supplement, if after we have deposited funds or Government Obligations to effect defeasance or covenant defeasance with respect to any series of debt securities: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 of a debt security of such series is entitled to, and does, elect pursuant to the Indenture or the terms of that debt security to receive payment in a currency, currency unit or composite currency other than that in which such deposit has been made in respect of such debt security, or </w:t>
      </w:r>
      <w:r>
        <mc:AlternateContent>
          <mc:Choice Requires="wps">
            <w:drawing>
              <wp:anchor behindDoc="0" distT="77470" distB="0" distL="254000" distR="0" simplePos="0" locked="0" layoutInCell="1" allowOverlap="1" relativeHeight="134">
                <wp:simplePos x="0" y="0"/>
                <wp:positionH relativeFrom="column">
                  <wp:align>left</wp:align>
                </wp:positionH>
                <wp:positionV relativeFrom="line">
                  <wp:align>top</wp:align>
                </wp:positionV>
                <wp:extent cx="127000" cy="350520"/>
                <wp:effectExtent l="0" t="0" r="0" b="0"/>
                <wp:wrapSquare wrapText="right"/>
                <wp:docPr id="132" name="Frame1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Conversion Event (as defined below) occurs in respect of the currency, currency unit or composite currency in which such deposit has been made, the indebtedness represented by that debt security shall be deemed to have been, and will be, fully discharged and satisfied through the payment of the principal of (and premium, if any) and interest on that debt security as they become due out of the proceeds yielded by converting the amount so deposited in respect of that debt security into a currency, currency unit or composite currency in which that debt security becomes payable as a result of such election or such Conversion Event based upon the applicable market exchange rate. (</w:t>
      </w:r>
      <w:r>
        <w:rPr>
          <w:rFonts w:ascii="Times New Roman;Times;serif" w:hAnsi="Times New Roman;Times;serif"/>
          <w:b w:val="false"/>
          <w:i/>
          <w:caps w:val="false"/>
          <w:smallCaps w:val="false"/>
          <w:color w:val="000000"/>
          <w:spacing w:val="4"/>
          <w:sz w:val="20"/>
        </w:rPr>
        <w:t>Section 1405</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35">
                <wp:simplePos x="0" y="0"/>
                <wp:positionH relativeFrom="column">
                  <wp:align>left</wp:align>
                </wp:positionH>
                <wp:positionV relativeFrom="line">
                  <wp:align>top</wp:align>
                </wp:positionV>
                <wp:extent cx="127000" cy="350520"/>
                <wp:effectExtent l="0" t="0" r="0" b="0"/>
                <wp:wrapSquare wrapText="right"/>
                <wp:docPr id="133" name="Frame1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Conversion Event</w:t>
      </w:r>
      <w:r>
        <w:rPr>
          <w:rFonts w:ascii="Times New Roman;Times;serif" w:hAnsi="Times New Roman;Times;serif"/>
          <w:b w:val="false"/>
          <w:i w:val="false"/>
          <w:caps w:val="false"/>
          <w:smallCaps w:val="false"/>
          <w:color w:val="000000"/>
          <w:spacing w:val="4"/>
          <w:sz w:val="20"/>
        </w:rPr>
        <w:t xml:space="preserve">” means the cessation of use of (a) a currency, currency unit or composite currency both by the government of the country which issued such currency and for the settlement of transactions by a central bank or other public institutions of or within the international banking community, (b) the ECU both within the European Monetary System and for the settlement of transactions by public institutions of or within the European Community or (c) any currency unit (or composite currency) other than the ECU for the purposes for which it was established. All payments of principal of (and premium, if any) and interest on any debt security that is payable in a foreign currency that ceases to be used by its government of issuance shall be made in U.S. dollars.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effect covenant defeasance with respect to any debt securities and these debt securities are declared due and payable because of the occurrence of any Event of Default other than the Event of Default described in clause (4) under “— Events of Default, Notice and Waiver” with respect to Sections 1006 to 1010, inclusive, of the Indenture, which sections would no longer be applicable to the debt securities as a result of the covenant defeasance, or described in clause (7) under “— Events of Default, Notice and Waiver” with respect to any other covenant as to which there has been covenant defeasance, the amount in the currency in which the debt securities are payable, and Government Obligations on deposit with the trustee, will be sufficient to pay amounts due on the debt securities at the time of their stated maturity but may not be sufficient to pay amounts due on the debt securities at the time of the acceleration resulting from the Default. We would remain liable, however, to make payment of the amounts due at the time of acceleration.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applicable prospectus supplement may describe further the provisions, if any, permitting defeasance or covenant defeasance, including any modifications to the provisions described above with respect to the debt securities of a particular series.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Concerning the Trustee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Indenture provides that there may be more than one trustee with respect to one or more series of debt securities. Any trustee under the Indenture may resign or be removed with respect to one or more series of debt securities, and a successor trustee may be appointed to act with respect to that series. (</w:t>
      </w:r>
      <w:r>
        <w:rPr>
          <w:rFonts w:ascii="Times New Roman;Times;serif" w:hAnsi="Times New Roman;Times;serif"/>
          <w:b w:val="false"/>
          <w:i/>
          <w:caps w:val="false"/>
          <w:smallCaps w:val="false"/>
          <w:color w:val="000000"/>
          <w:spacing w:val="4"/>
          <w:sz w:val="20"/>
        </w:rPr>
        <w:t>Section 608</w:t>
      </w:r>
      <w:r>
        <w:rPr>
          <w:rFonts w:ascii="Times New Roman;Times;serif" w:hAnsi="Times New Roman;Times;serif"/>
          <w:b w:val="false"/>
          <w:i w:val="false"/>
          <w:caps w:val="false"/>
          <w:smallCaps w:val="false"/>
          <w:color w:val="000000"/>
          <w:spacing w:val="4"/>
          <w:sz w:val="20"/>
        </w:rPr>
        <w:t>). If two or more persons are acting as trustee with respect to different series of debt securities, each trustee will administer separate trusts under the Indenture, and, except as otherwise indicated by the Indenture, any action to be taken by a trustee with respect to one or more series of debt securities may be taken only by the trustee for that series. (</w:t>
      </w:r>
      <w:r>
        <w:rPr>
          <w:rFonts w:ascii="Times New Roman;Times;serif" w:hAnsi="Times New Roman;Times;serif"/>
          <w:b w:val="false"/>
          <w:i/>
          <w:caps w:val="false"/>
          <w:smallCaps w:val="false"/>
          <w:color w:val="000000"/>
          <w:spacing w:val="4"/>
          <w:sz w:val="20"/>
        </w:rPr>
        <w:t>Section 609</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840"/>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Global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debt securities of a series may be issued in whole or in part in the form of one or more global securities that will be deposited with, or on behalf of, a depositary identified in the applicable prospectus supplement relating to such series. Global securities may be issued in either registered or bearer form and in either temporary or permanent form. The specific terms of the depositary arrangement with respect to a series of global securities will be described in the applicable prospectus supplement relating to that series.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Governing Law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is governed by, and construed in accordance with, the laws of the State of New York, and once issued the debt securities will be as well.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 w:name="sUFIT"/>
      <w:bookmarkEnd w:id="2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 FEDERAL INCOME TAX CONSIDERATIONS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discussion is a summary of certain material U.S. federal income tax consequences of the purchase, ownership and disposition of debt securities issued by us, but does not purport to be a complete analysis of all potential tax effects. Supplemental U.S. federal income tax considerations relevant to holders of debt securities offered by this prospectus may be provided in the prospectus supplement that relates to those debt securities. The effects of other U.S. federal tax laws, such as estate and gift tax laws, and any applicable state, local or foreign tax laws are not discussed. This discussion is based on the Internal Revenue Code of 1986, as amended, or the Code, the Treasury regulations promulgated thereunder, or the Treasury Regulations, judicial decisions, and published rulings and administrative pronouncements of the IRS, in each case in effect as of the date hereof. These authorities may change or be subject to differing interpretations. Any such change or differing interpretation may be applied retroactively in a manner that could adversely affect a holder of the debt securities. We have not sought and will not seek any rulings from the IRS regarding the matters discussed below. There can be no assurance the IRS or a court will not take a contrary position to that discussed below regarding the tax consequences of the purchase, ownership and disposition of the debt securities.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discussion is limited to holders who hold the debt securities as “capital assets” within the meaning of Section 1221 of the Code (generally, property held for investment). In addition, this discussion is limited to persons purchasing the debt securities for cash at original issue and at their original “issue price” within the meaning of Section 1273 of the Code (</w:t>
      </w:r>
      <w:r>
        <w:rPr>
          <w:rFonts w:ascii="Times New Roman;Times;serif" w:hAnsi="Times New Roman;Times;serif"/>
          <w:b w:val="false"/>
          <w:i/>
          <w:caps w:val="false"/>
          <w:smallCaps w:val="false"/>
          <w:color w:val="000000"/>
          <w:spacing w:val="4"/>
          <w:sz w:val="20"/>
        </w:rPr>
        <w:t>i.e.</w:t>
      </w:r>
      <w:r>
        <w:rPr>
          <w:rFonts w:ascii="Times New Roman;Times;serif" w:hAnsi="Times New Roman;Times;serif"/>
          <w:b w:val="false"/>
          <w:i w:val="false"/>
          <w:caps w:val="false"/>
          <w:smallCaps w:val="false"/>
          <w:color w:val="000000"/>
          <w:spacing w:val="4"/>
          <w:sz w:val="20"/>
        </w:rPr>
        <w:t xml:space="preserve">, the first price at which a substantial amount of the debt securities is sold to the public for cash). This discussion does not address all U.S. federal income tax consequences relevant to a holder’s particular circumstances, including the impact of the Medicare contribution tax on net investment income or the alternative minimum tax. In addition, it does not address consequences relevant to holders subject to special rules, including, without limitation: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 expatriates and former citizens or former long-term residents of the United States; </w:t>
      </w:r>
      <w:r>
        <mc:AlternateContent>
          <mc:Choice Requires="wps">
            <w:drawing>
              <wp:anchor behindDoc="0" distT="73660" distB="0" distL="254000" distR="0" simplePos="0" locked="0" layoutInCell="1" allowOverlap="1" relativeHeight="136">
                <wp:simplePos x="0" y="0"/>
                <wp:positionH relativeFrom="column">
                  <wp:align>left</wp:align>
                </wp:positionH>
                <wp:positionV relativeFrom="line">
                  <wp:align>top</wp:align>
                </wp:positionV>
                <wp:extent cx="127000" cy="350520"/>
                <wp:effectExtent l="0" t="0" r="0" b="0"/>
                <wp:wrapSquare wrapText="right"/>
                <wp:docPr id="134" name="Frame1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 Holders (as defined below) whose functional currency is not the U.S. dollar; </w:t>
      </w:r>
      <w:r>
        <mc:AlternateContent>
          <mc:Choice Requires="wps">
            <w:drawing>
              <wp:anchor behindDoc="0" distT="73660" distB="0" distL="254000" distR="0" simplePos="0" locked="0" layoutInCell="1" allowOverlap="1" relativeHeight="137">
                <wp:simplePos x="0" y="0"/>
                <wp:positionH relativeFrom="column">
                  <wp:align>left</wp:align>
                </wp:positionH>
                <wp:positionV relativeFrom="line">
                  <wp:align>top</wp:align>
                </wp:positionV>
                <wp:extent cx="127000" cy="350520"/>
                <wp:effectExtent l="0" t="0" r="0" b="0"/>
                <wp:wrapSquare wrapText="right"/>
                <wp:docPr id="135" name="Frame1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holding the debt securities as part of a hedge, straddle or other risk reduction strategy or as part of a conversion transaction or other integrated investment; </w:t>
      </w:r>
      <w:r>
        <mc:AlternateContent>
          <mc:Choice Requires="wps">
            <w:drawing>
              <wp:anchor behindDoc="0" distT="73660" distB="0" distL="254000" distR="0" simplePos="0" locked="0" layoutInCell="1" allowOverlap="1" relativeHeight="138">
                <wp:simplePos x="0" y="0"/>
                <wp:positionH relativeFrom="column">
                  <wp:align>left</wp:align>
                </wp:positionH>
                <wp:positionV relativeFrom="line">
                  <wp:align>top</wp:align>
                </wp:positionV>
                <wp:extent cx="127000" cy="350520"/>
                <wp:effectExtent l="0" t="0" r="0" b="0"/>
                <wp:wrapSquare wrapText="right"/>
                <wp:docPr id="136" name="Frame1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banks, insurance companies, and other financial institutions; </w:t>
      </w:r>
      <w:r>
        <mc:AlternateContent>
          <mc:Choice Requires="wps">
            <w:drawing>
              <wp:anchor behindDoc="0" distT="73660" distB="0" distL="254000" distR="0" simplePos="0" locked="0" layoutInCell="1" allowOverlap="1" relativeHeight="139">
                <wp:simplePos x="0" y="0"/>
                <wp:positionH relativeFrom="column">
                  <wp:align>left</wp:align>
                </wp:positionH>
                <wp:positionV relativeFrom="line">
                  <wp:align>top</wp:align>
                </wp:positionV>
                <wp:extent cx="127000" cy="350520"/>
                <wp:effectExtent l="0" t="0" r="0" b="0"/>
                <wp:wrapSquare wrapText="right"/>
                <wp:docPr id="137" name="Frame1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real estate investment trusts or regulated investment companies; </w:t>
      </w:r>
      <w:r>
        <mc:AlternateContent>
          <mc:Choice Requires="wps">
            <w:drawing>
              <wp:anchor behindDoc="0" distT="73660" distB="0" distL="254000" distR="0" simplePos="0" locked="0" layoutInCell="1" allowOverlap="1" relativeHeight="140">
                <wp:simplePos x="0" y="0"/>
                <wp:positionH relativeFrom="column">
                  <wp:align>left</wp:align>
                </wp:positionH>
                <wp:positionV relativeFrom="line">
                  <wp:align>top</wp:align>
                </wp:positionV>
                <wp:extent cx="127000" cy="350520"/>
                <wp:effectExtent l="0" t="0" r="0" b="0"/>
                <wp:wrapSquare wrapText="right"/>
                <wp:docPr id="138" name="Frame1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brokers, dealers or traders in securities; </w:t>
      </w:r>
      <w:r>
        <mc:AlternateContent>
          <mc:Choice Requires="wps">
            <w:drawing>
              <wp:anchor behindDoc="0" distT="73660" distB="0" distL="254000" distR="0" simplePos="0" locked="0" layoutInCell="1" allowOverlap="1" relativeHeight="141">
                <wp:simplePos x="0" y="0"/>
                <wp:positionH relativeFrom="column">
                  <wp:align>left</wp:align>
                </wp:positionH>
                <wp:positionV relativeFrom="line">
                  <wp:align>top</wp:align>
                </wp:positionV>
                <wp:extent cx="127000" cy="350520"/>
                <wp:effectExtent l="0" t="0" r="0" b="0"/>
                <wp:wrapSquare wrapText="right"/>
                <wp:docPr id="139" name="Frame1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controlled foreign corporations,” “foreign controlled foreign corporations,” “passive foreign investment companies,” and corporations that accumulate earnings to avoid U.S. federal income tax; </w:t>
      </w:r>
      <w:r>
        <mc:AlternateContent>
          <mc:Choice Requires="wps">
            <w:drawing>
              <wp:anchor behindDoc="0" distT="73660" distB="0" distL="254000" distR="0" simplePos="0" locked="0" layoutInCell="1" allowOverlap="1" relativeHeight="142">
                <wp:simplePos x="0" y="0"/>
                <wp:positionH relativeFrom="column">
                  <wp:align>left</wp:align>
                </wp:positionH>
                <wp:positionV relativeFrom="line">
                  <wp:align>top</wp:align>
                </wp:positionV>
                <wp:extent cx="127000" cy="350520"/>
                <wp:effectExtent l="0" t="0" r="0" b="0"/>
                <wp:wrapSquare wrapText="right"/>
                <wp:docPr id="140" name="Frame1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 corporations, partnerships or other entities or arrangements treated as partnerships for U.S. federal income tax purposes (and investors therein); </w:t>
      </w:r>
      <w:r>
        <mc:AlternateContent>
          <mc:Choice Requires="wps">
            <w:drawing>
              <wp:anchor behindDoc="0" distT="73660" distB="0" distL="254000" distR="0" simplePos="0" locked="0" layoutInCell="1" allowOverlap="1" relativeHeight="143">
                <wp:simplePos x="0" y="0"/>
                <wp:positionH relativeFrom="column">
                  <wp:align>left</wp:align>
                </wp:positionH>
                <wp:positionV relativeFrom="line">
                  <wp:align>top</wp:align>
                </wp:positionV>
                <wp:extent cx="127000" cy="350520"/>
                <wp:effectExtent l="0" t="0" r="0" b="0"/>
                <wp:wrapSquare wrapText="right"/>
                <wp:docPr id="141" name="Frame1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tax-exempt organizations or governmental organizations; </w:t>
      </w:r>
      <w:r>
        <mc:AlternateContent>
          <mc:Choice Requires="wps">
            <w:drawing>
              <wp:anchor behindDoc="0" distT="73660" distB="0" distL="254000" distR="0" simplePos="0" locked="0" layoutInCell="1" allowOverlap="1" relativeHeight="144">
                <wp:simplePos x="0" y="0"/>
                <wp:positionH relativeFrom="column">
                  <wp:align>left</wp:align>
                </wp:positionH>
                <wp:positionV relativeFrom="line">
                  <wp:align>top</wp:align>
                </wp:positionV>
                <wp:extent cx="127000" cy="350520"/>
                <wp:effectExtent l="0" t="0" r="0" b="0"/>
                <wp:wrapSquare wrapText="right"/>
                <wp:docPr id="142" name="Frame1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deemed to sell the debt securities under the constructive sale provisions of the Code; and </w:t>
      </w:r>
      <w:r>
        <mc:AlternateContent>
          <mc:Choice Requires="wps">
            <w:drawing>
              <wp:anchor behindDoc="0" distT="73660" distB="0" distL="254000" distR="0" simplePos="0" locked="0" layoutInCell="1" allowOverlap="1" relativeHeight="145">
                <wp:simplePos x="0" y="0"/>
                <wp:positionH relativeFrom="column">
                  <wp:align>left</wp:align>
                </wp:positionH>
                <wp:positionV relativeFrom="line">
                  <wp:align>top</wp:align>
                </wp:positionV>
                <wp:extent cx="127000" cy="350520"/>
                <wp:effectExtent l="0" t="0" r="0" b="0"/>
                <wp:wrapSquare wrapText="right"/>
                <wp:docPr id="143" name="Frame1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subject to special tax accounting rules as a result of any item of gross income with respect to the debt securities being taken into account in an applicable financial statement (as defined in the Code). </w:t>
      </w:r>
      <w:r>
        <mc:AlternateContent>
          <mc:Choice Requires="wps">
            <w:drawing>
              <wp:anchor behindDoc="0" distT="73660" distB="0" distL="254000" distR="0" simplePos="0" locked="0" layoutInCell="1" allowOverlap="1" relativeHeight="146">
                <wp:simplePos x="0" y="0"/>
                <wp:positionH relativeFrom="column">
                  <wp:align>left</wp:align>
                </wp:positionH>
                <wp:positionV relativeFrom="line">
                  <wp:align>top</wp:align>
                </wp:positionV>
                <wp:extent cx="127000" cy="350520"/>
                <wp:effectExtent l="0" t="0" r="0" b="0"/>
                <wp:wrapSquare wrapText="right"/>
                <wp:docPr id="144" name="Frame1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 entity treated as a partnership for U.S. federal income tax purposes holds the debt securities, the tax treatment of a partner in the partnership will depend on the status of the partner, the activities of the partnership and certain determinations made at the partner level. Accordingly, partnerships holding the debt securities and the partners in such partnerships should consult their tax advisors regarding the U.S. federal income tax consequences to them.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THIS DISCUSSION IS FOR INFORMATIONAL PURPOSES ONLY AND IS NOT TAX ADVICE. INVESTORS SHOULD CONSULT THEIR TAX ADVISORS WITH RESPECT TO THE APPLICATION OF THE U.S. FEDERAL INCOME TAX LAWS TO THEIR PARTICULAR SITUATIONS AS WELL AS ANY TAX CONSEQUENCES OF THE PURCHASE, OWNERSHIP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AND DISPOSITION OF THE DEBT SECURITIES ARISING UNDER OTHER U.S. FEDERAL TAX LAWS (INCLUDING ESTATE AND GIFT TAX LAWS), UNDER THE LAWS OF ANY STATE, LOCAL OR NON-U.S. TAXING JURISDICTION OR UNDER ANY APPLICABLE TAX TREATY.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Tax Consequences Applicable to U.S. 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Definition of a U.S. Holder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this discussion, a “U.S. Holder” is a beneficial owner of a debt security that, for U.S. federal income tax purposes, is or is treated as: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individual who is a citizen or resident of the United States; </w:t>
      </w:r>
      <w:r>
        <mc:AlternateContent>
          <mc:Choice Requires="wps">
            <w:drawing>
              <wp:anchor behindDoc="0" distT="73660" distB="0" distL="254000" distR="0" simplePos="0" locked="0" layoutInCell="1" allowOverlap="1" relativeHeight="147">
                <wp:simplePos x="0" y="0"/>
                <wp:positionH relativeFrom="column">
                  <wp:align>left</wp:align>
                </wp:positionH>
                <wp:positionV relativeFrom="line">
                  <wp:align>top</wp:align>
                </wp:positionV>
                <wp:extent cx="127000" cy="350520"/>
                <wp:effectExtent l="0" t="0" r="0" b="0"/>
                <wp:wrapSquare wrapText="right"/>
                <wp:docPr id="145" name="Frame1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corporation created or organized under the laws of the United States, any state thereof, or the District of Columbia; </w:t>
      </w:r>
      <w:r>
        <mc:AlternateContent>
          <mc:Choice Requires="wps">
            <w:drawing>
              <wp:anchor behindDoc="0" distT="63500" distB="0" distL="254000" distR="0" simplePos="0" locked="0" layoutInCell="1" allowOverlap="1" relativeHeight="148">
                <wp:simplePos x="0" y="0"/>
                <wp:positionH relativeFrom="column">
                  <wp:align>left</wp:align>
                </wp:positionH>
                <wp:positionV relativeFrom="line">
                  <wp:align>top</wp:align>
                </wp:positionV>
                <wp:extent cx="127000" cy="350520"/>
                <wp:effectExtent l="0" t="0" r="0" b="0"/>
                <wp:wrapSquare wrapText="right"/>
                <wp:docPr id="146" name="Frame1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estate, the income of which is subject to U.S. federal income tax regardless of its source; or </w:t>
      </w:r>
      <w:r>
        <mc:AlternateContent>
          <mc:Choice Requires="wps">
            <w:drawing>
              <wp:anchor behindDoc="0" distT="63500" distB="0" distL="254000" distR="0" simplePos="0" locked="0" layoutInCell="1" allowOverlap="1" relativeHeight="149">
                <wp:simplePos x="0" y="0"/>
                <wp:positionH relativeFrom="column">
                  <wp:align>left</wp:align>
                </wp:positionH>
                <wp:positionV relativeFrom="line">
                  <wp:align>top</wp:align>
                </wp:positionV>
                <wp:extent cx="127000" cy="350520"/>
                <wp:effectExtent l="0" t="0" r="0" b="0"/>
                <wp:wrapSquare wrapText="right"/>
                <wp:docPr id="147" name="Frame1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trust that (1) is subject to the primary supervision of a U.S. court and the control of one or more “United States persons” ​(within the meaning of Section 7701(a)(30) of the Code), or (2) has a valid election in effect to be treated as a United States person for U.S. federal income tax purposes. </w:t>
      </w:r>
      <w:r>
        <mc:AlternateContent>
          <mc:Choice Requires="wps">
            <w:drawing>
              <wp:anchor behindDoc="0" distT="63500" distB="0" distL="254000" distR="0" simplePos="0" locked="0" layoutInCell="1" allowOverlap="1" relativeHeight="150">
                <wp:simplePos x="0" y="0"/>
                <wp:positionH relativeFrom="column">
                  <wp:align>left</wp:align>
                </wp:positionH>
                <wp:positionV relativeFrom="line">
                  <wp:align>top</wp:align>
                </wp:positionV>
                <wp:extent cx="127000" cy="350520"/>
                <wp:effectExtent l="0" t="0" r="0" b="0"/>
                <wp:wrapSquare wrapText="right"/>
                <wp:docPr id="148" name="Frame1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Payments of Interest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Interest on a debt security generally will be taxable to a U.S. Holder as ordinary income at the time such interest is received or accrued, in accordance with such U.S. Holder’s method of tax accounting for U.S. federal income tax purposes. It is expected, and this discussion assumes, that the debt securities will be issued without original issue discount for U.S. federal income tax purposes.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Sale or Other Taxable Disposition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U.S. Holder will recognize gain or loss on the sale, exchange, redemption, retirement or other taxable disposition of a debt security. The amount of such gain or loss generally will be equal to the difference between the amount received for the debt security in cash or other property valued at fair market value (less amounts attributable to any accrued but unpaid interest, which will be taxable as interest to the extent not previously included in income) and the U.S. Holder’s adjusted tax basis in the debt security. A U.S. Holder’s adjusted tax basis in a debt security generally will be equal to the amount the U.S. Holder paid for the debt security. Any gain or loss generally will be capital gain or loss, and will be long-term capital gain or loss if the U.S. Holder has held the debt security for more than one year at the time of sale or other taxable disposition. Otherwise, such gain or loss will be short-term capital gain or loss. Long-term capital gains recognized by certain non-corporate U.S. Holders, including individuals, generally will be taxable at a reduced rate. The deductibility of capital losses is subject to limitations.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Information Reporting and Backup Withholding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U.S. Holder may be subject to information reporting and backup withholding when such holder receives payments on a debt security or receives proceeds from the sale or other taxable disposition of a debt security (including a redemption or retirement of a debt security). Certain U.S. Holders are exempt from backup withholding, including corporations and certain tax-exempt organizations. A U.S. Holder will be subject to backup withholding if such holder is not otherwise exempt and: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 fails to furnish the holder’s taxpayer identification number, which for an individual is ordinarily his or her social security number; </w:t>
      </w:r>
      <w:r>
        <mc:AlternateContent>
          <mc:Choice Requires="wps">
            <w:drawing>
              <wp:anchor behindDoc="0" distT="73660" distB="0" distL="254000" distR="0" simplePos="0" locked="0" layoutInCell="1" allowOverlap="1" relativeHeight="151">
                <wp:simplePos x="0" y="0"/>
                <wp:positionH relativeFrom="column">
                  <wp:align>left</wp:align>
                </wp:positionH>
                <wp:positionV relativeFrom="line">
                  <wp:align>top</wp:align>
                </wp:positionV>
                <wp:extent cx="127000" cy="350520"/>
                <wp:effectExtent l="0" t="0" r="0" b="0"/>
                <wp:wrapSquare wrapText="right"/>
                <wp:docPr id="149" name="Frame1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 furnishes an incorrect taxpayer identification number; </w:t>
      </w:r>
      <w:r>
        <mc:AlternateContent>
          <mc:Choice Requires="wps">
            <w:drawing>
              <wp:anchor behindDoc="0" distT="63500" distB="0" distL="254000" distR="0" simplePos="0" locked="0" layoutInCell="1" allowOverlap="1" relativeHeight="152">
                <wp:simplePos x="0" y="0"/>
                <wp:positionH relativeFrom="column">
                  <wp:align>left</wp:align>
                </wp:positionH>
                <wp:positionV relativeFrom="line">
                  <wp:align>top</wp:align>
                </wp:positionV>
                <wp:extent cx="127000" cy="350520"/>
                <wp:effectExtent l="0" t="0" r="0" b="0"/>
                <wp:wrapSquare wrapText="right"/>
                <wp:docPr id="150" name="Frame1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applicable withholding agent is notified by the IRS that the holder previously failed to properly report payments of interest or dividends; or </w:t>
      </w:r>
      <w:r>
        <mc:AlternateContent>
          <mc:Choice Requires="wps">
            <w:drawing>
              <wp:anchor behindDoc="0" distT="63500" distB="0" distL="254000" distR="0" simplePos="0" locked="0" layoutInCell="1" allowOverlap="1" relativeHeight="153">
                <wp:simplePos x="0" y="0"/>
                <wp:positionH relativeFrom="column">
                  <wp:align>left</wp:align>
                </wp:positionH>
                <wp:positionV relativeFrom="line">
                  <wp:align>top</wp:align>
                </wp:positionV>
                <wp:extent cx="127000" cy="350520"/>
                <wp:effectExtent l="0" t="0" r="0" b="0"/>
                <wp:wrapSquare wrapText="right"/>
                <wp:docPr id="151" name="Frame1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 fails to certify under penalties of perjury that the holder has furnished a correct taxpayer identification number and that the IRS has not notified the holder that the holder is subject to backup withholding. </w:t>
      </w:r>
      <w:r>
        <mc:AlternateContent>
          <mc:Choice Requires="wps">
            <w:drawing>
              <wp:anchor behindDoc="0" distT="63500" distB="0" distL="254000" distR="0" simplePos="0" locked="0" layoutInCell="1" allowOverlap="1" relativeHeight="154">
                <wp:simplePos x="0" y="0"/>
                <wp:positionH relativeFrom="column">
                  <wp:align>left</wp:align>
                </wp:positionH>
                <wp:positionV relativeFrom="line">
                  <wp:align>top</wp:align>
                </wp:positionV>
                <wp:extent cx="127000" cy="350520"/>
                <wp:effectExtent l="0" t="0" r="0" b="0"/>
                <wp:wrapSquare wrapText="right"/>
                <wp:docPr id="152" name="Frame1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Backup withholding is not an additional tax. Any amounts withheld under the backup withholding rules may be allowed as a refund or a credit against a U.S. Holder’s U.S. federal income tax liability, provided the required information is timely furnished to the IRS. U.S. Holders should consult their tax advisors regarding their qualification for an exemption from backup withholding and the procedures for obtaining such an exemption.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Tax Consequences Applicable to Non-U.S. 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Definition of a Non-U.S. Holder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this discussion, a “Non-U.S. Holder” is a beneficial owner of a debt security that is neither a U.S. Holder nor an entity treated as a partnership for U.S. federal income tax purposes.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Payments of Interest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Interest paid on a debt security to a Non-U.S. Holder that is not effectively connected with the Non-U.S. Holder’s conduct of a trade or business within the United States generally will not be subject to U.S. federal income tax, or withholding tax of 30% (or such lower rate specified by an applicable income tax treaty), provided that: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Non-U.S. Holder does not, actually or constructively, own 10% or more of our capital or profits; </w:t>
      </w:r>
      <w:r>
        <mc:AlternateContent>
          <mc:Choice Requires="wps">
            <w:drawing>
              <wp:anchor behindDoc="0" distT="76200" distB="0" distL="254000" distR="0" simplePos="0" locked="0" layoutInCell="1" allowOverlap="1" relativeHeight="155">
                <wp:simplePos x="0" y="0"/>
                <wp:positionH relativeFrom="column">
                  <wp:align>left</wp:align>
                </wp:positionH>
                <wp:positionV relativeFrom="line">
                  <wp:align>top</wp:align>
                </wp:positionV>
                <wp:extent cx="127000" cy="350520"/>
                <wp:effectExtent l="0" t="0" r="0" b="0"/>
                <wp:wrapSquare wrapText="right"/>
                <wp:docPr id="153" name="Frame1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Non-U.S. Holder is not a controlled foreign corporation related to us through actual or constructive stock ownership; and </w:t>
      </w:r>
      <w:r>
        <mc:AlternateContent>
          <mc:Choice Requires="wps">
            <w:drawing>
              <wp:anchor behindDoc="0" distT="76200" distB="0" distL="254000" distR="0" simplePos="0" locked="0" layoutInCell="1" allowOverlap="1" relativeHeight="156">
                <wp:simplePos x="0" y="0"/>
                <wp:positionH relativeFrom="column">
                  <wp:align>left</wp:align>
                </wp:positionH>
                <wp:positionV relativeFrom="line">
                  <wp:align>top</wp:align>
                </wp:positionV>
                <wp:extent cx="127000" cy="350520"/>
                <wp:effectExtent l="0" t="0" r="0" b="0"/>
                <wp:wrapSquare wrapText="right"/>
                <wp:docPr id="154" name="Frame1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either (1) the Non-U.S. Holder certifies in a statement provided to the applicable withholding agent under penalties of perjury that it is not a United States person and provides its name and address; (2) a securities clearing organization, bank or other financial institution that holds customers’ securities in the ordinary course of its trade or business and holds the debt security on behalf of the Non-U.S. Holder certifies to the applicable withholding agent under penalties of perjury that it, or the financial institution between it and the Non-U.S. Holder, has received from the Non-U.S. Holder a statement under penalties of perjury that such holder is not a United States person and provides the applicable withholding agent with a copy of such statement; or (3) the Non-U.S. Holder holds its debt security directly through a “qualified intermediary” ​(within the meaning of applicable Treasury Regulations) and certain conditions are satisfied. </w:t>
      </w:r>
      <w:r>
        <mc:AlternateContent>
          <mc:Choice Requires="wps">
            <w:drawing>
              <wp:anchor behindDoc="0" distT="76200" distB="0" distL="254000" distR="0" simplePos="0" locked="0" layoutInCell="1" allowOverlap="1" relativeHeight="157">
                <wp:simplePos x="0" y="0"/>
                <wp:positionH relativeFrom="column">
                  <wp:align>left</wp:align>
                </wp:positionH>
                <wp:positionV relativeFrom="line">
                  <wp:align>top</wp:align>
                </wp:positionV>
                <wp:extent cx="127000" cy="350520"/>
                <wp:effectExtent l="0" t="0" r="0" b="0"/>
                <wp:wrapSquare wrapText="right"/>
                <wp:docPr id="155" name="Frame1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Non-U.S. Holder does not satisfy the requirements above, such Non-U.S. Holder may be entitled to a reduction in or an exemption from withholding on such interest as a result of an applicable tax treaty. To claim such entitlement, the Non-U.S. Holder must provide the applicable withholding agent with a properly executed IRS Form W-8BEN or W-8BEN-E (or other applicable documentation) claiming a reduction in or exemption from withholding tax under the benefit of an income tax treaty between the United States and the country in which the Non-U.S. Holder resides or is established.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interest paid to a Non-U.S. Holder is effectively connected with the Non-U.S. Holder’s conduct of a trade or business within the United States (and, if required by an applicable income tax treaty, the Non-U.S. Holder maintains a permanent establishment in the United States to which such interest is attributable), the Non-U.S. Holder will be exempt from the U.S. federal withholding tax described above. To claim the exemption, the Non-U.S. Holder must furnish to the applicable withholding agent a valid IRS Form W-8ECI, certifying that interest paid on a debt security is not subject to withholding tax because it is effectively connected with the conduct by the Non-U.S. Holder of a trade or business within the United States.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such effectively connected interest generally will be subject to U.S. federal income tax at the regular rates. A Non-U.S. Holder that is a corporation also may be subject to a branch profits tax at a rate of 30% (or such lower rate specified by an applicable income tax treaty) on such effectively connected interest, as adjusted for certain items.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certifications described above must be provided to the applicable withholding agent prior to the payment of interest and must be updated periodically. Non-U.S. Holders that do not timely provide the applicable withholding agent with the required certification, but that qualify for a reduced rate under an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2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applicable income tax treaty, may obtain a refund of any excess amounts withheld by timely filing an appropriate claim for refund with the IRS. Non-U.S. Holders should consult their tax advisors regarding their entitlement to benefits under any applicable income tax treaty.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Sale or Other Taxable Disposition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Non-U.S. Holder will not be subject to U.S. federal income tax on any gain realized upon the sale, exchange, redemption, retirement or other taxable disposition of a debt security (such amount excludes any amount allocable to accrued and unpaid interest, which generally will be treated as interest and may be subject to the rules discussed above in “— Tax Consequences Applicable to Non-U.S. Holders — Payments of Interest”) unless: </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gain is effectively connected with the Non-U.S. Holder’s conduct of a trade or business within the United States (and, if required by an applicable income tax treaty, the Non-U.S. Holder maintains a permanent establishment in the United States to which such gain is attributable); or </w:t>
      </w:r>
      <w:r>
        <mc:AlternateContent>
          <mc:Choice Requires="wps">
            <w:drawing>
              <wp:anchor behindDoc="0" distT="68580" distB="0" distL="254000" distR="0" simplePos="0" locked="0" layoutInCell="1" allowOverlap="1" relativeHeight="158">
                <wp:simplePos x="0" y="0"/>
                <wp:positionH relativeFrom="column">
                  <wp:align>left</wp:align>
                </wp:positionH>
                <wp:positionV relativeFrom="line">
                  <wp:align>top</wp:align>
                </wp:positionV>
                <wp:extent cx="127000" cy="350520"/>
                <wp:effectExtent l="0" t="0" r="0" b="0"/>
                <wp:wrapSquare wrapText="right"/>
                <wp:docPr id="156" name="Frame1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Non-U.S. Holder is a nonresident alien individual present in the United States for 183 days or more during the taxable year of the disposition and certain other requirements are met. </w:t>
      </w:r>
      <w:r>
        <mc:AlternateContent>
          <mc:Choice Requires="wps">
            <w:drawing>
              <wp:anchor behindDoc="0" distT="68580" distB="0" distL="254000" distR="0" simplePos="0" locked="0" layoutInCell="1" allowOverlap="1" relativeHeight="159">
                <wp:simplePos x="0" y="0"/>
                <wp:positionH relativeFrom="column">
                  <wp:align>left</wp:align>
                </wp:positionH>
                <wp:positionV relativeFrom="line">
                  <wp:align>top</wp:align>
                </wp:positionV>
                <wp:extent cx="127000" cy="350520"/>
                <wp:effectExtent l="0" t="0" r="0" b="0"/>
                <wp:wrapSquare wrapText="right"/>
                <wp:docPr id="157" name="Frame1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Gain described in the first bullet point above generally will be subject to U.S. federal income tax on a net income basis at the regular rates. A Non-U.S. Holder that is a foreign corporation also may be subject to a branch profits tax at a rate of 30% (or such lower rate specified by an applicable income tax treaty) on such effectively connected gain, as adjusted for certain items.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Non-U.S. Holder described in the second bullet point above will be subject to U.S. federal income tax at a rate of 30% (or such lower rate specified by an applicable income tax treaty) on gain realized upon the sale, exchange, redemption, retirement or other taxable disposition of a debt security, which may be offset by U.S. source capital losses of the Non-U.S. Holder (even though the individual is not considered a resident of the United States), provided the Non-U.S. Holder has timely filed U.S. federal income tax returns with respect to such losses.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Non-U.S. Holders should consult their tax advisors regarding any applicable income tax treaties that may provide for different rules.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Information Reporting and Backup Withholding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Payments of interest generally will not be subject to backup withholding, provided the applicable withholding agent does not have actual knowledge or reason to know the holder is a United States person and the holder certifies its non-U.S. status as described above under “— Tax Consequences Applicable to Non-U.S. Holders — Payments of Interest.” However, information returns are required to be filed with the IRS in connection with any interest paid to the Non-U.S. Holder, regardless of whether any tax was actually withheld. In addition, proceeds of the sale or other taxable disposition of a debt security (including a retirement or redemption of the debt security) within the United States or conducted through certain U.S.-related brokers generally will not be subject to backup withholding or information reporting if the applicable withholding agent receives the statement described above and does not have actual knowledge or reason to know that such holder is a United States person, or the holder otherwise establishes an exemption. Proceeds of a disposition of a debt security paid outside the United States and conducted through a non-U.S. office of a non-U.S. broker generally will not be subject to backup withholding or information reporting.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Copies of information returns that are filed with the IRS may also be made available under the provisions of an applicable treaty or agreement to the tax authorities of the country in which the Non-U.S. Holder resides or is established.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Backup withholding is not an additional tax. Any amounts withheld under the backup withholding rules may be allowed as a refund or a credit against a Non-U.S. Holder’s U.S. federal income tax liability, provided the required information is timely furnished to the IRS.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Additional Withholding Tax on Payments Made to Foreign Accounts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Withholding taxes may be imposed under Sections 1471 to 1474 of the Code (such Sections commonly referred to as the Foreign Account Tax Compliance Act, or FATCA) on certain types of payments made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72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non-U.S. financial institutions and certain other non-U.S. entities. Specifically, a 30% withholding tax may be imposed on payments of interest on, or (subject to the proposed Treasury Regulations discussed below) gross proceeds from the sale or other disposition of, a debt security paid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clause (1) above, it must enter into an agreement with the U.S. Department of the Treasury requiring, among other things, that it undertake to identify accounts held by certain “specified United States persons” or “United States 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applicable Treasury Regulations and administrative guidance, withholding under FATCA generally applies to payments of interest on a debt security. While withholding under FATCA would have applied also to payments of gross proceeds from the sale or other disposition of a debt security on or after January 1, 2019, proposed Treasury Regulations eliminate FATCA withholding on payments of gross proceeds entirely. Taxpayers generally may rely on these proposed Treasury Regulations until final Treasury Regulations are issued.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Prospective investors should consult their tax advisors regarding the potential application of withholding under FATCA to their investment in the debt securities.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 w:name="sLEMA"/>
      <w:bookmarkEnd w:id="21"/>
      <w:r>
        <w:rPr>
          <w:rFonts w:ascii="calibri;arial;sans-serif" w:hAnsi="calibri;arial;sans-serif"/>
          <w:b w:val="false"/>
          <w:i w:val="false"/>
          <w:caps w:val="false"/>
          <w:smallCaps w:val="false"/>
          <w:color w:val="000000"/>
          <w:sz w:val="16"/>
        </w:rPr>
        <w:t>​</w:t>
      </w:r>
      <w:bookmarkStart w:id="22" w:name="sEXP"/>
      <w:bookmarkEnd w:id="22"/>
      <w:r>
        <w:rPr>
          <w:rFonts w:ascii="calibri;arial;sans-serif" w:hAnsi="calibri;arial;sans-serif"/>
          <w:b w:val="false"/>
          <w:i w:val="false"/>
          <w:caps w:val="false"/>
          <w:smallCaps w:val="false"/>
          <w:color w:val="000000"/>
          <w:sz w:val="16"/>
        </w:rPr>
        <w:t>​</w:t>
      </w:r>
      <w:bookmarkStart w:id="23" w:name="sDOCP"/>
      <w:bookmarkEnd w:id="2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3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specified in a prospectus supplement, the validity of each issue of the debt securities offered will be passed upon for us by Latham &amp; Watkins LLP, Los Angeles, California and Barnes &amp; Thornburg LLP, Indianapolis, Indiana.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Ernst &amp; Young LLP, independent registered public accounting firm, has audited the consolidated financial statements and schedule of Simon Property Group, L.P., included in its </w:t>
      </w:r>
      <w:hyperlink r:id="rId6">
        <w:r>
          <w:rPr>
            <w:rStyle w:val="InternetLink"/>
          </w:rPr>
          <w:t>Annual Report on Form 10-K for the year ended December 31, 2024</w:t>
        </w:r>
      </w:hyperlink>
      <w:r>
        <w:rPr>
          <w:rFonts w:ascii="Times New Roman;Times;serif" w:hAnsi="Times New Roman;Times;serif"/>
          <w:b w:val="false"/>
          <w:i w:val="false"/>
          <w:caps w:val="false"/>
          <w:smallCaps w:val="false"/>
          <w:color w:val="000000"/>
          <w:spacing w:val="4"/>
          <w:sz w:val="20"/>
        </w:rPr>
        <w:t xml:space="preserve">, and the effectiveness of Simon Property Group, L.P.’s internal control over financial reporting as of December 31, 2024, as set forth in their reports, which are incorporated by reference in this prospectus and elsewhere in the registration statement. These financial statements and schedule are incorporated by reference in reliance on Ernst &amp; Young LLP’s reports, given on their authority as experts in accounting and auditing.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DISCLOSURE OF COMMISSION POSITION ON</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INDEMNIFICATION FOR SECURITIES ACT</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LIABILITIES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our partnership agreement and the articles of incorporation and bylaws of Simon Property, we will indemnify any of our officers or directors who is made or threatened to be made a party to any action, suit or proceeding by reason of the fact that he or she was an officer or director to the fullest extent permitted by Indiana law. Insofar as indemnification for liabilities arising under the Securities Act may be permitted to our directors, officers and persons controlling pursuant to the foregoing provisions, we have been informed that in the opinion of the SEC such indemnification is against public policy as expressed in the Securities Act and is therefore unenforceable.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4" w:name="sIOIW"/>
      <w:bookmarkEnd w:id="2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1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INCORPORATION OF INFORMATION WE FILE WITH THE SEC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 allows us to “incorporate by reference” the information we file with them, which means: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incorporated documents are considered part of this prospectus; </w:t>
      </w:r>
      <w:r>
        <mc:AlternateContent>
          <mc:Choice Requires="wps">
            <w:drawing>
              <wp:anchor behindDoc="0" distT="76200" distB="0" distL="254000" distR="0" simplePos="0" locked="0" layoutInCell="1" allowOverlap="1" relativeHeight="160">
                <wp:simplePos x="0" y="0"/>
                <wp:positionH relativeFrom="column">
                  <wp:align>left</wp:align>
                </wp:positionH>
                <wp:positionV relativeFrom="line">
                  <wp:align>top</wp:align>
                </wp:positionV>
                <wp:extent cx="127000" cy="350520"/>
                <wp:effectExtent l="0" t="0" r="0" b="0"/>
                <wp:wrapSquare wrapText="right"/>
                <wp:docPr id="158" name="Frame1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can disclose important information to you by referring you to those documents; and </w:t>
      </w:r>
      <w:r>
        <mc:AlternateContent>
          <mc:Choice Requires="wps">
            <w:drawing>
              <wp:anchor behindDoc="0" distT="76200" distB="0" distL="254000" distR="0" simplePos="0" locked="0" layoutInCell="1" allowOverlap="1" relativeHeight="161">
                <wp:simplePos x="0" y="0"/>
                <wp:positionH relativeFrom="column">
                  <wp:align>left</wp:align>
                </wp:positionH>
                <wp:positionV relativeFrom="line">
                  <wp:align>top</wp:align>
                </wp:positionV>
                <wp:extent cx="127000" cy="350520"/>
                <wp:effectExtent l="0" t="0" r="0" b="0"/>
                <wp:wrapSquare wrapText="right"/>
                <wp:docPr id="159" name="Frame1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information that we file with the SEC will automatically update and supersede the information in this prospectus and any information that was previously incorporated in this prospectus. </w:t>
      </w:r>
      <w:r>
        <mc:AlternateContent>
          <mc:Choice Requires="wps">
            <w:drawing>
              <wp:anchor behindDoc="0" distT="76200" distB="0" distL="254000" distR="0" simplePos="0" locked="0" layoutInCell="1" allowOverlap="1" relativeHeight="162">
                <wp:simplePos x="0" y="0"/>
                <wp:positionH relativeFrom="column">
                  <wp:align>left</wp:align>
                </wp:positionH>
                <wp:positionV relativeFrom="line">
                  <wp:align>top</wp:align>
                </wp:positionV>
                <wp:extent cx="127000" cy="350520"/>
                <wp:effectExtent l="0" t="0" r="0" b="0"/>
                <wp:wrapSquare wrapText="right"/>
                <wp:docPr id="160" name="Frame1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Exchange Act filing number is 001-36110.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information incorporated by reference is considered to be part of this prospectus and later information that we file with the SEC will automatically update and supersede this information. We incorporate by reference the following documents and any future filings we make with the SEC under Section 13(a), 13(c), 14 or 15(d) of the Exchange Act (other than documents and information deemed to have been furnished and not filed in accordance with SEC rules) until we have sold all of the securities to which this prospectus relates or the applicable offering of securities is otherwise terminated: </w:t>
      </w:r>
    </w:p>
    <w:p>
      <w:pPr>
        <w:pStyle w:val="TextBody"/>
        <w:bidi w:val="0"/>
        <w:spacing w:lineRule="atLeast" w:line="240" w:before="120" w:after="0"/>
        <w:ind w:left="1993" w:right="0" w:hanging="0"/>
        <w:jc w:val="left"/>
        <w:rPr/>
      </w:pPr>
      <w:hyperlink r:id="rId7">
        <w:r>
          <w:rPr>
            <w:rStyle w:val="InternetLink"/>
          </w:rPr>
          <w:t>our Annual Report on Form 10-K for the year ended December 31, 2024;</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63">
                <wp:simplePos x="0" y="0"/>
                <wp:positionH relativeFrom="column">
                  <wp:align>left</wp:align>
                </wp:positionH>
                <wp:positionV relativeFrom="line">
                  <wp:align>top</wp:align>
                </wp:positionV>
                <wp:extent cx="127000" cy="350520"/>
                <wp:effectExtent l="0" t="0" r="0" b="0"/>
                <wp:wrapSquare wrapText="right"/>
                <wp:docPr id="161" name="Frame1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Quarterly Reports on Form 10-Q for the quarters ended </w:t>
      </w:r>
      <w:hyperlink r:id="rId8">
        <w:r>
          <w:rPr>
            <w:rStyle w:val="InternetLink"/>
          </w:rPr>
          <w:t>March 31, 2025</w:t>
        </w:r>
      </w:hyperlink>
      <w:r>
        <w:rPr>
          <w:rFonts w:ascii="Times New Roman;Times;serif" w:hAnsi="Times New Roman;Times;serif"/>
          <w:b w:val="false"/>
          <w:i w:val="false"/>
          <w:caps w:val="false"/>
          <w:smallCaps w:val="false"/>
          <w:color w:val="000000"/>
          <w:spacing w:val="4"/>
          <w:sz w:val="20"/>
        </w:rPr>
        <w:t xml:space="preserve">, </w:t>
      </w:r>
      <w:hyperlink r:id="rId9">
        <w:r>
          <w:rPr>
            <w:rStyle w:val="InternetLink"/>
          </w:rPr>
          <w:t>June 30, 2025</w:t>
        </w:r>
      </w:hyperlink>
      <w:r>
        <w:rPr>
          <w:rFonts w:ascii="Times New Roman;Times;serif" w:hAnsi="Times New Roman;Times;serif"/>
          <w:b w:val="false"/>
          <w:i w:val="false"/>
          <w:caps w:val="false"/>
          <w:smallCaps w:val="false"/>
          <w:color w:val="000000"/>
          <w:spacing w:val="4"/>
          <w:sz w:val="20"/>
        </w:rPr>
        <w:t xml:space="preserve"> and </w:t>
      </w:r>
      <w:hyperlink r:id="rId10">
        <w:r>
          <w:rPr>
            <w:rStyle w:val="InternetLink"/>
          </w:rPr>
          <w:t>September 30, 2025</w:t>
        </w:r>
      </w:hyperlink>
      <w:r>
        <w:rPr>
          <w:rFonts w:ascii="Times New Roman;Times;serif" w:hAnsi="Times New Roman;Times;serif"/>
          <w:b w:val="false"/>
          <w:i w:val="false"/>
          <w:caps w:val="false"/>
          <w:smallCaps w:val="false"/>
          <w:color w:val="000000"/>
          <w:spacing w:val="4"/>
          <w:sz w:val="20"/>
        </w:rPr>
        <w:t>; and</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76200" distB="0" distL="254000" distR="0" simplePos="0" locked="0" layoutInCell="1" allowOverlap="1" relativeHeight="164">
                <wp:simplePos x="0" y="0"/>
                <wp:positionH relativeFrom="column">
                  <wp:align>left</wp:align>
                </wp:positionH>
                <wp:positionV relativeFrom="line">
                  <wp:align>top</wp:align>
                </wp:positionV>
                <wp:extent cx="127000" cy="350520"/>
                <wp:effectExtent l="0" t="0" r="0" b="0"/>
                <wp:wrapSquare wrapText="right"/>
                <wp:docPr id="162" name="Frame1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Current Reports on Form 8-K filed with the SEC on </w:t>
      </w:r>
      <w:hyperlink r:id="rId11">
        <w:r>
          <w:rPr>
            <w:rStyle w:val="InternetLink"/>
          </w:rPr>
          <w:t>May 15, 2025</w:t>
        </w:r>
      </w:hyperlink>
      <w:r>
        <w:rPr>
          <w:rFonts w:ascii="Times New Roman;Times;serif" w:hAnsi="Times New Roman;Times;serif"/>
          <w:b w:val="false"/>
          <w:i w:val="false"/>
          <w:caps w:val="false"/>
          <w:smallCaps w:val="false"/>
          <w:color w:val="000000"/>
          <w:spacing w:val="4"/>
          <w:sz w:val="20"/>
        </w:rPr>
        <w:t xml:space="preserve"> and </w:t>
      </w:r>
      <w:hyperlink r:id="rId12">
        <w:r>
          <w:rPr>
            <w:rStyle w:val="InternetLink"/>
          </w:rPr>
          <w:t>August 19, 2025</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65">
                <wp:simplePos x="0" y="0"/>
                <wp:positionH relativeFrom="column">
                  <wp:align>left</wp:align>
                </wp:positionH>
                <wp:positionV relativeFrom="line">
                  <wp:align>top</wp:align>
                </wp:positionV>
                <wp:extent cx="127000" cy="350520"/>
                <wp:effectExtent l="0" t="0" r="0" b="0"/>
                <wp:wrapSquare wrapText="right"/>
                <wp:docPr id="163" name="Frame1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To receive a free copy of any of the documents incorporated by reference in this prospectus (other than exhibits, unless they are specifically incorporated by reference in the document), call or write us at the following address: Simon Property Group, 225 West Washington Street, Indianapolis, Indiana 46204, Attention: Investor Relations (317) 685-7330.</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1393"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TextBody"/>
        <w:bidi w:val="0"/>
        <w:spacing w:before="5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20" w:before="749"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$800,000,000</w:t>
      </w:r>
      <w:r>
        <w:rPr>
          <w:rFonts w:ascii="Times New Roman;Times;serif" w:hAnsi="Times New Roman;Times;serif"/>
          <w:b/>
          <w:i w:val="false"/>
          <w:caps w:val="false"/>
          <w:smallCaps w:val="false"/>
          <w:color w:val="000000"/>
          <w:spacing w:val="6"/>
          <w:sz w:val="28"/>
        </w:rPr>
        <w:t xml:space="preserve"> </w:t>
      </w:r>
    </w:p>
    <w:p>
      <w:pPr>
        <w:pStyle w:val="TextBody"/>
        <w:bidi w:val="0"/>
        <w:spacing w:before="280" w:after="283"/>
        <w:jc w:val="center"/>
        <w:rPr>
          <w:caps w:val="false"/>
          <w:smallCaps w:val="false"/>
          <w:color w:val="000000"/>
        </w:rPr>
      </w:pPr>
      <w:r>
        <w:rPr>
          <w:caps w:val="false"/>
          <w:smallCaps w:val="false"/>
          <w:color w:val="000000"/>
        </w:rPr>
        <w:drawing>
          <wp:inline distT="0" distB="0" distL="0" distR="0">
            <wp:extent cx="2476500" cy="981075"/>
            <wp:effectExtent l="0" t="0" r="0" b="0"/>
            <wp:docPr id="16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3" descr=""/>
                    <pic:cNvPicPr>
                      <a:picLocks noChangeAspect="1" noChangeArrowheads="1"/>
                    </pic:cNvPicPr>
                  </pic:nvPicPr>
                  <pic:blipFill>
                    <a:blip r:embed="rId13"/>
                    <a:stretch>
                      <a:fillRect/>
                    </a:stretch>
                  </pic:blipFill>
                  <pic:spPr bwMode="auto">
                    <a:xfrm>
                      <a:off x="0" y="0"/>
                      <a:ext cx="2476500" cy="981075"/>
                    </a:xfrm>
                    <a:prstGeom prst="rect">
                      <a:avLst/>
                    </a:prstGeom>
                  </pic:spPr>
                </pic:pic>
              </a:graphicData>
            </a:graphic>
          </wp:inline>
        </w:drawing>
      </w:r>
      <w:r>
        <w:rPr>
          <w:caps w:val="false"/>
          <w:smallCaps w:val="false"/>
          <w:color w:val="000000"/>
        </w:rPr>
        <w:t xml:space="preserve"> </w:t>
      </w:r>
    </w:p>
    <w:p>
      <w:pPr>
        <w:pStyle w:val="TextBody"/>
        <w:bidi w:val="0"/>
        <w:spacing w:lineRule="atLeast" w:line="400" w:before="711" w:after="283"/>
        <w:jc w:val="center"/>
        <w:rPr>
          <w:rFonts w:ascii="Times New Roman;Times;serif" w:hAnsi="Times New Roman;Times;serif"/>
          <w:b/>
          <w:i w:val="false"/>
          <w:caps w:val="false"/>
          <w:smallCaps w:val="false"/>
          <w:color w:val="000000"/>
          <w:sz w:val="36"/>
        </w:rPr>
      </w:pPr>
      <w:r>
        <w:rPr>
          <w:rFonts w:ascii="Times New Roman;Times;serif" w:hAnsi="Times New Roman;Times;serif"/>
          <w:b/>
          <w:i w:val="false"/>
          <w:caps w:val="false"/>
          <w:smallCaps w:val="false"/>
          <w:color w:val="000000"/>
          <w:spacing w:val="-7"/>
          <w:sz w:val="36"/>
        </w:rPr>
        <w:t>SIMON PROPERTY GROUP, L.P.</w:t>
      </w:r>
      <w:r>
        <w:rPr>
          <w:rFonts w:ascii="Times New Roman;Times;serif" w:hAnsi="Times New Roman;Times;serif"/>
          <w:b/>
          <w:i w:val="false"/>
          <w:caps w:val="false"/>
          <w:smallCaps w:val="false"/>
          <w:color w:val="000000"/>
          <w:spacing w:val="7"/>
          <w:sz w:val="36"/>
        </w:rPr>
        <w:t xml:space="preserve"> </w:t>
      </w:r>
    </w:p>
    <w:p>
      <w:pPr>
        <w:pStyle w:val="TextBody"/>
        <w:bidi w:val="0"/>
        <w:spacing w:lineRule="atLeast" w:line="310" w:before="2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$400,000,000 5.250% Notes due 2032</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$400,000,000 5.650% Notes due 2036</w:t>
      </w:r>
      <w:r>
        <w:rPr>
          <w:rFonts w:ascii="Times New Roman;Times;serif" w:hAnsi="Times New Roman;Times;serif"/>
          <w:b/>
          <w:i w:val="false"/>
          <w:caps w:val="false"/>
          <w:smallCaps w:val="false"/>
          <w:color w:val="000000"/>
          <w:spacing w:val="6"/>
          <w:sz w:val="28"/>
        </w:rPr>
        <w:t xml:space="preserve"> </w:t>
      </w:r>
    </w:p>
    <w:p>
      <w:pPr>
        <w:pStyle w:val="TextBody"/>
        <w:bidi w:val="0"/>
        <w:spacing w:before="703"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80" w:before="280" w:after="283"/>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PROSPECTUS SUPPLEMENT</w:t>
      </w:r>
      <w:r>
        <w:rPr>
          <w:rFonts w:ascii="Times New Roman;Times;serif" w:hAnsi="Times New Roman;Times;serif"/>
          <w:b/>
          <w:i w:val="false"/>
          <w:caps w:val="false"/>
          <w:smallCaps w:val="false"/>
          <w:color w:val="000000"/>
          <w:sz w:val="24"/>
        </w:rPr>
        <w:t xml:space="preserve"> </w:t>
      </w:r>
    </w:p>
    <w:p>
      <w:pPr>
        <w:pStyle w:val="TextBody"/>
        <w:bidi w:val="0"/>
        <w:spacing w:lineRule="atLeast" w:line="240" w:before="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September 9, 2026</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480" w:after="283"/>
        <w:jc w:val="center"/>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Joint Book-Running Managers </w:t>
      </w:r>
    </w:p>
    <w:p>
      <w:pPr>
        <w:pStyle w:val="TextBody"/>
        <w:bidi w:val="0"/>
        <w:spacing w:lineRule="atLeast" w:line="350" w:before="160"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J.P. Morgan</w:t>
      </w:r>
      <w:r>
        <w:rPr>
          <w:rFonts w:ascii="Times New Roman;Times;serif" w:hAnsi="Times New Roman;Times;serif"/>
          <w:b/>
          <w:i w:val="false"/>
          <w:caps w:val="false"/>
          <w:smallCaps w:val="false"/>
          <w:color w:val="000000"/>
          <w:sz w:val="32"/>
        </w:rPr>
        <w:t xml:space="preserve"> </w:t>
        <w:br/>
      </w:r>
      <w:r>
        <w:rPr>
          <w:rFonts w:ascii="Times New Roman;Times;serif" w:hAnsi="Times New Roman;Times;serif"/>
          <w:b/>
          <w:i w:val="false"/>
          <w:caps w:val="false"/>
          <w:smallCaps w:val="false"/>
          <w:color w:val="000000"/>
          <w:spacing w:val="-6"/>
          <w:sz w:val="32"/>
        </w:rPr>
        <w:t>Mizuho</w:t>
      </w:r>
      <w:r>
        <w:rPr>
          <w:rFonts w:ascii="Times New Roman;Times;serif" w:hAnsi="Times New Roman;Times;serif"/>
          <w:b/>
          <w:i w:val="false"/>
          <w:caps w:val="false"/>
          <w:smallCaps w:val="false"/>
          <w:color w:val="000000"/>
          <w:sz w:val="32"/>
        </w:rPr>
        <w:t xml:space="preserve"> </w:t>
      </w:r>
    </w:p>
    <w:p>
      <w:pPr>
        <w:pStyle w:val="TextBody"/>
        <w:bidi w:val="0"/>
        <w:spacing w:lineRule="atLeast" w:line="360" w:before="40"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PNC Capital Markets LLC</w:t>
      </w:r>
      <w:r>
        <w:rPr>
          <w:rFonts w:ascii="Times New Roman;Times;serif" w:hAnsi="Times New Roman;Times;serif"/>
          <w:b/>
          <w:i w:val="false"/>
          <w:caps w:val="false"/>
          <w:smallCaps w:val="false"/>
          <w:color w:val="000000"/>
          <w:sz w:val="32"/>
        </w:rPr>
        <w:t xml:space="preserve"> </w:t>
      </w:r>
    </w:p>
    <w:p>
      <w:pPr>
        <w:pStyle w:val="TextBody"/>
        <w:bidi w:val="0"/>
        <w:spacing w:lineRule="atLeast" w:line="360" w:before="40"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Wells Fargo Securities</w:t>
      </w:r>
      <w:r>
        <w:rPr>
          <w:rFonts w:ascii="Times New Roman;Times;serif" w:hAnsi="Times New Roman;Times;serif"/>
          <w:b/>
          <w:i w:val="false"/>
          <w:caps w:val="false"/>
          <w:smallCaps w:val="false"/>
          <w:color w:val="000000"/>
          <w:sz w:val="32"/>
        </w:rPr>
        <w:t xml:space="preserve"> </w:t>
      </w:r>
    </w:p>
    <w:p>
      <w:pPr>
        <w:pStyle w:val="TextBody"/>
        <w:bidi w:val="0"/>
        <w:spacing w:lineRule="atLeast" w:line="360" w:before="40"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BBVA</w:t>
      </w:r>
      <w:r>
        <w:rPr>
          <w:rFonts w:ascii="Times New Roman;Times;serif" w:hAnsi="Times New Roman;Times;serif"/>
          <w:b/>
          <w:i w:val="false"/>
          <w:caps w:val="false"/>
          <w:smallCaps w:val="false"/>
          <w:color w:val="000000"/>
          <w:sz w:val="32"/>
        </w:rPr>
        <w:t xml:space="preserve"> </w:t>
      </w:r>
    </w:p>
    <w:p>
      <w:pPr>
        <w:pStyle w:val="TextBody"/>
        <w:bidi w:val="0"/>
        <w:spacing w:lineRule="atLeast" w:line="360" w:before="40"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Citigroup</w:t>
      </w:r>
      <w:r>
        <w:rPr>
          <w:rFonts w:ascii="Times New Roman;Times;serif" w:hAnsi="Times New Roman;Times;serif"/>
          <w:b/>
          <w:i w:val="false"/>
          <w:caps w:val="false"/>
          <w:smallCaps w:val="false"/>
          <w:color w:val="000000"/>
          <w:sz w:val="32"/>
        </w:rPr>
        <w:t xml:space="preserve"> </w:t>
      </w:r>
    </w:p>
    <w:p>
      <w:pPr>
        <w:pStyle w:val="TextBody"/>
        <w:bidi w:val="0"/>
        <w:spacing w:lineRule="atLeast" w:line="360" w:before="40"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Natixis</w:t>
      </w:r>
      <w:r>
        <w:rPr>
          <w:rFonts w:ascii="Times New Roman;Times;serif" w:hAnsi="Times New Roman;Times;serif"/>
          <w:b/>
          <w:i w:val="false"/>
          <w:caps w:val="false"/>
          <w:smallCaps w:val="false"/>
          <w:color w:val="000000"/>
          <w:sz w:val="32"/>
        </w:rPr>
        <w:t xml:space="preserve"> </w:t>
      </w:r>
    </w:p>
    <w:p>
      <w:pPr>
        <w:pStyle w:val="TextBody"/>
        <w:bidi w:val="0"/>
        <w:spacing w:lineRule="atLeast" w:line="360" w:before="40"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RBC Capital Markets</w:t>
      </w:r>
      <w:r>
        <w:rPr>
          <w:rFonts w:ascii="Times New Roman;Times;serif" w:hAnsi="Times New Roman;Times;serif"/>
          <w:b/>
          <w:i w:val="false"/>
          <w:caps w:val="false"/>
          <w:smallCaps w:val="false"/>
          <w:color w:val="000000"/>
          <w:sz w:val="32"/>
        </w:rPr>
        <w:t xml:space="preserve"> </w:t>
      </w:r>
    </w:p>
    <w:p>
      <w:pPr>
        <w:pStyle w:val="TextBody"/>
        <w:bidi w:val="0"/>
        <w:spacing w:lineRule="atLeast" w:line="360" w:before="40"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TD Securities</w:t>
      </w:r>
      <w:r>
        <w:rPr>
          <w:rFonts w:ascii="Times New Roman;Times;serif" w:hAnsi="Times New Roman;Times;serif"/>
          <w:b/>
          <w:i w:val="false"/>
          <w:caps w:val="false"/>
          <w:smallCaps w:val="false"/>
          <w:color w:val="000000"/>
          <w:sz w:val="32"/>
        </w:rPr>
        <w:t xml:space="preserve"> </w:t>
      </w:r>
    </w:p>
    <w:p>
      <w:pPr>
        <w:pStyle w:val="TextBody"/>
        <w:bidi w:val="0"/>
        <w:spacing w:lineRule="atLeast" w:line="360" w:before="40"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Truist Securities</w:t>
      </w:r>
      <w:r>
        <w:rPr>
          <w:rFonts w:ascii="Times New Roman;Times;serif" w:hAnsi="Times New Roman;Times;serif"/>
          <w:b/>
          <w:i w:val="false"/>
          <w:caps w:val="false"/>
          <w:smallCaps w:val="false"/>
          <w:color w:val="000000"/>
          <w:sz w:val="32"/>
        </w:rPr>
        <w:t xml:space="preserve"> </w:t>
      </w:r>
    </w:p>
    <w:p>
      <w:pPr>
        <w:pStyle w:val="TextBody"/>
        <w:bidi w:val="0"/>
        <w:spacing w:lineRule="atLeast" w:line="360" w:before="40"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US Bancorp</w:t>
      </w:r>
      <w:r>
        <w:rPr>
          <w:rFonts w:ascii="Times New Roman;Times;serif" w:hAnsi="Times New Roman;Times;serif"/>
          <w:b/>
          <w:i w:val="false"/>
          <w:caps w:val="false"/>
          <w:smallCaps w:val="false"/>
          <w:color w:val="000000"/>
          <w:spacing w:val="6"/>
          <w:sz w:val="32"/>
        </w:rPr>
        <w:t xml:space="preserve"> </w:t>
      </w:r>
    </w:p>
    <w:p>
      <w:pPr>
        <w:pStyle w:val="TextBody"/>
        <w:bidi w:val="0"/>
        <w:spacing w:lineRule="atLeast" w:line="240" w:before="240" w:after="283"/>
        <w:jc w:val="center"/>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Co-Managers </w:t>
      </w:r>
    </w:p>
    <w:p>
      <w:pPr>
        <w:pStyle w:val="TextBody"/>
        <w:bidi w:val="0"/>
        <w:spacing w:lineRule="atLeast" w:line="320" w:before="16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Credit Agricole CIB</w:t>
      </w:r>
      <w:r>
        <w:rPr>
          <w:rFonts w:ascii="Times New Roman;Times;serif" w:hAnsi="Times New Roman;Times;serif"/>
          <w:b/>
          <w:i w:val="false"/>
          <w:caps w:val="false"/>
          <w:smallCaps w:val="false"/>
          <w:color w:val="000000"/>
          <w:sz w:val="28"/>
        </w:rPr>
        <w:t xml:space="preserve"> </w:t>
      </w:r>
    </w:p>
    <w:p>
      <w:pPr>
        <w:pStyle w:val="TextBody"/>
        <w:bidi w:val="0"/>
        <w:spacing w:lineRule="atLeast" w:line="320" w:before="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Fifth Third Securities</w:t>
      </w:r>
      <w:r>
        <w:rPr>
          <w:rFonts w:ascii="Times New Roman;Times;serif" w:hAnsi="Times New Roman;Times;serif"/>
          <w:b/>
          <w:i w:val="false"/>
          <w:caps w:val="false"/>
          <w:smallCaps w:val="false"/>
          <w:color w:val="000000"/>
          <w:sz w:val="28"/>
        </w:rPr>
        <w:t xml:space="preserve"> </w:t>
      </w:r>
    </w:p>
    <w:p>
      <w:pPr>
        <w:pStyle w:val="TextBody"/>
        <w:bidi w:val="0"/>
        <w:spacing w:lineRule="atLeast" w:line="320" w:before="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M&amp;T Securities</w:t>
      </w:r>
      <w:r>
        <w:rPr>
          <w:rFonts w:ascii="Times New Roman;Times;serif" w:hAnsi="Times New Roman;Times;serif"/>
          <w:b/>
          <w:i w:val="false"/>
          <w:caps w:val="false"/>
          <w:smallCaps w:val="false"/>
          <w:color w:val="000000"/>
          <w:sz w:val="28"/>
        </w:rPr>
        <w:t xml:space="preserve"> </w:t>
      </w:r>
    </w:p>
    <w:p>
      <w:pPr>
        <w:pStyle w:val="TextBody"/>
        <w:bidi w:val="0"/>
        <w:spacing w:before="883"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50" w:after="283"/>
        <w:ind w:left="1393"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25" w:name="tm2624890d2_ex-filingfees.htm"/>
      <w:bookmarkStart w:id="26" w:name="kstm2624890d2_exfilingfees"/>
      <w:bookmarkStart w:id="27" w:name="tm2624890d2_ex-filingfees.htm"/>
      <w:bookmarkStart w:id="28" w:name="kstm2624890d2_exfilingfees"/>
      <w:bookmarkEnd w:id="27"/>
      <w:bookmarkEnd w:id="28"/>
      <w:r>
        <w:br w:type="page"/>
      </w:r>
    </w:p>
    <w:tbl>
      <w:tblPr>
        <w:tblW w:w="3920" w:type="dxa"/>
        <w:jc w:val="left"/>
        <w:tblInd w:w="0" w:type="dxa"/>
        <w:tblLayout w:type="fixed"/>
        <w:tblCellMar>
          <w:top w:w="28" w:type="dxa"/>
          <w:left w:w="28" w:type="dxa"/>
          <w:bottom w:w="28" w:type="dxa"/>
          <w:right w:w="28" w:type="dxa"/>
        </w:tblCellMar>
      </w:tblPr>
      <w:tblGrid>
        <w:gridCol w:w="3766"/>
        <w:gridCol w:w="154"/>
      </w:tblGrid>
      <w:tr>
        <w:trPr/>
        <w:tc>
          <w:tcPr>
            <w:tcW w:w="3920"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766"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766" w:type="dxa"/>
            <w:tcBorders/>
            <w:vAlign w:val="center"/>
          </w:tcPr>
          <w:p>
            <w:pPr>
              <w:pStyle w:val="TableContents"/>
              <w:bidi w:val="0"/>
              <w:spacing w:before="0" w:after="283"/>
              <w:jc w:val="left"/>
              <w:rPr>
                <w:b/>
              </w:rPr>
            </w:pPr>
            <w:r>
              <w:rPr>
                <w:b/>
              </w:rPr>
              <w:t xml:space="preserve">SIMON PROPERTY GROUP L P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644" w:type="dxa"/>
        <w:jc w:val="left"/>
        <w:tblInd w:w="0" w:type="dxa"/>
        <w:tblLayout w:type="fixed"/>
        <w:tblCellMar>
          <w:top w:w="28" w:type="dxa"/>
          <w:left w:w="28" w:type="dxa"/>
          <w:bottom w:w="28" w:type="dxa"/>
          <w:right w:w="28" w:type="dxa"/>
        </w:tblCellMar>
      </w:tblPr>
      <w:tblGrid>
        <w:gridCol w:w="1126"/>
        <w:gridCol w:w="226"/>
        <w:gridCol w:w="946"/>
        <w:gridCol w:w="946"/>
        <w:gridCol w:w="1276"/>
        <w:gridCol w:w="1306"/>
        <w:gridCol w:w="1156"/>
        <w:gridCol w:w="1786"/>
        <w:gridCol w:w="1126"/>
        <w:gridCol w:w="1366"/>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46"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30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8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66"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64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Debt </w:t>
            </w:r>
          </w:p>
        </w:tc>
        <w:tc>
          <w:tcPr>
            <w:tcW w:w="946" w:type="dxa"/>
            <w:tcBorders/>
            <w:shd w:fill="E7E7E2" w:val="clear"/>
            <w:vAlign w:val="center"/>
          </w:tcPr>
          <w:p>
            <w:pPr>
              <w:pStyle w:val="TableContents"/>
              <w:bidi w:val="0"/>
              <w:spacing w:before="0" w:after="283"/>
              <w:jc w:val="left"/>
              <w:rPr/>
            </w:pPr>
            <w:r>
              <w:rPr/>
              <w:t xml:space="preserve">5.250% Notes due 2032 </w:t>
            </w:r>
          </w:p>
        </w:tc>
        <w:tc>
          <w:tcPr>
            <w:tcW w:w="1276" w:type="dxa"/>
            <w:tcBorders/>
            <w:shd w:fill="E7E7E2" w:val="clear"/>
            <w:vAlign w:val="center"/>
          </w:tcPr>
          <w:p>
            <w:pPr>
              <w:pStyle w:val="TableContents"/>
              <w:bidi w:val="0"/>
              <w:spacing w:before="0" w:after="283"/>
              <w:jc w:val="center"/>
              <w:rPr/>
            </w:pPr>
            <w:r>
              <w:rPr/>
              <w:t xml:space="preserve">457(r) </w:t>
            </w:r>
          </w:p>
        </w:tc>
        <w:tc>
          <w:tcPr>
            <w:tcW w:w="1306" w:type="dxa"/>
            <w:tcBorders/>
            <w:shd w:fill="E7E7E2" w:val="clear"/>
            <w:vAlign w:val="center"/>
          </w:tcPr>
          <w:p>
            <w:pPr>
              <w:pStyle w:val="TableContents"/>
              <w:bidi w:val="0"/>
              <w:spacing w:before="0" w:after="283"/>
              <w:jc w:val="right"/>
              <w:rPr/>
            </w:pPr>
            <w:r>
              <w:rPr/>
              <w:t xml:space="preserve">400,000,000 </w:t>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right"/>
              <w:rPr/>
            </w:pPr>
            <w:r>
              <w:rPr/>
              <w:t xml:space="preserve">$ 399,980,000.00 </w:t>
            </w:r>
          </w:p>
        </w:tc>
        <w:tc>
          <w:tcPr>
            <w:tcW w:w="1126" w:type="dxa"/>
            <w:tcBorders/>
            <w:shd w:fill="E7E7E2" w:val="clear"/>
            <w:vAlign w:val="center"/>
          </w:tcPr>
          <w:p>
            <w:pPr>
              <w:pStyle w:val="TableContents"/>
              <w:bidi w:val="0"/>
              <w:spacing w:before="0" w:after="283"/>
              <w:jc w:val="right"/>
              <w:rPr/>
            </w:pPr>
            <w:r>
              <w:rPr/>
              <w:t xml:space="preserve">0.0001381 </w:t>
            </w:r>
          </w:p>
        </w:tc>
        <w:tc>
          <w:tcPr>
            <w:tcW w:w="1366" w:type="dxa"/>
            <w:tcBorders/>
            <w:shd w:fill="E7E7E2" w:val="clear"/>
            <w:vAlign w:val="center"/>
          </w:tcPr>
          <w:p>
            <w:pPr>
              <w:pStyle w:val="TableContents"/>
              <w:bidi w:val="0"/>
              <w:spacing w:before="0" w:after="283"/>
              <w:jc w:val="right"/>
              <w:rPr/>
            </w:pPr>
            <w:r>
              <w:rPr/>
              <w:t xml:space="preserve">$ 55,237.24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2 </w:t>
            </w:r>
          </w:p>
        </w:tc>
        <w:tc>
          <w:tcPr>
            <w:tcW w:w="946" w:type="dxa"/>
            <w:tcBorders/>
            <w:shd w:fill="E7E7E2" w:val="clear"/>
            <w:vAlign w:val="center"/>
          </w:tcPr>
          <w:p>
            <w:pPr>
              <w:pStyle w:val="TableContents"/>
              <w:bidi w:val="0"/>
              <w:spacing w:before="0" w:after="283"/>
              <w:jc w:val="left"/>
              <w:rPr/>
            </w:pPr>
            <w:r>
              <w:rPr/>
              <w:t xml:space="preserve">Debt </w:t>
            </w:r>
          </w:p>
        </w:tc>
        <w:tc>
          <w:tcPr>
            <w:tcW w:w="946" w:type="dxa"/>
            <w:tcBorders/>
            <w:shd w:fill="E7E7E2" w:val="clear"/>
            <w:vAlign w:val="center"/>
          </w:tcPr>
          <w:p>
            <w:pPr>
              <w:pStyle w:val="TableContents"/>
              <w:bidi w:val="0"/>
              <w:spacing w:before="0" w:after="283"/>
              <w:jc w:val="left"/>
              <w:rPr/>
            </w:pPr>
            <w:r>
              <w:rPr/>
              <w:t xml:space="preserve">5.650% Notes due 2036 </w:t>
            </w:r>
          </w:p>
        </w:tc>
        <w:tc>
          <w:tcPr>
            <w:tcW w:w="1276" w:type="dxa"/>
            <w:tcBorders/>
            <w:shd w:fill="E7E7E2" w:val="clear"/>
            <w:vAlign w:val="center"/>
          </w:tcPr>
          <w:p>
            <w:pPr>
              <w:pStyle w:val="TableContents"/>
              <w:bidi w:val="0"/>
              <w:spacing w:before="0" w:after="283"/>
              <w:jc w:val="center"/>
              <w:rPr/>
            </w:pPr>
            <w:r>
              <w:rPr/>
              <w:t xml:space="preserve">457(r) </w:t>
            </w:r>
          </w:p>
        </w:tc>
        <w:tc>
          <w:tcPr>
            <w:tcW w:w="1306" w:type="dxa"/>
            <w:tcBorders/>
            <w:shd w:fill="E7E7E2" w:val="clear"/>
            <w:vAlign w:val="center"/>
          </w:tcPr>
          <w:p>
            <w:pPr>
              <w:pStyle w:val="TableContents"/>
              <w:bidi w:val="0"/>
              <w:spacing w:before="0" w:after="283"/>
              <w:jc w:val="right"/>
              <w:rPr/>
            </w:pPr>
            <w:r>
              <w:rPr/>
              <w:t xml:space="preserve">400,000,000 </w:t>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right"/>
              <w:rPr/>
            </w:pPr>
            <w:r>
              <w:rPr/>
              <w:t xml:space="preserve">$ 399,200,000.00 </w:t>
            </w:r>
          </w:p>
        </w:tc>
        <w:tc>
          <w:tcPr>
            <w:tcW w:w="1126" w:type="dxa"/>
            <w:tcBorders/>
            <w:shd w:fill="E7E7E2" w:val="clear"/>
            <w:vAlign w:val="center"/>
          </w:tcPr>
          <w:p>
            <w:pPr>
              <w:pStyle w:val="TableContents"/>
              <w:bidi w:val="0"/>
              <w:spacing w:before="0" w:after="283"/>
              <w:jc w:val="right"/>
              <w:rPr/>
            </w:pPr>
            <w:r>
              <w:rPr/>
              <w:t xml:space="preserve">0.0001381 </w:t>
            </w:r>
          </w:p>
        </w:tc>
        <w:tc>
          <w:tcPr>
            <w:tcW w:w="1366" w:type="dxa"/>
            <w:tcBorders/>
            <w:shd w:fill="E7E7E2" w:val="clear"/>
            <w:vAlign w:val="center"/>
          </w:tcPr>
          <w:p>
            <w:pPr>
              <w:pStyle w:val="TableContents"/>
              <w:bidi w:val="0"/>
              <w:spacing w:before="0" w:after="283"/>
              <w:jc w:val="right"/>
              <w:rPr/>
            </w:pPr>
            <w:r>
              <w:rPr/>
              <w:t xml:space="preserve">$ 55,129.52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30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6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64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30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6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528"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0"/>
              <w:ind w:left="0" w:right="0" w:hanging="0"/>
              <w:jc w:val="right"/>
              <w:rPr/>
            </w:pPr>
            <w:bookmarkStart w:id="29" w:name="MaxAggtOfferingPrice"/>
            <w:bookmarkEnd w:id="29"/>
            <w:r>
              <w:rPr/>
              <w:t xml:space="preserve">$ 799,180,000.00 </w:t>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30" w:name="TotalFeeAmt"/>
            <w:bookmarkEnd w:id="30"/>
            <w:r>
              <w:rPr/>
              <w:t xml:space="preserve">$ 110,366.76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528"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0"/>
              <w:ind w:left="0" w:right="0" w:hanging="0"/>
              <w:jc w:val="right"/>
              <w:rPr/>
            </w:pPr>
            <w:bookmarkStart w:id="31" w:name="TotalPreviouslyPaidAmt"/>
            <w:bookmarkEnd w:id="31"/>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528"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0"/>
              <w:ind w:left="0" w:right="0" w:hanging="0"/>
              <w:jc w:val="right"/>
              <w:rPr/>
            </w:pPr>
            <w:bookmarkStart w:id="32" w:name="TotalOffsetAmt"/>
            <w:bookmarkEnd w:id="32"/>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528"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0"/>
              <w:ind w:left="0" w:right="0" w:hanging="0"/>
              <w:jc w:val="right"/>
              <w:rPr/>
            </w:pPr>
            <w:bookmarkStart w:id="33" w:name="NetFeeAmt"/>
            <w:bookmarkEnd w:id="33"/>
            <w:r>
              <w:rPr/>
              <w:t xml:space="preserve">$ 110,366.76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10"/>
        <w:gridCol w:w="1294"/>
        <w:gridCol w:w="8701"/>
      </w:tblGrid>
      <w:tr>
        <w:trPr/>
        <w:tc>
          <w:tcPr>
            <w:tcW w:w="210"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9995" w:type="dxa"/>
            <w:gridSpan w:val="2"/>
            <w:tcBorders/>
            <w:vAlign w:val="center"/>
          </w:tcPr>
          <w:p>
            <w:pPr>
              <w:pStyle w:val="TableContents"/>
              <w:bidi w:val="0"/>
              <w:spacing w:before="0" w:after="283"/>
              <w:jc w:val="left"/>
              <w:rPr/>
            </w:pPr>
            <w:r>
              <w:rPr/>
              <w:t xml:space="preserve">The registration fee is calculated in accordance with Rule 457(r) under the Securities Act of 1933, as amended (the "Securities Act"). This "Calculation of Registration Fee" table shall be deemed to update the "Calculation of Registration Fee" table in the registrants' Registration Statement on Form S-3 (No. 333-277297-01), in accordance with Rules 456(b) and 457(r) under the Securities Act. </w:t>
            </w:r>
          </w:p>
        </w:tc>
      </w:tr>
      <w:tr>
        <w:trPr/>
        <w:tc>
          <w:tcPr>
            <w:tcW w:w="1504" w:type="dxa"/>
            <w:gridSpan w:val="2"/>
            <w:tcBorders/>
            <w:vAlign w:val="center"/>
          </w:tcPr>
          <w:p>
            <w:pPr>
              <w:pStyle w:val="HorizontalLine"/>
              <w:pBdr>
                <w:bottom w:val="double" w:sz="2" w:space="0" w:color="808080"/>
              </w:pBdr>
              <w:bidi w:val="0"/>
              <w:spacing w:before="0" w:after="283"/>
              <w:jc w:val="left"/>
              <w:rPr/>
            </w:pPr>
            <w:r>
              <w:rPr/>
            </w:r>
          </w:p>
        </w:tc>
        <w:tc>
          <w:tcPr>
            <w:tcW w:w="8701" w:type="dxa"/>
            <w:tcBorders/>
          </w:tcPr>
          <w:p>
            <w:pPr>
              <w:pStyle w:val="TableContents"/>
              <w:bidi w:val="0"/>
              <w:spacing w:before="0" w:after="283"/>
              <w:jc w:val="left"/>
              <w:rPr>
                <w:sz w:val="4"/>
                <w:szCs w:val="4"/>
              </w:rPr>
            </w:pPr>
            <w:r>
              <w:rPr>
                <w:sz w:val="4"/>
                <w:szCs w:val="4"/>
              </w:rPr>
            </w:r>
          </w:p>
        </w:tc>
      </w:tr>
      <w:tr>
        <w:trPr/>
        <w:tc>
          <w:tcPr>
            <w:tcW w:w="210"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9995" w:type="dxa"/>
            <w:gridSpan w:val="2"/>
            <w:tcBorders/>
            <w:vAlign w:val="center"/>
          </w:tcPr>
          <w:p>
            <w:pPr>
              <w:pStyle w:val="TableContents"/>
              <w:bidi w:val="0"/>
              <w:spacing w:before="0" w:after="283"/>
              <w:jc w:val="left"/>
              <w:rPr/>
            </w:pPr>
            <w:r>
              <w:rPr/>
              <w:t xml:space="preserve">See Offering Note 1. </w:t>
            </w:r>
          </w:p>
        </w:tc>
      </w:tr>
      <w:tr>
        <w:trPr/>
        <w:tc>
          <w:tcPr>
            <w:tcW w:w="1504" w:type="dxa"/>
            <w:gridSpan w:val="2"/>
            <w:tcBorders/>
            <w:vAlign w:val="center"/>
          </w:tcPr>
          <w:p>
            <w:pPr>
              <w:pStyle w:val="HorizontalLine"/>
              <w:pBdr>
                <w:bottom w:val="double" w:sz="2" w:space="0" w:color="808080"/>
              </w:pBdr>
              <w:bidi w:val="0"/>
              <w:spacing w:before="0" w:after="283"/>
              <w:jc w:val="left"/>
              <w:rPr/>
            </w:pPr>
            <w:r>
              <w:rPr/>
            </w:r>
          </w:p>
        </w:tc>
        <w:tc>
          <w:tcPr>
            <w:tcW w:w="8701"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tbl>
      <w:tblPr>
        <w:tblW w:w="2326" w:type="dxa"/>
        <w:jc w:val="left"/>
        <w:tblInd w:w="0" w:type="dxa"/>
        <w:tblLayout w:type="fixed"/>
        <w:tblCellMar>
          <w:top w:w="28" w:type="dxa"/>
          <w:left w:w="28" w:type="dxa"/>
          <w:bottom w:w="28" w:type="dxa"/>
          <w:right w:w="28" w:type="dxa"/>
        </w:tblCellMar>
      </w:tblPr>
      <w:tblGrid>
        <w:gridCol w:w="2326"/>
      </w:tblGrid>
      <w:tr>
        <w:trPr/>
        <w:tc>
          <w:tcPr>
            <w:tcW w:w="2326" w:type="dxa"/>
            <w:tcBorders/>
            <w:vAlign w:val="center"/>
          </w:tcPr>
          <w:p>
            <w:pPr>
              <w:pStyle w:val="TableHeading"/>
              <w:bidi w:val="0"/>
              <w:spacing w:before="0" w:after="283"/>
              <w:jc w:val="center"/>
              <w:rPr/>
            </w:pPr>
            <w:r>
              <w:rPr>
                <w:b/>
              </w:rPr>
              <w:t>Narrative Disclosure</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The maximum aggregate offering price of the securities to which the prospectus relates is $799,180,000.00. The prospectus is a final prospectus for the related offering. </w:t>
            </w:r>
          </w:p>
        </w:tc>
      </w:tr>
      <w:tr>
        <w:trPr/>
        <w:tc>
          <w:tcPr>
            <w:tcW w:w="1020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1022344/000110465926019419/spg-20251231x10k.htm" TargetMode="External"/><Relationship Id="rId4" Type="http://schemas.openxmlformats.org/officeDocument/2006/relationships/hyperlink" Target="https://www.sec.gov/ix?doc=/Archives/edgar/data/1022344/000110465926019419/spg-20251231x10k.htm" TargetMode="External"/><Relationship Id="rId5" Type="http://schemas.openxmlformats.org/officeDocument/2006/relationships/image" Target="media/image1.jpeg"/><Relationship Id="rId6" Type="http://schemas.openxmlformats.org/officeDocument/2006/relationships/hyperlink" Target="https://www.sec.gov/ix?doc=/Archives/edgar/data/1022344/000155837025001271/spg-20241231x10k.htm" TargetMode="External"/><Relationship Id="rId7" Type="http://schemas.openxmlformats.org/officeDocument/2006/relationships/hyperlink" Target="https://www.sec.gov/ix?doc=/Archives/edgar/data/1022344/000155837025001271/spg-20241231x10k.htm" TargetMode="External"/><Relationship Id="rId8" Type="http://schemas.openxmlformats.org/officeDocument/2006/relationships/hyperlink" Target="https://www.sec.gov/ix?doc=/Archives/edgar/data/1022344/000155837025007380/spg-20250331x10q.htm" TargetMode="External"/><Relationship Id="rId9" Type="http://schemas.openxmlformats.org/officeDocument/2006/relationships/hyperlink" Target="https://www.sec.gov/ix?doc=/Archives/edgar/data/1022344/000155837025010639/spg-20250630x10q.htm" TargetMode="External"/><Relationship Id="rId10" Type="http://schemas.openxmlformats.org/officeDocument/2006/relationships/hyperlink" Target="https://www.sec.gov/ix?doc=/Archives/edgar/data/1022344/000110465925107395/spg-20250930x10q.htm" TargetMode="External"/><Relationship Id="rId11" Type="http://schemas.openxmlformats.org/officeDocument/2006/relationships/hyperlink" Target="https://www.sec.gov/ix?doc=/Archives/edgar/data/1022344/000110465925049284/tm2515129d1_8k.htm" TargetMode="External"/><Relationship Id="rId12" Type="http://schemas.openxmlformats.org/officeDocument/2006/relationships/hyperlink" Target="https://www.sec.gov/ix?doc=/Archives/edgar/data/1022344/000110465925080255/tm2523714d1_8k.htm" TargetMode="External"/><Relationship Id="rId13" Type="http://schemas.openxmlformats.org/officeDocument/2006/relationships/image" Target="media/image1.jpeg"/><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30769</Words>
  <Characters>160249</Characters>
  <CharactersWithSpaces>192154</CharactersWithSpaces>
  <Paragraphs>1877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