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Dated January 6, 2026</w:t>
            </w:r>
          </w:p>
        </w:tc>
      </w:tr>
      <w:tr>
        <w:trPr>
          <w:trHeight w:val="216"/>
        </w:trPr>
        <w:tc>
          <w:tcPr>
            <w:tcW w:w="3340" w:type="dxa"/>
            <w:vAlign w:val="bottom"/>
          </w:tcPr>
          <w:p>
            <w:pPr>
              <w:spacing w:after="0"/>
              <w:rPr>
                <w:sz w:val="18"/>
                <w:szCs w:val="18"/>
                <w:color w:val="auto"/>
              </w:rPr>
            </w:pPr>
          </w:p>
        </w:tc>
        <w:tc>
          <w:tcPr>
            <w:tcW w:w="7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333-277297-01</w:t>
            </w:r>
          </w:p>
        </w:tc>
      </w:tr>
      <w:tr>
        <w:trPr>
          <w:trHeight w:val="216"/>
        </w:trPr>
        <w:tc>
          <w:tcPr>
            <w:tcW w:w="3340" w:type="dxa"/>
            <w:vAlign w:val="bottom"/>
          </w:tcPr>
          <w:p>
            <w:pPr>
              <w:spacing w:after="0"/>
              <w:rPr>
                <w:sz w:val="18"/>
                <w:szCs w:val="18"/>
                <w:color w:val="auto"/>
              </w:rPr>
            </w:pPr>
          </w:p>
        </w:tc>
        <w:tc>
          <w:tcPr>
            <w:tcW w:w="7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Relating to</w:t>
            </w:r>
          </w:p>
        </w:tc>
      </w:tr>
      <w:tr>
        <w:trPr>
          <w:trHeight w:val="216"/>
        </w:trPr>
        <w:tc>
          <w:tcPr>
            <w:tcW w:w="3340" w:type="dxa"/>
            <w:vAlign w:val="bottom"/>
          </w:tcPr>
          <w:p>
            <w:pPr>
              <w:spacing w:after="0"/>
              <w:rPr>
                <w:sz w:val="18"/>
                <w:szCs w:val="18"/>
                <w:color w:val="auto"/>
              </w:rPr>
            </w:pPr>
          </w:p>
        </w:tc>
        <w:tc>
          <w:tcPr>
            <w:tcW w:w="7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January 6, 2026 and</w:t>
            </w:r>
          </w:p>
        </w:tc>
      </w:tr>
      <w:tr>
        <w:trPr>
          <w:trHeight w:val="234"/>
        </w:trPr>
        <w:tc>
          <w:tcPr>
            <w:tcW w:w="3340" w:type="dxa"/>
            <w:vAlign w:val="bottom"/>
          </w:tcPr>
          <w:p>
            <w:pPr>
              <w:spacing w:after="0"/>
              <w:rPr>
                <w:sz w:val="20"/>
                <w:szCs w:val="20"/>
                <w:color w:val="auto"/>
              </w:rPr>
            </w:pPr>
          </w:p>
        </w:tc>
        <w:tc>
          <w:tcPr>
            <w:tcW w:w="7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Prospectus dated January 6, 2026</w:t>
            </w:r>
          </w:p>
        </w:tc>
      </w:tr>
      <w:tr>
        <w:trPr>
          <w:trHeight w:val="648"/>
        </w:trPr>
        <w:tc>
          <w:tcPr>
            <w:tcW w:w="3340" w:type="dxa"/>
            <w:vAlign w:val="bottom"/>
          </w:tcPr>
          <w:p>
            <w:pPr>
              <w:spacing w:after="0"/>
              <w:rPr>
                <w:sz w:val="24"/>
                <w:szCs w:val="24"/>
                <w:color w:val="auto"/>
              </w:rPr>
            </w:pPr>
          </w:p>
        </w:tc>
        <w:tc>
          <w:tcPr>
            <w:tcW w:w="7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$800,000,000 4.300% NOTES DUE 2031</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Simon Property Group, L.P.</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A3 (stable) / A (stable) (Moody’s/S&amp;P)</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$800,000,000</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15, 2031</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4.300% per annum</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15 and July 15, commencing July 15, 2026</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3.625% due December 31, 2030</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99-18+ / 3.718%</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+65 basis points</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4.368%</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Initial Price to Public:</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99.697% plus accrued interest from January 13, 2026 if settlement occurs after that date</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Provision:</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Make-whole call prior to December 15, 2030 based on U.S. Treasury +10 basis points or at par on or</w:t>
            </w:r>
          </w:p>
        </w:tc>
      </w:tr>
      <w:tr>
        <w:trPr>
          <w:trHeight w:val="234"/>
        </w:trPr>
        <w:tc>
          <w:tcPr>
            <w:tcW w:w="3340" w:type="dxa"/>
            <w:vAlign w:val="bottom"/>
          </w:tcPr>
          <w:p>
            <w:pPr>
              <w:spacing w:after="0"/>
              <w:rPr>
                <w:sz w:val="20"/>
                <w:szCs w:val="20"/>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after December 15, 2030</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T+5; January 13, 2026</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828807 EB9 / US828807EB93</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Santander US Capital Markets LLC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34"/>
        </w:trPr>
        <w:tc>
          <w:tcPr>
            <w:tcW w:w="3340" w:type="dxa"/>
            <w:vAlign w:val="bottom"/>
          </w:tcPr>
          <w:p>
            <w:pPr>
              <w:spacing w:after="0"/>
              <w:rPr>
                <w:sz w:val="20"/>
                <w:szCs w:val="20"/>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Fifth Third Securities, Inc.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34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Samuel A. Ramirez &amp; Company, Inc.</w:t>
            </w:r>
          </w:p>
        </w:tc>
      </w:tr>
      <w:tr>
        <w:trPr>
          <w:trHeight w:val="234"/>
        </w:trPr>
        <w:tc>
          <w:tcPr>
            <w:tcW w:w="3340" w:type="dxa"/>
            <w:vAlign w:val="bottom"/>
          </w:tcPr>
          <w:p>
            <w:pPr>
              <w:spacing w:after="0"/>
              <w:rPr>
                <w:sz w:val="20"/>
                <w:szCs w:val="20"/>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Issuer intends to use the net proceeds of the offering, together with cash on hand, to fund the</w:t>
            </w:r>
          </w:p>
        </w:tc>
      </w:tr>
      <w:tr>
        <w:trPr>
          <w:trHeight w:val="234"/>
        </w:trPr>
        <w:tc>
          <w:tcPr>
            <w:tcW w:w="3340" w:type="dxa"/>
            <w:vAlign w:val="bottom"/>
          </w:tcPr>
          <w:p>
            <w:pPr>
              <w:spacing w:after="0"/>
              <w:rPr>
                <w:sz w:val="20"/>
                <w:szCs w:val="20"/>
                <w:color w:val="auto"/>
              </w:rPr>
            </w:pPr>
          </w:p>
        </w:tc>
        <w:tc>
          <w:tcPr>
            <w:tcW w:w="7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repayment of its $800 million outstanding principal amount of its 3.300% notes due 2026</w:t>
            </w:r>
            <w:r>
              <w:rPr>
                <w:rFonts w:ascii="Times New Roman" w:cs="Times New Roman" w:eastAsia="Times New Roman" w:hAnsi="Times New Roman"/>
                <w:sz w:val="18"/>
                <w:szCs w:val="18"/>
                <w:color w:val="231F20"/>
              </w:rPr>
              <w:t>.</w:t>
            </w:r>
          </w:p>
        </w:tc>
      </w:tr>
      <w:tr>
        <w:trPr>
          <w:trHeight w:val="675"/>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-6642735</wp:posOffset>
            </wp:positionV>
            <wp:extent cx="171450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77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This communication is intended for the sole use of the person to whom it is provided by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25" w:lineRule="exact"/>
        <w:rPr>
          <w:sz w:val="20"/>
          <w:szCs w:val="20"/>
          <w:color w:val="auto"/>
        </w:rPr>
      </w:pPr>
    </w:p>
    <w:p>
      <w:pPr>
        <w:jc w:val="both"/>
        <w:ind w:firstLine="8"/>
        <w:spacing w:after="0" w:line="259" w:lineRule="auto"/>
        <w:tabs>
          <w:tab w:leader="none" w:pos="24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xml:space="preserve"> Alternatively, the Issuer, any underwriter or any dealer participating in the offering will arrange to send you the prospectus and related preliminary prospectus supplement if you request it by contacting BofA Securities, Inc. toll-free at (800) 294-1322; Deutsche Bank Securities Inc. toll-free at (800) 503-4611; Goldman Sachs &amp; Co. LLC toll-free at (866) 471-2526; or RBC Capital Markets, LLC toll-free at (866) 375-6829.</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2026-01-06T17:12:56Z</dcterms:created>
  <dcterms:modified xsi:type="dcterms:W3CDTF">2026-01-06T17:12:56Z</dcterms:modified>
</cp:coreProperties>
</file>