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Tender Offer Statement under Section 14(d)(1) or 13(e)(1)</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MILLS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(Name of Subject Company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Simon Property Group, Inc. (Other Person)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(Names of Filing Persons (identifying status as offeror, issuer or other person))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$0.01 par value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601148109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(CUSIP Number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Arthur Fleischer, Jr.,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Peter S. Golden,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Fried, Frank, Harris, Shriver &amp; Jacobson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New York Plaza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859-8000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(Name, address and telephone number of person authorized 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receive notices and communications on behalf of filing persons)</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7500" w:type="dxa"/>
            <w:vAlign w:val="bottom"/>
            <w:gridSpan w:val="3"/>
          </w:tcPr>
          <w:p>
            <w:pPr>
              <w:ind w:left="400"/>
              <w:spacing w:after="0"/>
              <w:rPr>
                <w:sz w:val="20"/>
                <w:szCs w:val="20"/>
                <w:color w:val="auto"/>
              </w:rPr>
            </w:pPr>
            <w:r>
              <w:rPr>
                <w:rFonts w:ascii="Arial" w:cs="Arial" w:eastAsia="Arial" w:hAnsi="Arial"/>
                <w:sz w:val="18"/>
                <w:szCs w:val="18"/>
                <w:b w:val="1"/>
                <w:bCs w:val="1"/>
                <w:color w:val="auto"/>
              </w:rPr>
              <w:t>CALCULATION OF FILING FEE*</w:t>
            </w:r>
          </w:p>
        </w:tc>
      </w:tr>
      <w:tr>
        <w:trPr>
          <w:trHeight w:val="351"/>
        </w:trPr>
        <w:tc>
          <w:tcPr>
            <w:tcW w:w="3920" w:type="dxa"/>
            <w:vAlign w:val="bottom"/>
            <w:tcBorders>
              <w:bottom w:val="single" w:sz="8" w:color="auto"/>
            </w:tcBorders>
          </w:tcPr>
          <w:p>
            <w:pPr>
              <w:jc w:val="center"/>
              <w:ind w:left="1579"/>
              <w:spacing w:after="0"/>
              <w:rPr>
                <w:sz w:val="20"/>
                <w:szCs w:val="20"/>
                <w:color w:val="auto"/>
              </w:rPr>
            </w:pPr>
            <w:r>
              <w:rPr>
                <w:rFonts w:ascii="Arial" w:cs="Arial" w:eastAsia="Arial" w:hAnsi="Arial"/>
                <w:sz w:val="14"/>
                <w:szCs w:val="14"/>
                <w:b w:val="1"/>
                <w:bCs w:val="1"/>
                <w:color w:val="auto"/>
                <w:w w:val="93"/>
              </w:rPr>
              <w:t>Transaction Valuation*</w:t>
            </w:r>
          </w:p>
        </w:tc>
        <w:tc>
          <w:tcPr>
            <w:tcW w:w="16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Amount of Filing Fee*</w:t>
            </w:r>
          </w:p>
        </w:tc>
      </w:tr>
      <w:tr>
        <w:trPr>
          <w:trHeight w:val="228"/>
        </w:trPr>
        <w:tc>
          <w:tcPr>
            <w:tcW w:w="3920" w:type="dxa"/>
            <w:vAlign w:val="bottom"/>
          </w:tcPr>
          <w:p>
            <w:pPr>
              <w:jc w:val="center"/>
              <w:ind w:left="1579"/>
              <w:spacing w:after="0"/>
              <w:rPr>
                <w:sz w:val="20"/>
                <w:szCs w:val="20"/>
                <w:color w:val="auto"/>
              </w:rPr>
            </w:pPr>
            <w:r>
              <w:rPr>
                <w:rFonts w:ascii="Arial" w:cs="Arial" w:eastAsia="Arial" w:hAnsi="Arial"/>
                <w:sz w:val="18"/>
                <w:szCs w:val="18"/>
                <w:b w:val="1"/>
                <w:bCs w:val="1"/>
                <w:color w:val="auto"/>
                <w:w w:val="90"/>
              </w:rPr>
              <w:t>Not Applicable</w:t>
            </w: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r>
    </w:tbl>
    <w:p>
      <w:pPr>
        <w:spacing w:after="0" w:line="183" w:lineRule="exact"/>
        <w:rPr>
          <w:sz w:val="24"/>
          <w:szCs w:val="24"/>
          <w:color w:val="auto"/>
        </w:rPr>
      </w:pPr>
    </w:p>
    <w:p>
      <w:pPr>
        <w:ind w:left="660" w:right="360" w:hanging="652"/>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accordance with General Instruction D to Schedule TO, no filing fee is required because this filing contains only preliminary communications made before the commencement of a tender offer.</w:t>
      </w:r>
    </w:p>
    <w:p>
      <w:pPr>
        <w:spacing w:after="0" w:line="170" w:lineRule="exact"/>
        <w:rPr>
          <w:sz w:val="24"/>
          <w:szCs w:val="24"/>
          <w:color w:val="auto"/>
        </w:rPr>
      </w:pPr>
    </w:p>
    <w:p>
      <w:pPr>
        <w:ind w:left="660" w:right="160" w:hanging="652"/>
        <w:spacing w:after="0" w:line="277" w:lineRule="auto"/>
        <w:tabs>
          <w:tab w:leader="none" w:pos="588"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20"/>
          </w:cols>
          <w:pgMar w:left="240" w:top="963" w:right="239" w:bottom="0" w:gutter="0" w:footer="0" w:header="0"/>
        </w:sectPr>
      </w:pPr>
    </w:p>
    <w:p>
      <w:pPr>
        <w:spacing w:after="0" w:line="170" w:lineRule="exact"/>
        <w:rPr>
          <w:sz w:val="24"/>
          <w:szCs w:val="24"/>
          <w:color w:val="auto"/>
        </w:rPr>
      </w:pPr>
    </w:p>
    <w:p>
      <w:pPr>
        <w:ind w:left="1840"/>
        <w:spacing w:after="0"/>
        <w:rPr>
          <w:sz w:val="20"/>
          <w:szCs w:val="20"/>
          <w:color w:val="auto"/>
        </w:rPr>
      </w:pPr>
      <w:r>
        <w:rPr>
          <w:rFonts w:ascii="Arial" w:cs="Arial" w:eastAsia="Arial" w:hAnsi="Arial"/>
          <w:sz w:val="17"/>
          <w:szCs w:val="17"/>
          <w:color w:val="auto"/>
        </w:rPr>
        <w:t>Amount Previously Paid:</w:t>
      </w:r>
    </w:p>
    <w:p>
      <w:pPr>
        <w:spacing w:after="0" w:line="35" w:lineRule="exact"/>
        <w:rPr>
          <w:sz w:val="24"/>
          <w:szCs w:val="24"/>
          <w:color w:val="auto"/>
        </w:rPr>
      </w:pPr>
    </w:p>
    <w:p>
      <w:pPr>
        <w:ind w:left="1840"/>
        <w:spacing w:after="0"/>
        <w:rPr>
          <w:sz w:val="20"/>
          <w:szCs w:val="20"/>
          <w:color w:val="auto"/>
        </w:rPr>
      </w:pPr>
      <w:r>
        <w:rPr>
          <w:rFonts w:ascii="Arial" w:cs="Arial" w:eastAsia="Arial" w:hAnsi="Arial"/>
          <w:sz w:val="16"/>
          <w:szCs w:val="16"/>
          <w:color w:val="auto"/>
        </w:rPr>
        <w:t>Form or Registration No.:</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7"/>
          <w:szCs w:val="17"/>
          <w:color w:val="auto"/>
        </w:rPr>
        <w:t>N/A</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N/A</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7"/>
          <w:szCs w:val="17"/>
          <w:color w:val="auto"/>
        </w:rPr>
        <w:t>Filing Party:</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4"/>
          <w:szCs w:val="24"/>
          <w:color w:val="auto"/>
        </w:rPr>
      </w:pPr>
    </w:p>
    <w:p>
      <w:pPr>
        <w:sectPr>
          <w:pgSz w:w="11900" w:h="16838" w:orient="portrait"/>
          <w:cols w:equalWidth="0" w:num="4">
            <w:col w:w="3860" w:space="720"/>
            <w:col w:w="1760" w:space="720"/>
            <w:col w:w="1360" w:space="720"/>
            <w:col w:w="2280"/>
          </w:cols>
          <w:pgMar w:left="240" w:top="963" w:right="239" w:bottom="0" w:gutter="0" w:footer="0" w:header="0"/>
          <w:type w:val="continuous"/>
        </w:sectPr>
      </w:pPr>
    </w:p>
    <w:p>
      <w:pPr>
        <w:spacing w:after="0" w:line="11" w:lineRule="exact"/>
        <w:rPr>
          <w:sz w:val="24"/>
          <w:szCs w:val="24"/>
          <w:color w:val="auto"/>
        </w:rPr>
      </w:pPr>
    </w:p>
    <w:p>
      <w:pPr>
        <w:ind w:right="2040" w:firstLine="8"/>
        <w:spacing w:after="0" w:line="465" w:lineRule="auto"/>
        <w:tabs>
          <w:tab w:leader="none" w:pos="549"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8" w:lineRule="exact"/>
        <w:rPr>
          <w:rFonts w:ascii="Arial" w:cs="Arial" w:eastAsia="Arial" w:hAnsi="Arial"/>
          <w:sz w:val="18"/>
          <w:szCs w:val="18"/>
          <w:color w:val="auto"/>
        </w:rPr>
      </w:pPr>
    </w:p>
    <w:p>
      <w:pPr>
        <w:ind w:left="560" w:hanging="552"/>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third-party tender offer subject to Rule 14d-1.</w:t>
      </w:r>
    </w:p>
    <w:p>
      <w:pPr>
        <w:spacing w:after="0" w:line="225" w:lineRule="exact"/>
        <w:rPr>
          <w:sz w:val="24"/>
          <w:szCs w:val="24"/>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issuer tender offer subject to Rule 13e-4.</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going-private transaction subject to Rule 13e-3.</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following box if the filing is a final amendment reporting the results of the tender offer: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716280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ind w:right="40" w:firstLine="648"/>
        <w:spacing w:after="0" w:line="273" w:lineRule="auto"/>
        <w:rPr>
          <w:sz w:val="20"/>
          <w:szCs w:val="20"/>
          <w:color w:val="auto"/>
        </w:rPr>
      </w:pPr>
      <w:r>
        <w:rPr>
          <w:rFonts w:ascii="Arial" w:cs="Arial" w:eastAsia="Arial" w:hAnsi="Arial"/>
          <w:sz w:val="17"/>
          <w:szCs w:val="17"/>
          <w:color w:val="auto"/>
        </w:rPr>
        <w:t>On February 16, 2007, The Mills Corporation (the “Company”), Farallon Capital Management, L.L.C. (“Farallon”) and Simon Property Group, Inc. (“Simon”) issued a press release announcing that the Company has entered into a definitive merger agreement that, among other things, provides for SPG-FCM Ventures, LLC (the “JV Entity”), a Delaware limited liability company formed by Simon Property Group, L.P., a majority-owned partnership subsidiary of Simon, and by certain funds managed by Farallon, to acquire the Company for $25.25 per share in cash (the “Offer Price”) by means of a tender offer for all the outstanding common stock, par value $0.01 per share, of the Company followed by a merger in which all common stock not acquired in the tender offer will be converted into the right to receive the Offer Price. The press release is attached hereto as Exhibit 99.1.</w:t>
      </w:r>
    </w:p>
    <w:p>
      <w:pPr>
        <w:sectPr>
          <w:pgSz w:w="11900" w:h="16838" w:orient="portrait"/>
          <w:cols w:equalWidth="0" w:num="1">
            <w:col w:w="11420"/>
          </w:cols>
          <w:pgMar w:left="240" w:top="963" w:right="239" w:bottom="0" w:gutter="0" w:footer="0" w:header="0"/>
          <w:type w:val="continuous"/>
        </w:sectPr>
      </w:pPr>
    </w:p>
    <w:bookmarkStart w:id="1" w:name="page2"/>
    <w:bookmarkEnd w:id="1"/>
    <w:p>
      <w:pPr>
        <w:ind w:right="80" w:firstLine="648"/>
        <w:spacing w:after="0" w:line="277" w:lineRule="auto"/>
        <w:rPr>
          <w:sz w:val="20"/>
          <w:szCs w:val="20"/>
          <w:color w:val="auto"/>
        </w:rPr>
      </w:pPr>
      <w:r>
        <w:rPr>
          <w:rFonts w:ascii="Arial" w:cs="Arial" w:eastAsia="Arial" w:hAnsi="Arial"/>
          <w:sz w:val="18"/>
          <w:szCs w:val="18"/>
          <w:color w:val="auto"/>
        </w:rPr>
        <w:t>This filing on Schedule TO relates solely to preliminary communications made before the commencement of a tender offer for all of the outstanding common stock, par value $0.01 per share, of the Company by the JV Entity.</w:t>
      </w:r>
    </w:p>
    <w:p>
      <w:pPr>
        <w:spacing w:after="0" w:line="170"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This Schedule TO is for informational purposes only and is not an offer to buy or the solicitation of an offer to sell any of the Company’s common shares. The JV Entity has not yet commenced the tender offer described herein. On the commencement date of the tender offer, an offer to purchase, a letter of transmittal and related documents will be filed with the Securities and Exchange Commission, will be mailed to shareholders of record and will also be made available for distribution to beneficial owners of the Company’s common shares. The solicitation of offers to buy the Company’s common shares will only be made pursuant to the offer to purchase, the letter of transmittal and related documents. When they are available, shareholders should read those materials carefully because they will contain important information, including the various terms of, and conditions to, the tender offer. When they are available, shareholders will be able to obtain the offer to purchase, the letter of transmittal and related documents without charge from the Securities and Exchange Commission’s website at www.sec.gov or from the information agent that is selected by the Company. Shareholders are urged to read carefully those materials when they become available prior to making any decisions with respect to the tender offer.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Item 12. Exhibits.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1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10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February 16, 2007.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due inquiry and to the best of my knowledge and belief, I certify that the information set forth in this statement is true, complete and correct.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and title)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16, 2007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211455</wp:posOffset>
            </wp:positionV>
            <wp:extent cx="13893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right="380" w:hanging="652"/>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accordance with General Instruction D to Schedule TO, no signature is required because the filing contains only preliminary communications made before the commencement of a tender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4827905" cy="1054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27905"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2"/>
          </w:tcPr>
          <w:p>
            <w:pPr>
              <w:spacing w:after="0"/>
              <w:rPr>
                <w:sz w:val="20"/>
                <w:szCs w:val="20"/>
                <w:color w:val="auto"/>
              </w:rPr>
            </w:pPr>
            <w:r>
              <w:rPr>
                <w:rFonts w:ascii="Arial" w:cs="Arial" w:eastAsia="Arial" w:hAnsi="Arial"/>
                <w:sz w:val="18"/>
                <w:szCs w:val="18"/>
                <w:i w:val="1"/>
                <w:iCs w:val="1"/>
                <w:color w:val="auto"/>
              </w:rPr>
              <w:t>Simon Property Group and Farallon</w:t>
            </w:r>
          </w:p>
        </w:tc>
        <w:tc>
          <w:tcPr>
            <w:tcW w:w="4000" w:type="dxa"/>
            <w:vAlign w:val="bottom"/>
          </w:tcPr>
          <w:p>
            <w:pPr>
              <w:ind w:left="1020"/>
              <w:spacing w:after="0"/>
              <w:rPr>
                <w:sz w:val="20"/>
                <w:szCs w:val="20"/>
                <w:color w:val="auto"/>
              </w:rPr>
            </w:pPr>
            <w:r>
              <w:rPr>
                <w:rFonts w:ascii="Arial" w:cs="Arial" w:eastAsia="Arial" w:hAnsi="Arial"/>
                <w:sz w:val="18"/>
                <w:szCs w:val="18"/>
                <w:i w:val="1"/>
                <w:iCs w:val="1"/>
                <w:color w:val="auto"/>
              </w:rPr>
              <w:t>The Mills:</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i w:val="1"/>
                <w:iCs w:val="1"/>
                <w:color w:val="auto"/>
              </w:rPr>
              <w:t>Media:</w:t>
            </w:r>
          </w:p>
        </w:tc>
        <w:tc>
          <w:tcPr>
            <w:tcW w:w="4000" w:type="dxa"/>
            <w:vAlign w:val="bottom"/>
          </w:tcPr>
          <w:p>
            <w:pPr>
              <w:ind w:left="1020"/>
              <w:spacing w:after="0"/>
              <w:rPr>
                <w:sz w:val="20"/>
                <w:szCs w:val="20"/>
                <w:color w:val="auto"/>
              </w:rPr>
            </w:pPr>
            <w:r>
              <w:rPr>
                <w:rFonts w:ascii="Arial" w:cs="Arial" w:eastAsia="Arial" w:hAnsi="Arial"/>
                <w:sz w:val="18"/>
                <w:szCs w:val="18"/>
                <w:color w:val="auto"/>
              </w:rPr>
              <w:t>Ken Volk</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Hugh Burns/Stephanie Pillersdorf/Brooke Morganstein</w:t>
            </w:r>
          </w:p>
        </w:tc>
        <w:tc>
          <w:tcPr>
            <w:tcW w:w="4000" w:type="dxa"/>
            <w:vAlign w:val="bottom"/>
          </w:tcPr>
          <w:p>
            <w:pPr>
              <w:ind w:left="1020"/>
              <w:spacing w:after="0"/>
              <w:rPr>
                <w:sz w:val="20"/>
                <w:szCs w:val="20"/>
                <w:color w:val="auto"/>
              </w:rPr>
            </w:pPr>
            <w:r>
              <w:rPr>
                <w:rFonts w:ascii="Arial" w:cs="Arial" w:eastAsia="Arial" w:hAnsi="Arial"/>
                <w:sz w:val="18"/>
                <w:szCs w:val="18"/>
                <w:color w:val="auto"/>
                <w:w w:val="99"/>
              </w:rPr>
              <w:t>The Mills Corporate Communications</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Sard Verbinnen &amp; Co</w:t>
            </w:r>
          </w:p>
        </w:tc>
        <w:tc>
          <w:tcPr>
            <w:tcW w:w="4000" w:type="dxa"/>
            <w:vAlign w:val="bottom"/>
          </w:tcPr>
          <w:p>
            <w:pPr>
              <w:ind w:left="1020"/>
              <w:spacing w:after="0"/>
              <w:rPr>
                <w:sz w:val="20"/>
                <w:szCs w:val="20"/>
                <w:color w:val="auto"/>
              </w:rPr>
            </w:pPr>
            <w:r>
              <w:rPr>
                <w:rFonts w:ascii="Arial" w:cs="Arial" w:eastAsia="Arial" w:hAnsi="Arial"/>
                <w:sz w:val="18"/>
                <w:szCs w:val="18"/>
                <w:color w:val="auto"/>
              </w:rPr>
              <w:t>(301) 968-6390</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(212) 687-8080</w:t>
            </w:r>
          </w:p>
        </w:tc>
        <w:tc>
          <w:tcPr>
            <w:tcW w:w="4000" w:type="dxa"/>
            <w:vAlign w:val="bottom"/>
            <w:vMerge w:val="restart"/>
          </w:tcPr>
          <w:p>
            <w:pPr>
              <w:ind w:left="1020"/>
              <w:spacing w:after="0"/>
              <w:rPr>
                <w:sz w:val="20"/>
                <w:szCs w:val="20"/>
                <w:color w:val="auto"/>
              </w:rPr>
            </w:pPr>
            <w:r>
              <w:rPr>
                <w:rFonts w:ascii="Arial" w:cs="Arial" w:eastAsia="Arial" w:hAnsi="Arial"/>
                <w:sz w:val="18"/>
                <w:szCs w:val="18"/>
                <w:color w:val="auto"/>
              </w:rPr>
              <w:t>Judith Wilkinson/Jeremy Jacobs</w:t>
            </w:r>
          </w:p>
        </w:tc>
        <w:tc>
          <w:tcPr>
            <w:tcW w:w="0" w:type="dxa"/>
            <w:vAlign w:val="bottom"/>
          </w:tcPr>
          <w:p>
            <w:pPr>
              <w:spacing w:after="0"/>
              <w:rPr>
                <w:sz w:val="1"/>
                <w:szCs w:val="1"/>
                <w:color w:val="auto"/>
              </w:rPr>
            </w:pPr>
          </w:p>
        </w:tc>
      </w:tr>
      <w:tr>
        <w:trPr>
          <w:trHeight w:val="202"/>
        </w:trPr>
        <w:tc>
          <w:tcPr>
            <w:tcW w:w="74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4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i w:val="1"/>
                <w:iCs w:val="1"/>
                <w:color w:val="auto"/>
              </w:rPr>
              <w:t>Simon Investor Relations:</w:t>
            </w:r>
          </w:p>
        </w:tc>
        <w:tc>
          <w:tcPr>
            <w:tcW w:w="4000" w:type="dxa"/>
            <w:vAlign w:val="bottom"/>
          </w:tcPr>
          <w:p>
            <w:pPr>
              <w:ind w:left="1020"/>
              <w:spacing w:after="0"/>
              <w:rPr>
                <w:sz w:val="20"/>
                <w:szCs w:val="20"/>
                <w:color w:val="auto"/>
              </w:rPr>
            </w:pPr>
            <w:r>
              <w:rPr>
                <w:rFonts w:ascii="Arial" w:cs="Arial" w:eastAsia="Arial" w:hAnsi="Arial"/>
                <w:sz w:val="18"/>
                <w:szCs w:val="18"/>
                <w:color w:val="auto"/>
                <w:w w:val="92"/>
              </w:rPr>
              <w:t>Joele Frank, Wilkinson Brimmer Katcher</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Shelly Doran</w:t>
            </w:r>
          </w:p>
        </w:tc>
        <w:tc>
          <w:tcPr>
            <w:tcW w:w="4000" w:type="dxa"/>
            <w:vAlign w:val="bottom"/>
          </w:tcPr>
          <w:p>
            <w:pPr>
              <w:ind w:left="1020"/>
              <w:spacing w:after="0"/>
              <w:rPr>
                <w:sz w:val="20"/>
                <w:szCs w:val="20"/>
                <w:color w:val="auto"/>
              </w:rPr>
            </w:pPr>
            <w:r>
              <w:rPr>
                <w:rFonts w:ascii="Arial" w:cs="Arial" w:eastAsia="Arial" w:hAnsi="Arial"/>
                <w:sz w:val="18"/>
                <w:szCs w:val="18"/>
                <w:color w:val="auto"/>
              </w:rPr>
              <w:t>(212) 355-4449</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(317) 685-7330</w:t>
            </w: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SIMON PROPERTY GROUP AND FARALLON CAPITAL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 TO ACQUIRE THE MILLS FOR $25.25 PER COMMON SHARE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Tender Offer for The Mills Common Shares to Commence by End of February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154940</wp:posOffset>
            </wp:positionV>
            <wp:extent cx="13893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 xml:space="preserve">Indianapolis, IN, San Francisco, CA, and Chevy Chase, MD, February 16, 2007 — </w:t>
      </w:r>
      <w:r>
        <w:rPr>
          <w:rFonts w:ascii="Arial" w:cs="Arial" w:eastAsia="Arial" w:hAnsi="Arial"/>
          <w:sz w:val="17"/>
          <w:szCs w:val="17"/>
          <w:color w:val="auto"/>
        </w:rPr>
        <w:t>Simon Property Group, Inc. (NYSE: SPG) (“SPG”), Farallon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L.L.C. (“Farallon”), and The Mills Corporation (NYSE: MLS) (“The Mills”) today announced that a joint venture between an entity owned by SPG and funds managed by Farallon has entered into a definitive merger agreement with The Mills under which it will acquire The Mills for $25.25 per common share in cash. The total value of the transaction is approximately $1.64 billion for all of the outstanding common stock of The Mills and common units of The Mills Limited Partnership not owned by The Mills, and approximately $7.9 billion including assumed debt and preferred stock.</w:t>
      </w:r>
    </w:p>
    <w:p>
      <w:pPr>
        <w:spacing w:after="0" w:line="172"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In connection with the transaction, The Mills has terminated its previous merger agreement (the “BAM Agreement”) with Brookfield Asset Management Inc. (NYSE and TSX: BAM) after determining that the SPG/Farallon offer was more favorable to its stockholders.</w:t>
      </w:r>
    </w:p>
    <w:p>
      <w:pPr>
        <w:spacing w:after="0" w:line="14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acquisition of The Mills will be completed through a cash tender offer at $25.25 per share for all outstanding shares of The Mills common stock, which is expected to commence before the end of February. The tender offer will be followed by a merger in which all common shares not acquired in the offer will be converted into the right to receive the offer price. Completion of the tender offer will be subject to the receipt of valid tenders for a majority of The Mills’ fully diluted common shares and the satisfaction of other customary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348615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Funds managed by Farallon currently own more than 10.8% of the outstanding common shares of The Mills. In addition, SPG has obtained an option to acquire approximately 4.9% of The Mills common shares from Stark Master Fund Ltd.</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David Simon, Chief Executive Officer of SPG, said, “The Mills properties are an excellent strategic fit with our existing retail assets, and they present a compelling opportunity for the shareholders of SPG, the Farallon investors and The Mills’ existing joint venture partners. We are confident that our significant experience operating both upscale regional malls and outlet centers, vast resources, previous ownership interest in certain Mills properties and history of successful acquisitions, together with Farallon’s financial expertise, will allow us to improve performance of The Mills assets and maximize value for all stakeholders.”</w:t>
      </w:r>
    </w:p>
    <w:p>
      <w:pPr>
        <w:spacing w:after="0" w:line="18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Richard B. Fried, a Managing Member of Farallon, said, “This is an excellent opportunity for us to expand our real estate portfolio with high-quality assets in key metropolitan centers and team with the clear leader in the retail real estate sector. Our partnership with SPG will allow these quality assets to perform to their true potential.”</w:t>
      </w:r>
    </w:p>
    <w:p>
      <w:pPr>
        <w:spacing w:after="0" w:line="18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Mark S. Ordan, Chief Executive Officer and President of The Mills, said, “We are delighted that our strategic alternatives process has resulted in such an outstanding result for stockholders. We believe the agreement with SPG and Farallon offers excellent value to The Mills’ stockholders and gives them the chance to receive consideration quickly by means of the tender offer. SPG and Farallon are smart investors who recognized the high quality and potential of The Mills’ properties and have the resources to upgrade our properties and to continue to attract premium tenants to The Mills assets.”</w:t>
      </w:r>
    </w:p>
    <w:p>
      <w:pPr>
        <w:spacing w:after="0" w:line="154"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Mills Limited Partnership common unitholders will receive $25.25 per unit in cash, subject to certain qualified unitholders having the option to exchange their units for limited partnership units of SPG’s Operating Partnership based upon a fixed exchange ratio of 0.211 SPG Operating Partnership units for each unit of The Mills LP.</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SPG has provided The Mills with debt financing by replacing The Mills’ senior term loan and revolving line of credit from Brookfield with a new senior term loan and revolving line of credit.</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transaction was unanimously approved by The Mills Board of Directors, with those directors affiliated with Kan Am abstaining. The tender offer is expected to close in approximately 45 days.</w:t>
      </w:r>
    </w:p>
    <w:p>
      <w:pPr>
        <w:spacing w:after="0" w:line="170"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Merrill Lynch &amp; Co. is serving as financial advisor and Fried, Frank, Harris, Shriver &amp; Jacobson LLP is acting as legal counsel to SPG. Paul, Weiss, Rifkind, Wharton &amp; Garrison LLP and Richards Kibbe &amp; Orbe LLP are acting as legal counsel to Farallon. J.P. Morgan Securities Inc. and Goldman, Sachs</w:t>
      </w:r>
    </w:p>
    <w:p>
      <w:pPr>
        <w:sectPr>
          <w:pgSz w:w="11900" w:h="16838" w:orient="portrait"/>
          <w:cols w:equalWidth="0" w:num="1">
            <w:col w:w="11420"/>
          </w:cols>
          <w:pgMar w:left="240" w:top="121" w:right="239" w:bottom="0" w:gutter="0" w:footer="0" w:header="0"/>
        </w:sectPr>
      </w:pPr>
    </w:p>
    <w:bookmarkStart w:id="3" w:name="page4"/>
    <w:bookmarkEnd w:id="3"/>
    <w:p>
      <w:pPr>
        <w:ind w:right="240" w:firstLine="8"/>
        <w:spacing w:after="0" w:line="277" w:lineRule="auto"/>
        <w:tabs>
          <w:tab w:leader="none" w:pos="18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 are serving as financial advisors and Wachtell, Lipton, Rosen &amp; Katz, Hogan &amp; Hartson LLP and Willkie Farr &amp; Gallagher LLP are serving as legal advisors to The Mills.</w:t>
      </w:r>
    </w:p>
    <w:p>
      <w:pPr>
        <w:spacing w:after="0" w:line="170" w:lineRule="exact"/>
        <w:rPr>
          <w:sz w:val="20"/>
          <w:szCs w:val="20"/>
          <w:color w:val="auto"/>
        </w:rPr>
      </w:pPr>
    </w:p>
    <w:p>
      <w:pPr>
        <w:ind w:right="740" w:firstLine="648"/>
        <w:spacing w:after="0" w:line="264" w:lineRule="auto"/>
        <w:rPr>
          <w:sz w:val="20"/>
          <w:szCs w:val="20"/>
          <w:color w:val="auto"/>
        </w:rPr>
      </w:pPr>
      <w:r>
        <w:rPr>
          <w:rFonts w:ascii="Arial" w:cs="Arial" w:eastAsia="Arial" w:hAnsi="Arial"/>
          <w:sz w:val="18"/>
          <w:szCs w:val="18"/>
          <w:color w:val="auto"/>
        </w:rPr>
        <w:t>The Mills will today file a current report on Form 8-K with the U.S. Securities and Exchange Commission containing a copy of the merger agreement that The Mills has entered into with the SPG/Farallon group. The current report on Form 8-K will be available on the SEC’s website, http://www.sec.gov, and on The Mills’ website, http://www.themills.com.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Simon Property Group</w:t>
      </w:r>
    </w:p>
    <w:p>
      <w:pPr>
        <w:spacing w:after="0" w:line="22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Simon Property Group, Inc. (“SPG”), an S&amp;P 500 company headquartered in Indianapolis, Indiana, is a real estate investment trust engaged in the ownership, development and management of retail real estate, primarily regional malls, Premium Outlet Centers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community/lifestyle centers. SPG’s current total market capitalization is approximately $52 billion. Through its subsidiary partnership, SPG currently owns or has an interest in 285 properties in the United States containing an aggregate of 201 million square feet of gross leasable area in 38 states plus Puerto Rico. SPG also owns interests in 53 European shopping centers in France, Italy, and Poland; 5 Premium Outlet Centers in Japan; and one Premium Outlet Center in Mexico. Additional Simon Property Group information is available at www.simon.com.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Farallon Capital Management, L.L.C.</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Farallon Capital Management, L.L.C. (“Farallon”) is a global, San Francisco-based investment management company that manages discretionary equity capital of more than $26 billion, largely from institutional investors such as university endowments, foundations, and pension plans. Farallon was founded in March 1986 by Thomas F. Steyer. Farallon invests in public and private debt and equity securities, direct investments in private companies and real estate. Farallon invests in real estate across all asset classes around the world, including the United States, Europe, Latin America and India. More information about Farallon may be found at www.faralloncapital.com.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Mills Corporation</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Mills Corporation, based in Chevy Chase, MD, is a developer, owner and manager of a diversified portfolio of retail destinations, including regional shopping malls and market-dominant retail and entertainment centers. It currently owns 38 properties in the United States totaling approximately 47 million square feet. The Mills is traded on the New York Stock Exchange under the ticker: MLS. For more information, visit The Mills’ website at www.themills.com.</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IMPORTANT NOTICE: This press release is for informational purposes only and is not an offer to buy or the solicitation of an offer to sell any of The Mills’ common shares. The tender offer described herein has not yet been commenced. On the commencement date of the tender offer, an offer to purchase, a letter of transmittal and related documents will be filed with the Securities and Exchange Commission, will be mailed to stockholders of record and will also be made available for distribution to beneficial owners of common shares. The solicitation of offers to buy the Mills common shares will only be made pursuant to the offer to purchase, the letter of transmittal and related documents. When they are available, stockholders should read those materials carefully because they will contain important information, including the various terms of, and conditions to, the tender offer. When they are available, stockholders will be able to obtain the offer to purchase, the letter of transmittal and related documents without charge from the Securities and Exchange Commission’s Website at www.sec.gov or from the information agent that we select. Stockholders are urged to read carefully those materials when they become available prior to making any decisions with respect to the tender offer.</w:t>
      </w:r>
    </w:p>
    <w:p>
      <w:pPr>
        <w:spacing w:after="0" w:line="18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Mills will file a solicitation/recommendation statement with the SEC in connection with the tender offer, and, if required, will file a proxy statement or information statement with the SEC in connection with the second-step merger. Stockholders are strongly advised to read these documents if and when they become available because they will contain important information about the tender offer and the proposed merger. Stockholders would be able to obtain a free copy of the solicitation/recommendation statement and the proxy statement or information statement as well as other filings containing information about The Mills, the tender offer and the merger, if and when available, without charge, at the SEC’s Internet site (http://www.sec.gov). In addition, copies of the solicitation/recommendation statement, the proxy statement or information statement and other filings containing information about The Mills, the tender offer and the merger may be obtained, if and when available, without charge, by directing a request to The Mills Corporation, Attention: Investor Relations, 5425 Wisconsin Avenue, Suite 500, Chevy Chase, Maryland 20815, by phone at (301) 968-8367, or on The Mills’ Internet site at http://www.themills.com.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335280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This release contains forward-looking statements as defined by the federal securities laws which are based on our current expectations and assumptions, which are subject to a number of risks and uncertainties that could cause actual results to differ materially from those anticipated, projected or implied, including, among other things, risks relating to the expected timing of the completion and financial benefits of the tender offer and the merger. We undertake no obligation to publicly update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328295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o"/>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2019-12-16T21:06:10Z</dcterms:created>
  <dcterms:modified xsi:type="dcterms:W3CDTF">2019-12-16T21:06:10Z</dcterms:modified>
</cp:coreProperties>
</file>