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144780</wp:posOffset>
            </wp:positionV>
            <wp:extent cx="7259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4290"/>
                    </a:xfrm>
                    <a:prstGeom prst="rect">
                      <a:avLst/>
                    </a:prstGeom>
                    <a:noFill/>
                  </pic:spPr>
                </pic:pic>
              </a:graphicData>
            </a:graphic>
          </wp:anchor>
        </w:drawing>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232" w:lineRule="exact"/>
        <w:rPr>
          <w:sz w:val="24"/>
          <w:szCs w:val="24"/>
          <w:color w:val="auto"/>
        </w:rPr>
      </w:pPr>
    </w:p>
    <w:p>
      <w:pPr>
        <w:ind w:left="3600" w:right="2160" w:hanging="1177"/>
        <w:spacing w:after="0" w:line="274" w:lineRule="auto"/>
        <w:tabs>
          <w:tab w:leader="none" w:pos="2557" w:val="left"/>
        </w:tabs>
        <w:numPr>
          <w:ilvl w:val="0"/>
          <w:numId w:val="1"/>
        </w:numPr>
        <w:rPr>
          <w:rFonts w:ascii="Arial" w:cs="Arial" w:eastAsia="Arial" w:hAnsi="Arial"/>
          <w:sz w:val="21"/>
          <w:szCs w:val="21"/>
          <w:color w:val="auto"/>
        </w:rPr>
      </w:pPr>
      <w:r>
        <w:rPr>
          <w:rFonts w:ascii="Arial" w:cs="Arial" w:eastAsia="Arial" w:hAnsi="Arial"/>
          <w:sz w:val="21"/>
          <w:szCs w:val="21"/>
          <w:color w:val="auto"/>
        </w:rPr>
        <w:t>X ] QUARTERLY REPORT PURSUANT TO SECTION 13 OR 15(d) OF THE SECURITIES EXCHANGE ACT OF 1934</w:t>
      </w:r>
    </w:p>
    <w:p>
      <w:pPr>
        <w:spacing w:after="0" w:line="145"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 the quarterly period ended September 30, 2005</w:t>
      </w:r>
    </w:p>
    <w:p>
      <w:pPr>
        <w:spacing w:after="0" w:line="212"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or</w:t>
      </w:r>
    </w:p>
    <w:p>
      <w:pPr>
        <w:spacing w:after="0" w:line="206" w:lineRule="exact"/>
        <w:rPr>
          <w:sz w:val="24"/>
          <w:szCs w:val="24"/>
          <w:color w:val="auto"/>
        </w:rPr>
      </w:pPr>
    </w:p>
    <w:p>
      <w:pPr>
        <w:ind w:left="3600" w:right="2240" w:hanging="1083"/>
        <w:spacing w:after="0" w:line="274" w:lineRule="auto"/>
        <w:tabs>
          <w:tab w:leader="none" w:pos="2651" w:val="left"/>
        </w:tabs>
        <w:numPr>
          <w:ilvl w:val="0"/>
          <w:numId w:val="2"/>
        </w:numPr>
        <w:rPr>
          <w:rFonts w:ascii="Arial" w:cs="Arial" w:eastAsia="Arial" w:hAnsi="Arial"/>
          <w:sz w:val="21"/>
          <w:szCs w:val="21"/>
          <w:color w:val="auto"/>
        </w:rPr>
      </w:pPr>
      <w:r>
        <w:rPr>
          <w:rFonts w:ascii="Arial" w:cs="Arial" w:eastAsia="Arial" w:hAnsi="Arial"/>
          <w:sz w:val="21"/>
          <w:szCs w:val="21"/>
          <w:color w:val="auto"/>
        </w:rPr>
        <w:t>] TRANSITION REPORT PURSUANT TO SECTION 13 OR 15(d) OF THE SECURITIES EXCHANGE ACT OF 1934</w:t>
      </w:r>
    </w:p>
    <w:p>
      <w:pPr>
        <w:spacing w:after="0" w:line="151"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For the transition period from __________ to _______.</w:t>
      </w:r>
    </w:p>
    <w:p>
      <w:pPr>
        <w:spacing w:after="0" w:line="200"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Commission File No. 33-98136</w:t>
      </w:r>
    </w:p>
    <w:p>
      <w:pPr>
        <w:spacing w:after="0" w:line="206"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178" w:lineRule="exact"/>
        <w:rPr>
          <w:sz w:val="24"/>
          <w:szCs w:val="24"/>
          <w:color w:val="auto"/>
        </w:rPr>
      </w:pPr>
    </w:p>
    <w:tbl>
      <w:tblPr>
        <w:tblLayout w:type="fixed"/>
        <w:tblInd w:w="1420" w:type="dxa"/>
        <w:tblCellMar>
          <w:top w:w="0" w:type="dxa"/>
          <w:left w:w="0" w:type="dxa"/>
          <w:bottom w:w="0" w:type="dxa"/>
          <w:right w:w="0" w:type="dxa"/>
        </w:tblCellMar>
      </w:tblPr>
      <w:tr>
        <w:trPr>
          <w:trHeight w:val="253"/>
        </w:trPr>
        <w:tc>
          <w:tcPr>
            <w:tcW w:w="4620" w:type="dxa"/>
            <w:vAlign w:val="bottom"/>
          </w:tcPr>
          <w:p>
            <w:pPr>
              <w:jc w:val="center"/>
              <w:ind w:right="1632"/>
              <w:spacing w:after="0"/>
              <w:rPr>
                <w:sz w:val="20"/>
                <w:szCs w:val="20"/>
                <w:color w:val="auto"/>
              </w:rPr>
            </w:pPr>
            <w:r>
              <w:rPr>
                <w:rFonts w:ascii="Arial" w:cs="Arial" w:eastAsia="Arial" w:hAnsi="Arial"/>
                <w:sz w:val="22"/>
                <w:szCs w:val="22"/>
                <w:b w:val="1"/>
                <w:bCs w:val="1"/>
                <w:color w:val="auto"/>
                <w:w w:val="91"/>
              </w:rPr>
              <w:t>Delaware</w:t>
            </w:r>
          </w:p>
        </w:tc>
        <w:tc>
          <w:tcPr>
            <w:tcW w:w="3320" w:type="dxa"/>
            <w:vAlign w:val="bottom"/>
          </w:tcPr>
          <w:p>
            <w:pPr>
              <w:jc w:val="center"/>
              <w:ind w:left="1632"/>
              <w:spacing w:after="0"/>
              <w:rPr>
                <w:sz w:val="20"/>
                <w:szCs w:val="20"/>
                <w:color w:val="auto"/>
              </w:rPr>
            </w:pPr>
            <w:r>
              <w:rPr>
                <w:rFonts w:ascii="Arial" w:cs="Arial" w:eastAsia="Arial" w:hAnsi="Arial"/>
                <w:sz w:val="22"/>
                <w:szCs w:val="22"/>
                <w:b w:val="1"/>
                <w:bCs w:val="1"/>
                <w:color w:val="auto"/>
                <w:w w:val="90"/>
              </w:rPr>
              <w:t>22-3258100</w:t>
            </w:r>
          </w:p>
        </w:tc>
      </w:tr>
      <w:tr>
        <w:trPr>
          <w:trHeight w:val="243"/>
        </w:trPr>
        <w:tc>
          <w:tcPr>
            <w:tcW w:w="4620" w:type="dxa"/>
            <w:vAlign w:val="bottom"/>
          </w:tcPr>
          <w:p>
            <w:pPr>
              <w:jc w:val="center"/>
              <w:ind w:right="163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32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20" w:type="dxa"/>
            <w:vAlign w:val="bottom"/>
          </w:tcPr>
          <w:p>
            <w:pPr>
              <w:jc w:val="center"/>
              <w:ind w:right="1612"/>
              <w:spacing w:after="0"/>
              <w:rPr>
                <w:sz w:val="20"/>
                <w:szCs w:val="20"/>
                <w:color w:val="auto"/>
              </w:rPr>
            </w:pPr>
            <w:r>
              <w:rPr>
                <w:rFonts w:ascii="Arial" w:cs="Arial" w:eastAsia="Arial" w:hAnsi="Arial"/>
                <w:sz w:val="22"/>
                <w:szCs w:val="22"/>
                <w:i w:val="1"/>
                <w:iCs w:val="1"/>
                <w:color w:val="auto"/>
                <w:w w:val="93"/>
              </w:rPr>
              <w:t>of incorporation or organization)</w:t>
            </w:r>
          </w:p>
        </w:tc>
        <w:tc>
          <w:tcPr>
            <w:tcW w:w="3320" w:type="dxa"/>
            <w:vAlign w:val="bottom"/>
          </w:tcPr>
          <w:p>
            <w:pPr>
              <w:jc w:val="center"/>
              <w:ind w:left="1632"/>
              <w:spacing w:after="0"/>
              <w:rPr>
                <w:sz w:val="20"/>
                <w:szCs w:val="20"/>
                <w:color w:val="auto"/>
              </w:rPr>
            </w:pPr>
            <w:r>
              <w:rPr>
                <w:rFonts w:ascii="Arial" w:cs="Arial" w:eastAsia="Arial" w:hAnsi="Arial"/>
                <w:sz w:val="22"/>
                <w:szCs w:val="22"/>
                <w:i w:val="1"/>
                <w:iCs w:val="1"/>
                <w:color w:val="auto"/>
                <w:w w:val="92"/>
              </w:rPr>
              <w:t>Identification No.)</w:t>
            </w:r>
          </w:p>
        </w:tc>
      </w:tr>
    </w:tbl>
    <w:p>
      <w:pPr>
        <w:spacing w:after="0" w:line="200" w:lineRule="exact"/>
        <w:rPr>
          <w:sz w:val="24"/>
          <w:szCs w:val="24"/>
          <w:color w:val="auto"/>
        </w:rPr>
      </w:pPr>
    </w:p>
    <w:p>
      <w:pPr>
        <w:spacing w:after="0" w:line="22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105 Eisenhower Parkway, Roseland, New Jersey 07068</w:t>
      </w:r>
    </w:p>
    <w:p>
      <w:pPr>
        <w:spacing w:after="0" w:line="14" w:lineRule="exact"/>
        <w:rPr>
          <w:sz w:val="24"/>
          <w:szCs w:val="24"/>
          <w:color w:val="auto"/>
        </w:rPr>
      </w:pPr>
    </w:p>
    <w:p>
      <w:pPr>
        <w:ind w:left="3580"/>
        <w:spacing w:after="0"/>
        <w:rPr>
          <w:sz w:val="20"/>
          <w:szCs w:val="20"/>
          <w:color w:val="auto"/>
        </w:rPr>
      </w:pPr>
      <w:r>
        <w:rPr>
          <w:rFonts w:ascii="Arial" w:cs="Arial" w:eastAsia="Arial" w:hAnsi="Arial"/>
          <w:sz w:val="22"/>
          <w:szCs w:val="22"/>
          <w:i w:val="1"/>
          <w:iCs w:val="1"/>
          <w:color w:val="auto"/>
        </w:rPr>
        <w:t>(Address of principal executive offices - zip code)</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(973) 228-6111</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188" w:lineRule="exact"/>
        <w:rPr>
          <w:sz w:val="24"/>
          <w:szCs w:val="24"/>
          <w:color w:val="auto"/>
        </w:rPr>
      </w:pPr>
    </w:p>
    <w:p>
      <w:pPr>
        <w:spacing w:after="0" w:line="258"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u w:val="single" w:color="auto"/>
          <w:color w:val="auto"/>
        </w:rPr>
        <w:t>X</w:t>
      </w:r>
      <w:r>
        <w:rPr>
          <w:rFonts w:ascii="Arial" w:cs="Arial" w:eastAsia="Arial" w:hAnsi="Arial"/>
          <w:sz w:val="21"/>
          <w:szCs w:val="21"/>
          <w:color w:val="auto"/>
        </w:rPr>
        <w:t xml:space="preserve">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5116195</wp:posOffset>
            </wp:positionH>
            <wp:positionV relativeFrom="paragraph">
              <wp:posOffset>-43180</wp:posOffset>
            </wp:positionV>
            <wp:extent cx="17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an accelerated filer.</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Yes___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647065</wp:posOffset>
            </wp:positionH>
            <wp:positionV relativeFrom="paragraph">
              <wp:posOffset>-29210</wp:posOffset>
            </wp:positionV>
            <wp:extent cx="23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220" cy="8890"/>
                    </a:xfrm>
                    <a:prstGeom prst="rect">
                      <a:avLst/>
                    </a:prstGeom>
                    <a:noFill/>
                  </pic:spPr>
                </pic:pic>
              </a:graphicData>
            </a:graphic>
          </wp:anchor>
        </w:drawing>
      </w:r>
    </w:p>
    <w:p>
      <w:pPr>
        <w:spacing w:after="0" w:line="168" w:lineRule="exact"/>
        <w:rPr>
          <w:sz w:val="24"/>
          <w:szCs w:val="24"/>
          <w:color w:val="auto"/>
        </w:rPr>
      </w:pPr>
    </w:p>
    <w:p>
      <w:pPr>
        <w:ind w:right="1340"/>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647065</wp:posOffset>
            </wp:positionH>
            <wp:positionV relativeFrom="paragraph">
              <wp:posOffset>-38735</wp:posOffset>
            </wp:positionV>
            <wp:extent cx="23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220" cy="889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22"/>
          <w:szCs w:val="22"/>
          <w:color w:val="auto"/>
        </w:rPr>
        <w:t>There are no outstanding shares of Common Stock or voting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00" w:type="dxa"/>
            <w:vAlign w:val="bottom"/>
          </w:tcPr>
          <w:p>
            <w:pPr>
              <w:jc w:val="center"/>
              <w:ind w:left="412"/>
              <w:spacing w:after="0"/>
              <w:rPr>
                <w:sz w:val="20"/>
                <w:szCs w:val="20"/>
                <w:color w:val="auto"/>
              </w:rPr>
            </w:pPr>
            <w:r>
              <w:rPr>
                <w:rFonts w:ascii="Arial" w:cs="Arial" w:eastAsia="Arial" w:hAnsi="Arial"/>
                <w:sz w:val="22"/>
                <w:szCs w:val="22"/>
                <w:b w:val="1"/>
                <w:bCs w:val="1"/>
                <w:color w:val="auto"/>
                <w:w w:val="90"/>
              </w:rPr>
              <w:t>CPG Partners, L.P.</w:t>
            </w:r>
          </w:p>
        </w:tc>
        <w:tc>
          <w:tcPr>
            <w:tcW w:w="194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00" w:type="dxa"/>
            <w:vAlign w:val="bottom"/>
          </w:tcPr>
          <w:p>
            <w:pPr>
              <w:jc w:val="center"/>
              <w:ind w:left="412"/>
              <w:spacing w:after="0"/>
              <w:rPr>
                <w:sz w:val="20"/>
                <w:szCs w:val="20"/>
                <w:color w:val="auto"/>
              </w:rPr>
            </w:pPr>
            <w:r>
              <w:rPr>
                <w:rFonts w:ascii="Arial" w:cs="Arial" w:eastAsia="Arial" w:hAnsi="Arial"/>
                <w:sz w:val="22"/>
                <w:szCs w:val="22"/>
                <w:b w:val="1"/>
                <w:bCs w:val="1"/>
                <w:color w:val="auto"/>
                <w:w w:val="93"/>
              </w:rPr>
              <w:t>Index</w:t>
            </w:r>
          </w:p>
        </w:tc>
        <w:tc>
          <w:tcPr>
            <w:tcW w:w="1940" w:type="dxa"/>
            <w:vAlign w:val="bottom"/>
          </w:tcPr>
          <w:p>
            <w:pPr>
              <w:spacing w:after="0"/>
              <w:rPr>
                <w:sz w:val="24"/>
                <w:szCs w:val="24"/>
                <w:color w:val="auto"/>
              </w:rPr>
            </w:pPr>
          </w:p>
        </w:tc>
      </w:tr>
      <w:tr>
        <w:trPr>
          <w:trHeight w:val="409"/>
        </w:trPr>
        <w:tc>
          <w:tcPr>
            <w:tcW w:w="8200" w:type="dxa"/>
            <w:vAlign w:val="bottom"/>
            <w:gridSpan w:val="3"/>
          </w:tcPr>
          <w:p>
            <w:pPr>
              <w:spacing w:after="0"/>
              <w:rPr>
                <w:sz w:val="20"/>
                <w:szCs w:val="20"/>
                <w:color w:val="auto"/>
              </w:rPr>
            </w:pPr>
            <w:r>
              <w:rPr>
                <w:rFonts w:ascii="Arial" w:cs="Arial" w:eastAsia="Arial" w:hAnsi="Arial"/>
                <w:sz w:val="22"/>
                <w:szCs w:val="22"/>
                <w:b w:val="1"/>
                <w:bCs w:val="1"/>
                <w:color w:val="auto"/>
              </w:rPr>
              <w:t>Part I. Financial Information</w:t>
            </w:r>
          </w:p>
        </w:tc>
        <w:tc>
          <w:tcPr>
            <w:tcW w:w="1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90"/>
        </w:trPr>
        <w:tc>
          <w:tcPr>
            <w:tcW w:w="8200" w:type="dxa"/>
            <w:vAlign w:val="bottom"/>
            <w:gridSpan w:val="3"/>
          </w:tcPr>
          <w:p>
            <w:pPr>
              <w:spacing w:after="0"/>
              <w:rPr>
                <w:sz w:val="20"/>
                <w:szCs w:val="20"/>
                <w:color w:val="auto"/>
              </w:rPr>
            </w:pPr>
            <w:r>
              <w:rPr>
                <w:rFonts w:ascii="Arial" w:cs="Arial" w:eastAsia="Arial" w:hAnsi="Arial"/>
                <w:sz w:val="22"/>
                <w:szCs w:val="22"/>
                <w:color w:val="auto"/>
              </w:rPr>
              <w:t>Item 1. Financial Statements (Unaudited)</w:t>
            </w:r>
          </w:p>
        </w:tc>
        <w:tc>
          <w:tcPr>
            <w:tcW w:w="1940" w:type="dxa"/>
            <w:vAlign w:val="bottom"/>
          </w:tcPr>
          <w:p>
            <w:pPr>
              <w:ind w:left="1520"/>
              <w:spacing w:after="0"/>
              <w:rPr>
                <w:sz w:val="20"/>
                <w:szCs w:val="20"/>
                <w:color w:val="auto"/>
              </w:rPr>
            </w:pPr>
            <w:r>
              <w:rPr>
                <w:rFonts w:ascii="Arial" w:cs="Arial" w:eastAsia="Arial" w:hAnsi="Arial"/>
                <w:sz w:val="22"/>
                <w:szCs w:val="22"/>
                <w:color w:val="auto"/>
                <w:w w:val="77"/>
              </w:rPr>
              <w:t>Page</w:t>
            </w:r>
          </w:p>
        </w:tc>
      </w:tr>
      <w:tr>
        <w:trPr>
          <w:trHeight w:val="455"/>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Consolidated Balance Sheets</w:t>
            </w:r>
          </w:p>
        </w:tc>
        <w:tc>
          <w:tcPr>
            <w:tcW w:w="19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7540" w:type="dxa"/>
            <w:vAlign w:val="bottom"/>
            <w:gridSpan w:val="2"/>
          </w:tcPr>
          <w:p>
            <w:pPr>
              <w:ind w:left="200"/>
              <w:spacing w:after="0"/>
              <w:rPr>
                <w:sz w:val="20"/>
                <w:szCs w:val="20"/>
                <w:color w:val="auto"/>
              </w:rPr>
            </w:pPr>
            <w:r>
              <w:rPr>
                <w:rFonts w:ascii="Arial" w:cs="Arial" w:eastAsia="Arial" w:hAnsi="Arial"/>
                <w:sz w:val="22"/>
                <w:szCs w:val="22"/>
                <w:color w:val="auto"/>
              </w:rPr>
              <w:t>as of September 30, 2005, and December 31, 2004</w:t>
            </w:r>
          </w:p>
        </w:tc>
        <w:tc>
          <w:tcPr>
            <w:tcW w:w="1940" w:type="dxa"/>
            <w:vAlign w:val="bottom"/>
          </w:tcPr>
          <w:p>
            <w:pPr>
              <w:ind w:left="1520"/>
              <w:spacing w:after="0"/>
              <w:rPr>
                <w:sz w:val="20"/>
                <w:szCs w:val="20"/>
                <w:color w:val="auto"/>
              </w:rPr>
            </w:pPr>
            <w:r>
              <w:rPr>
                <w:rFonts w:ascii="Arial" w:cs="Arial" w:eastAsia="Arial" w:hAnsi="Arial"/>
                <w:sz w:val="22"/>
                <w:szCs w:val="22"/>
                <w:color w:val="auto"/>
              </w:rPr>
              <w:t>2</w:t>
            </w:r>
          </w:p>
        </w:tc>
      </w:tr>
      <w:tr>
        <w:trPr>
          <w:trHeight w:val="455"/>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Consolidated Statements of Income</w:t>
            </w:r>
          </w:p>
        </w:tc>
        <w:tc>
          <w:tcPr>
            <w:tcW w:w="19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7540" w:type="dxa"/>
            <w:vAlign w:val="bottom"/>
            <w:gridSpan w:val="2"/>
          </w:tcPr>
          <w:p>
            <w:pPr>
              <w:ind w:left="200"/>
              <w:spacing w:after="0"/>
              <w:rPr>
                <w:sz w:val="20"/>
                <w:szCs w:val="20"/>
                <w:color w:val="auto"/>
              </w:rPr>
            </w:pPr>
            <w:r>
              <w:rPr>
                <w:rFonts w:ascii="Arial" w:cs="Arial" w:eastAsia="Arial" w:hAnsi="Arial"/>
                <w:sz w:val="22"/>
                <w:szCs w:val="22"/>
                <w:color w:val="auto"/>
              </w:rPr>
              <w:t>for the three and nine months ended September 30, 2005, and 2004</w:t>
            </w:r>
          </w:p>
        </w:tc>
        <w:tc>
          <w:tcPr>
            <w:tcW w:w="1940" w:type="dxa"/>
            <w:vAlign w:val="bottom"/>
          </w:tcPr>
          <w:p>
            <w:pPr>
              <w:ind w:left="1520"/>
              <w:spacing w:after="0"/>
              <w:rPr>
                <w:sz w:val="20"/>
                <w:szCs w:val="20"/>
                <w:color w:val="auto"/>
              </w:rPr>
            </w:pPr>
            <w:r>
              <w:rPr>
                <w:rFonts w:ascii="Arial" w:cs="Arial" w:eastAsia="Arial" w:hAnsi="Arial"/>
                <w:sz w:val="22"/>
                <w:szCs w:val="22"/>
                <w:color w:val="auto"/>
              </w:rPr>
              <w:t>3</w:t>
            </w:r>
          </w:p>
        </w:tc>
      </w:tr>
      <w:tr>
        <w:trPr>
          <w:trHeight w:val="455"/>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Consolidated Statements of Cash Flows</w:t>
            </w:r>
          </w:p>
        </w:tc>
        <w:tc>
          <w:tcPr>
            <w:tcW w:w="19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7540" w:type="dxa"/>
            <w:vAlign w:val="bottom"/>
            <w:gridSpan w:val="2"/>
          </w:tcPr>
          <w:p>
            <w:pPr>
              <w:ind w:left="200"/>
              <w:spacing w:after="0"/>
              <w:rPr>
                <w:sz w:val="20"/>
                <w:szCs w:val="20"/>
                <w:color w:val="auto"/>
              </w:rPr>
            </w:pPr>
            <w:r>
              <w:rPr>
                <w:rFonts w:ascii="Arial" w:cs="Arial" w:eastAsia="Arial" w:hAnsi="Arial"/>
                <w:sz w:val="22"/>
                <w:szCs w:val="22"/>
                <w:color w:val="auto"/>
              </w:rPr>
              <w:t>for the nine months ended September 30, 2005, and 2004</w:t>
            </w:r>
          </w:p>
        </w:tc>
        <w:tc>
          <w:tcPr>
            <w:tcW w:w="1940" w:type="dxa"/>
            <w:vAlign w:val="bottom"/>
          </w:tcPr>
          <w:p>
            <w:pPr>
              <w:ind w:left="1520"/>
              <w:spacing w:after="0"/>
              <w:rPr>
                <w:sz w:val="20"/>
                <w:szCs w:val="20"/>
                <w:color w:val="auto"/>
              </w:rPr>
            </w:pPr>
            <w:r>
              <w:rPr>
                <w:rFonts w:ascii="Arial" w:cs="Arial" w:eastAsia="Arial" w:hAnsi="Arial"/>
                <w:sz w:val="22"/>
                <w:szCs w:val="22"/>
                <w:color w:val="auto"/>
              </w:rPr>
              <w:t>4</w:t>
            </w:r>
          </w:p>
        </w:tc>
      </w:tr>
      <w:tr>
        <w:trPr>
          <w:trHeight w:val="486"/>
        </w:trPr>
        <w:tc>
          <w:tcPr>
            <w:tcW w:w="8200" w:type="dxa"/>
            <w:vAlign w:val="bottom"/>
            <w:gridSpan w:val="3"/>
          </w:tcPr>
          <w:p>
            <w:pPr>
              <w:ind w:left="580"/>
              <w:spacing w:after="0"/>
              <w:rPr>
                <w:sz w:val="20"/>
                <w:szCs w:val="20"/>
                <w:color w:val="auto"/>
              </w:rPr>
            </w:pPr>
            <w:r>
              <w:rPr>
                <w:rFonts w:ascii="Arial" w:cs="Arial" w:eastAsia="Arial" w:hAnsi="Arial"/>
                <w:sz w:val="22"/>
                <w:szCs w:val="22"/>
                <w:color w:val="auto"/>
              </w:rPr>
              <w:t>Notes to Consolidated Financial Statements</w:t>
            </w:r>
          </w:p>
        </w:tc>
        <w:tc>
          <w:tcPr>
            <w:tcW w:w="1940" w:type="dxa"/>
            <w:vAlign w:val="bottom"/>
          </w:tcPr>
          <w:p>
            <w:pPr>
              <w:ind w:left="1520"/>
              <w:spacing w:after="0"/>
              <w:rPr>
                <w:sz w:val="20"/>
                <w:szCs w:val="20"/>
                <w:color w:val="auto"/>
              </w:rPr>
            </w:pPr>
            <w:r>
              <w:rPr>
                <w:rFonts w:ascii="Arial" w:cs="Arial" w:eastAsia="Arial" w:hAnsi="Arial"/>
                <w:sz w:val="22"/>
                <w:szCs w:val="22"/>
                <w:color w:val="auto"/>
              </w:rPr>
              <w:t>5</w:t>
            </w:r>
          </w:p>
        </w:tc>
      </w:tr>
      <w:tr>
        <w:trPr>
          <w:trHeight w:val="486"/>
        </w:trPr>
        <w:tc>
          <w:tcPr>
            <w:tcW w:w="8200" w:type="dxa"/>
            <w:vAlign w:val="bottom"/>
            <w:gridSpan w:val="3"/>
          </w:tcPr>
          <w:p>
            <w:pPr>
              <w:spacing w:after="0"/>
              <w:rPr>
                <w:sz w:val="20"/>
                <w:szCs w:val="20"/>
                <w:color w:val="auto"/>
              </w:rPr>
            </w:pPr>
            <w:r>
              <w:rPr>
                <w:rFonts w:ascii="Arial" w:cs="Arial" w:eastAsia="Arial" w:hAnsi="Arial"/>
                <w:sz w:val="22"/>
                <w:szCs w:val="22"/>
                <w:color w:val="auto"/>
              </w:rPr>
              <w:t>Item 2. Management's Discussion and Analysis of Financial Condition</w:t>
            </w:r>
          </w:p>
        </w:tc>
        <w:tc>
          <w:tcPr>
            <w:tcW w:w="1940" w:type="dxa"/>
            <w:vAlign w:val="bottom"/>
          </w:tcPr>
          <w:p>
            <w:pPr>
              <w:spacing w:after="0"/>
              <w:rPr>
                <w:sz w:val="24"/>
                <w:szCs w:val="24"/>
                <w:color w:val="auto"/>
              </w:rPr>
            </w:pPr>
          </w:p>
        </w:tc>
      </w:tr>
    </w:tbl>
    <w:p>
      <w:pPr>
        <w:sectPr>
          <w:pgSz w:w="11900" w:h="16838" w:orient="portrait"/>
          <w:cols w:equalWidth="0" w:num="1">
            <w:col w:w="11160"/>
          </w:cols>
          <w:pgMar w:left="240" w:top="450" w:right="499" w:bottom="0" w:gutter="0" w:footer="0" w:header="0"/>
        </w:sectPr>
      </w:pPr>
    </w:p>
    <w:bookmarkStart w:id="1" w:name="page2"/>
    <w:bookmarkEnd w:id="1"/>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0" w:type="dxa"/>
            <w:vAlign w:val="bottom"/>
          </w:tcPr>
          <w:p>
            <w:pPr>
              <w:spacing w:after="0"/>
              <w:rPr>
                <w:sz w:val="23"/>
                <w:szCs w:val="23"/>
                <w:color w:val="auto"/>
              </w:rPr>
            </w:pPr>
          </w:p>
        </w:tc>
        <w:tc>
          <w:tcPr>
            <w:tcW w:w="3660" w:type="dxa"/>
            <w:vAlign w:val="bottom"/>
            <w:gridSpan w:val="2"/>
          </w:tcPr>
          <w:p>
            <w:pPr>
              <w:jc w:val="right"/>
              <w:ind w:right="1400"/>
              <w:spacing w:after="0"/>
              <w:rPr>
                <w:sz w:val="20"/>
                <w:szCs w:val="20"/>
                <w:color w:val="auto"/>
              </w:rPr>
            </w:pPr>
            <w:r>
              <w:rPr>
                <w:rFonts w:ascii="Arial" w:cs="Arial" w:eastAsia="Arial" w:hAnsi="Arial"/>
                <w:sz w:val="22"/>
                <w:szCs w:val="22"/>
                <w:color w:val="auto"/>
                <w:w w:val="88"/>
              </w:rPr>
              <w:t>and Results of Operations</w:t>
            </w:r>
          </w:p>
        </w:tc>
        <w:tc>
          <w:tcPr>
            <w:tcW w:w="2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486"/>
        </w:trPr>
        <w:tc>
          <w:tcPr>
            <w:tcW w:w="7380" w:type="dxa"/>
            <w:vAlign w:val="bottom"/>
            <w:gridSpan w:val="4"/>
          </w:tcPr>
          <w:p>
            <w:pPr>
              <w:spacing w:after="0"/>
              <w:rPr>
                <w:sz w:val="20"/>
                <w:szCs w:val="20"/>
                <w:color w:val="auto"/>
              </w:rPr>
            </w:pPr>
            <w:r>
              <w:rPr>
                <w:rFonts w:ascii="Arial" w:cs="Arial" w:eastAsia="Arial" w:hAnsi="Arial"/>
                <w:sz w:val="22"/>
                <w:szCs w:val="22"/>
                <w:color w:val="auto"/>
              </w:rPr>
              <w:t>Item 3. Quantitative and Qualitative Disclosures about Market Risk</w:t>
            </w:r>
          </w:p>
        </w:tc>
        <w:tc>
          <w:tcPr>
            <w:tcW w:w="5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486"/>
        </w:trPr>
        <w:tc>
          <w:tcPr>
            <w:tcW w:w="4400" w:type="dxa"/>
            <w:vAlign w:val="bottom"/>
            <w:gridSpan w:val="3"/>
          </w:tcPr>
          <w:p>
            <w:pPr>
              <w:spacing w:after="0"/>
              <w:rPr>
                <w:sz w:val="20"/>
                <w:szCs w:val="20"/>
                <w:color w:val="auto"/>
              </w:rPr>
            </w:pPr>
            <w:r>
              <w:rPr>
                <w:rFonts w:ascii="Arial" w:cs="Arial" w:eastAsia="Arial" w:hAnsi="Arial"/>
                <w:sz w:val="22"/>
                <w:szCs w:val="22"/>
                <w:color w:val="auto"/>
              </w:rPr>
              <w:t>Item 4. Controls and Procedures</w:t>
            </w:r>
          </w:p>
        </w:tc>
        <w:tc>
          <w:tcPr>
            <w:tcW w:w="2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409"/>
        </w:trPr>
        <w:tc>
          <w:tcPr>
            <w:tcW w:w="4400" w:type="dxa"/>
            <w:vAlign w:val="bottom"/>
            <w:gridSpan w:val="3"/>
          </w:tcPr>
          <w:p>
            <w:pPr>
              <w:spacing w:after="0"/>
              <w:rPr>
                <w:sz w:val="20"/>
                <w:szCs w:val="20"/>
                <w:color w:val="auto"/>
              </w:rPr>
            </w:pPr>
            <w:r>
              <w:rPr>
                <w:rFonts w:ascii="Arial" w:cs="Arial" w:eastAsia="Arial" w:hAnsi="Arial"/>
                <w:sz w:val="22"/>
                <w:szCs w:val="22"/>
                <w:b w:val="1"/>
                <w:bCs w:val="1"/>
                <w:color w:val="auto"/>
              </w:rPr>
              <w:t>Part II. Other Information</w:t>
            </w:r>
          </w:p>
        </w:tc>
        <w:tc>
          <w:tcPr>
            <w:tcW w:w="2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400" w:type="dxa"/>
            <w:vAlign w:val="bottom"/>
            <w:gridSpan w:val="3"/>
          </w:tcPr>
          <w:p>
            <w:pPr>
              <w:spacing w:after="0"/>
              <w:rPr>
                <w:sz w:val="20"/>
                <w:szCs w:val="20"/>
                <w:color w:val="auto"/>
              </w:rPr>
            </w:pPr>
            <w:r>
              <w:rPr>
                <w:rFonts w:ascii="Arial" w:cs="Arial" w:eastAsia="Arial" w:hAnsi="Arial"/>
                <w:sz w:val="22"/>
                <w:szCs w:val="22"/>
                <w:color w:val="auto"/>
              </w:rPr>
              <w:t>Item 6. Exhibits</w:t>
            </w:r>
          </w:p>
        </w:tc>
        <w:tc>
          <w:tcPr>
            <w:tcW w:w="2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486"/>
        </w:trPr>
        <w:tc>
          <w:tcPr>
            <w:tcW w:w="4400" w:type="dxa"/>
            <w:vAlign w:val="bottom"/>
            <w:gridSpan w:val="3"/>
          </w:tcPr>
          <w:p>
            <w:pPr>
              <w:spacing w:after="0"/>
              <w:rPr>
                <w:sz w:val="20"/>
                <w:szCs w:val="20"/>
                <w:color w:val="auto"/>
              </w:rPr>
            </w:pPr>
            <w:r>
              <w:rPr>
                <w:rFonts w:ascii="Arial" w:cs="Arial" w:eastAsia="Arial" w:hAnsi="Arial"/>
                <w:sz w:val="22"/>
                <w:szCs w:val="22"/>
                <w:color w:val="auto"/>
              </w:rPr>
              <w:t>Signatures</w:t>
            </w:r>
          </w:p>
        </w:tc>
        <w:tc>
          <w:tcPr>
            <w:tcW w:w="2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486"/>
        </w:trPr>
        <w:tc>
          <w:tcPr>
            <w:tcW w:w="4400" w:type="dxa"/>
            <w:vAlign w:val="bottom"/>
            <w:gridSpan w:val="3"/>
          </w:tcPr>
          <w:p>
            <w:pPr>
              <w:spacing w:after="0"/>
              <w:rPr>
                <w:sz w:val="20"/>
                <w:szCs w:val="20"/>
                <w:color w:val="auto"/>
              </w:rPr>
            </w:pPr>
            <w:r>
              <w:rPr>
                <w:rFonts w:ascii="Arial" w:cs="Arial" w:eastAsia="Arial" w:hAnsi="Arial"/>
                <w:sz w:val="22"/>
                <w:szCs w:val="22"/>
                <w:color w:val="auto"/>
              </w:rPr>
              <w:t>Officer Certifications</w:t>
            </w:r>
          </w:p>
        </w:tc>
        <w:tc>
          <w:tcPr>
            <w:tcW w:w="2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422"/>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80" w:type="dxa"/>
            <w:vAlign w:val="bottom"/>
          </w:tcPr>
          <w:p>
            <w:pPr>
              <w:jc w:val="center"/>
              <w:ind w:right="295"/>
              <w:spacing w:after="0"/>
              <w:rPr>
                <w:sz w:val="20"/>
                <w:szCs w:val="20"/>
                <w:color w:val="auto"/>
              </w:rPr>
            </w:pPr>
            <w:r>
              <w:rPr>
                <w:rFonts w:ascii="Arial" w:cs="Arial" w:eastAsia="Arial" w:hAnsi="Arial"/>
                <w:sz w:val="22"/>
                <w:szCs w:val="22"/>
                <w:b w:val="1"/>
                <w:bCs w:val="1"/>
                <w:color w:val="auto"/>
                <w:w w:val="90"/>
              </w:rPr>
              <w:t>CPG Partners, L.P.</w:t>
            </w: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980" w:type="dxa"/>
            <w:vAlign w:val="bottom"/>
          </w:tcPr>
          <w:p>
            <w:pPr>
              <w:jc w:val="center"/>
              <w:ind w:right="275"/>
              <w:spacing w:after="0" w:line="249" w:lineRule="exact"/>
              <w:rPr>
                <w:sz w:val="20"/>
                <w:szCs w:val="20"/>
                <w:color w:val="auto"/>
              </w:rPr>
            </w:pPr>
            <w:r>
              <w:rPr>
                <w:rFonts w:ascii="Arial" w:cs="Arial" w:eastAsia="Arial" w:hAnsi="Arial"/>
                <w:sz w:val="22"/>
                <w:szCs w:val="22"/>
                <w:b w:val="1"/>
                <w:bCs w:val="1"/>
                <w:color w:val="auto"/>
                <w:w w:val="85"/>
              </w:rPr>
              <w:t>Consolidated Balance Sheets</w:t>
            </w:r>
          </w:p>
        </w:tc>
        <w:tc>
          <w:tcPr>
            <w:tcW w:w="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980" w:type="dxa"/>
            <w:vAlign w:val="bottom"/>
          </w:tcPr>
          <w:p>
            <w:pPr>
              <w:jc w:val="center"/>
              <w:ind w:right="275"/>
              <w:spacing w:after="0" w:line="237" w:lineRule="exact"/>
              <w:rPr>
                <w:sz w:val="20"/>
                <w:szCs w:val="20"/>
                <w:color w:val="auto"/>
              </w:rPr>
            </w:pPr>
            <w:r>
              <w:rPr>
                <w:rFonts w:ascii="Arial" w:cs="Arial" w:eastAsia="Arial" w:hAnsi="Arial"/>
                <w:sz w:val="22"/>
                <w:szCs w:val="22"/>
                <w:b w:val="1"/>
                <w:bCs w:val="1"/>
                <w:i w:val="1"/>
                <w:iCs w:val="1"/>
                <w:color w:val="auto"/>
                <w:w w:val="88"/>
              </w:rPr>
              <w:t>(Unaudited)</w:t>
            </w: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80" w:type="dxa"/>
            <w:vAlign w:val="bottom"/>
          </w:tcPr>
          <w:p>
            <w:pPr>
              <w:jc w:val="center"/>
              <w:ind w:right="295"/>
              <w:spacing w:after="0"/>
              <w:rPr>
                <w:sz w:val="20"/>
                <w:szCs w:val="20"/>
                <w:color w:val="auto"/>
              </w:rPr>
            </w:pPr>
            <w:r>
              <w:rPr>
                <w:rFonts w:ascii="Arial" w:cs="Arial" w:eastAsia="Arial" w:hAnsi="Arial"/>
                <w:sz w:val="22"/>
                <w:szCs w:val="22"/>
                <w:b w:val="1"/>
                <w:bCs w:val="1"/>
                <w:color w:val="auto"/>
                <w:w w:val="88"/>
              </w:rPr>
              <w:t>(In thousands)</w:t>
            </w: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September 30,</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December 31,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2005</w:t>
            </w:r>
          </w:p>
        </w:tc>
        <w:tc>
          <w:tcPr>
            <w:tcW w:w="580" w:type="dxa"/>
            <w:vAlign w:val="bottom"/>
          </w:tcPr>
          <w:p>
            <w:pPr>
              <w:spacing w:after="0"/>
              <w:rPr>
                <w:sz w:val="11"/>
                <w:szCs w:val="11"/>
                <w:color w:val="auto"/>
              </w:rPr>
            </w:pPr>
          </w:p>
        </w:tc>
        <w:tc>
          <w:tcPr>
            <w:tcW w:w="1980" w:type="dxa"/>
            <w:vAlign w:val="bottom"/>
          </w:tcPr>
          <w:p>
            <w:pPr>
              <w:jc w:val="right"/>
              <w:ind w:right="1251"/>
              <w:spacing w:after="0"/>
              <w:rPr>
                <w:sz w:val="20"/>
                <w:szCs w:val="20"/>
                <w:color w:val="auto"/>
              </w:rPr>
            </w:pPr>
            <w:r>
              <w:rPr>
                <w:rFonts w:ascii="Courier New" w:cs="Courier New" w:eastAsia="Courier New" w:hAnsi="Courier New"/>
                <w:sz w:val="12"/>
                <w:szCs w:val="12"/>
                <w:color w:val="auto"/>
              </w:rPr>
              <w:t>2004</w:t>
            </w: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vMerge w:val="restart"/>
          </w:tcPr>
          <w:p>
            <w:pPr>
              <w:jc w:val="right"/>
              <w:ind w:right="95"/>
              <w:spacing w:after="0"/>
              <w:rPr>
                <w:sz w:val="20"/>
                <w:szCs w:val="20"/>
                <w:color w:val="auto"/>
              </w:rPr>
            </w:pPr>
            <w:r>
              <w:rPr>
                <w:rFonts w:ascii="Courier New" w:cs="Courier New" w:eastAsia="Courier New" w:hAnsi="Courier New"/>
                <w:sz w:val="12"/>
                <w:szCs w:val="12"/>
                <w:b w:val="1"/>
                <w:bCs w:val="1"/>
                <w:color w:val="auto"/>
              </w:rPr>
              <w:t>----------------</w:t>
            </w:r>
            <w:r>
              <w:rPr>
                <w:rFonts w:ascii="Courier New" w:cs="Courier New" w:eastAsia="Courier New" w:hAnsi="Courier New"/>
                <w:sz w:val="24"/>
                <w:szCs w:val="24"/>
                <w:b w:val="1"/>
                <w:bCs w:val="1"/>
                <w:i w:val="1"/>
                <w:iCs w:val="1"/>
                <w:color w:val="auto"/>
                <w:vertAlign w:val="subscript"/>
              </w:rPr>
              <w:t>(Unaudited)</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52"/>
        </w:trPr>
        <w:tc>
          <w:tcPr>
            <w:tcW w:w="4400" w:type="dxa"/>
            <w:vAlign w:val="bottom"/>
            <w:gridSpan w:val="3"/>
            <w:vMerge w:val="restart"/>
          </w:tcPr>
          <w:p>
            <w:pPr>
              <w:spacing w:after="0"/>
              <w:rPr>
                <w:sz w:val="20"/>
                <w:szCs w:val="20"/>
                <w:color w:val="auto"/>
              </w:rPr>
            </w:pPr>
            <w:r>
              <w:rPr>
                <w:rFonts w:ascii="Courier New" w:cs="Courier New" w:eastAsia="Courier New" w:hAnsi="Courier New"/>
                <w:sz w:val="12"/>
                <w:szCs w:val="12"/>
                <w:b w:val="1"/>
                <w:bCs w:val="1"/>
                <w:color w:val="auto"/>
              </w:rPr>
              <w:t>Assets:</w:t>
            </w:r>
          </w:p>
        </w:tc>
        <w:tc>
          <w:tcPr>
            <w:tcW w:w="29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400" w:type="dxa"/>
            <w:vAlign w:val="bottom"/>
            <w:gridSpan w:val="3"/>
            <w:vMerge w:val="continue"/>
          </w:tcPr>
          <w:p>
            <w:pPr>
              <w:spacing w:after="0"/>
              <w:rPr>
                <w:sz w:val="10"/>
                <w:szCs w:val="10"/>
                <w:color w:val="auto"/>
              </w:rPr>
            </w:pPr>
          </w:p>
        </w:tc>
        <w:tc>
          <w:tcPr>
            <w:tcW w:w="2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rPr>
              <w:t>Rental properties:</w:t>
            </w:r>
          </w:p>
        </w:tc>
        <w:tc>
          <w:tcPr>
            <w:tcW w:w="2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Land.......................................................................</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$ 342,541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354,514</w:t>
            </w: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Depreciable property.......................................................</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1,995,763</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1,919,605</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Total rental property...........................................................</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2,338,304</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2,274,119</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Accumulated depreciation........................................................</w:t>
            </w:r>
          </w:p>
        </w:tc>
        <w:tc>
          <w:tcPr>
            <w:tcW w:w="2980" w:type="dxa"/>
            <w:vAlign w:val="bottom"/>
          </w:tcPr>
          <w:p>
            <w:pPr>
              <w:jc w:val="right"/>
              <w:ind w:right="155"/>
              <w:spacing w:after="0"/>
              <w:rPr>
                <w:sz w:val="20"/>
                <w:szCs w:val="20"/>
                <w:color w:val="auto"/>
              </w:rPr>
            </w:pPr>
            <w:r>
              <w:rPr>
                <w:rFonts w:ascii="Courier New" w:cs="Courier New" w:eastAsia="Courier New" w:hAnsi="Courier New"/>
                <w:sz w:val="12"/>
                <w:szCs w:val="12"/>
                <w:b w:val="1"/>
                <w:bCs w:val="1"/>
                <w:color w:val="auto"/>
              </w:rPr>
              <w:t>(442,495)</w:t>
            </w:r>
          </w:p>
        </w:tc>
        <w:tc>
          <w:tcPr>
            <w:tcW w:w="580" w:type="dxa"/>
            <w:vAlign w:val="bottom"/>
          </w:tcPr>
          <w:p>
            <w:pPr>
              <w:spacing w:after="0"/>
              <w:rPr>
                <w:sz w:val="11"/>
                <w:szCs w:val="11"/>
                <w:color w:val="auto"/>
              </w:rPr>
            </w:pPr>
          </w:p>
        </w:tc>
        <w:tc>
          <w:tcPr>
            <w:tcW w:w="1980" w:type="dxa"/>
            <w:vAlign w:val="bottom"/>
          </w:tcPr>
          <w:p>
            <w:pPr>
              <w:jc w:val="right"/>
              <w:ind w:right="1111"/>
              <w:spacing w:after="0"/>
              <w:rPr>
                <w:sz w:val="20"/>
                <w:szCs w:val="20"/>
                <w:color w:val="auto"/>
              </w:rPr>
            </w:pPr>
            <w:r>
              <w:rPr>
                <w:rFonts w:ascii="Courier New" w:cs="Courier New" w:eastAsia="Courier New" w:hAnsi="Courier New"/>
                <w:sz w:val="12"/>
                <w:szCs w:val="12"/>
                <w:color w:val="auto"/>
              </w:rPr>
              <w:t>(390,783)</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Rental properties, net..........................................................</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1,895,809</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1,883,336</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Cash and cash equivalents.......................................................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18,021</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33,362</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Restricted cash-escrows.........................................................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28,634</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27,418</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rPr>
              <w:t>Tenant accounts receivable (net of allowance for doubtful</w:t>
            </w:r>
          </w:p>
        </w:tc>
        <w:tc>
          <w:tcPr>
            <w:tcW w:w="2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7"/>
              </w:rPr>
              <w:t>accounts of $2,371 in 2005 and $2,242 in 2004)................................</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7,769</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11,534</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Deferred rent receivable........................................................</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34,733</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30,504</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Property held for sale..........................................................</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3,500</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Investments in and advances to unconsolidated affiliates........................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142,085</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149,631</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Notes receivable-related parties................................................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17,191</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14,184</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Deferred costs, net.............................................................</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18,569</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17,082</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Other assets....................................................................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33,337</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22,047</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w w:val="76"/>
              </w:rPr>
              <w:t>Total assets....................................................................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$ 2,196,148</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w w:val="97"/>
              </w:rPr>
              <w:t>$2,192,598</w:t>
            </w: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4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Liabilities and partners' capital:</w:t>
            </w:r>
          </w:p>
        </w:tc>
        <w:tc>
          <w:tcPr>
            <w:tcW w:w="2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rPr>
              <w:t>Liabilities:</w:t>
            </w:r>
          </w:p>
        </w:tc>
        <w:tc>
          <w:tcPr>
            <w:tcW w:w="2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Unsecured bank debt........................................................</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$ 59,525</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84,835</w:t>
            </w: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Unsecured public notes.....................................................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672,242</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721,849</w:t>
            </w: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Mortgage debt..............................................................</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310,120</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316,354</w:t>
            </w: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Notes payable-related party................................................</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351,607</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300,260</w:t>
            </w: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Construction payables......................................................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8,082</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14,654</w:t>
            </w: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Accounts payable and accrued expenses......................................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78,012</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59,158</w:t>
            </w:r>
          </w:p>
        </w:tc>
        <w:tc>
          <w:tcPr>
            <w:tcW w:w="0" w:type="dxa"/>
            <w:vAlign w:val="bottom"/>
          </w:tcPr>
          <w:p>
            <w:pPr>
              <w:spacing w:after="0"/>
              <w:rPr>
                <w:sz w:val="1"/>
                <w:szCs w:val="1"/>
                <w:color w:val="auto"/>
              </w:rPr>
            </w:pPr>
          </w:p>
        </w:tc>
      </w:tr>
      <w:tr>
        <w:trPr>
          <w:trHeight w:val="135"/>
        </w:trPr>
        <w:tc>
          <w:tcPr>
            <w:tcW w:w="44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Other liabilities..........................................................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21,718</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23,281</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w w:val="76"/>
              </w:rPr>
              <w:t>Total liabilities...............................................................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1,501,306</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1,520,391</w:t>
            </w: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44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Commitments and contingencies</w:t>
            </w:r>
          </w:p>
        </w:tc>
        <w:tc>
          <w:tcPr>
            <w:tcW w:w="2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Partners' capital:</w:t>
            </w:r>
          </w:p>
        </w:tc>
        <w:tc>
          <w:tcPr>
            <w:tcW w:w="2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General partner.................................................................</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115,705</w:t>
            </w:r>
          </w:p>
        </w:tc>
        <w:tc>
          <w:tcPr>
            <w:tcW w:w="580" w:type="dxa"/>
            <w:vAlign w:val="bottom"/>
          </w:tcPr>
          <w:p>
            <w:pPr>
              <w:spacing w:after="0"/>
              <w:rPr>
                <w:sz w:val="23"/>
                <w:szCs w:val="23"/>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528,613</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Limited partners................................................................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578,921</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144,343</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color w:val="auto"/>
                <w:w w:val="76"/>
              </w:rPr>
              <w:t>Accumulated other comprehensive income (loss)...................................</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216</w:t>
            </w:r>
          </w:p>
        </w:tc>
        <w:tc>
          <w:tcPr>
            <w:tcW w:w="580" w:type="dxa"/>
            <w:vAlign w:val="bottom"/>
          </w:tcPr>
          <w:p>
            <w:pPr>
              <w:spacing w:after="0"/>
              <w:rPr>
                <w:sz w:val="11"/>
                <w:szCs w:val="11"/>
                <w:color w:val="auto"/>
              </w:rPr>
            </w:pPr>
          </w:p>
        </w:tc>
        <w:tc>
          <w:tcPr>
            <w:tcW w:w="1980" w:type="dxa"/>
            <w:vAlign w:val="bottom"/>
          </w:tcPr>
          <w:p>
            <w:pPr>
              <w:jc w:val="right"/>
              <w:ind w:right="1111"/>
              <w:spacing w:after="0"/>
              <w:rPr>
                <w:sz w:val="20"/>
                <w:szCs w:val="20"/>
                <w:color w:val="auto"/>
              </w:rPr>
            </w:pPr>
            <w:r>
              <w:rPr>
                <w:rFonts w:ascii="Courier New" w:cs="Courier New" w:eastAsia="Courier New" w:hAnsi="Courier New"/>
                <w:sz w:val="12"/>
                <w:szCs w:val="12"/>
                <w:color w:val="auto"/>
              </w:rPr>
              <w:t>(749)</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w w:val="76"/>
              </w:rPr>
              <w:t>Total partners' capital.........................................................</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694,842</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rPr>
              <w:t>672,207</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40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w w:val="76"/>
              </w:rPr>
              <w:t>Total liabilities and partners' capital.........................................</w:t>
            </w:r>
          </w:p>
        </w:tc>
        <w:tc>
          <w:tcPr>
            <w:tcW w:w="2980" w:type="dxa"/>
            <w:vAlign w:val="bottom"/>
          </w:tcPr>
          <w:p>
            <w:pPr>
              <w:jc w:val="right"/>
              <w:ind w:right="235"/>
              <w:spacing w:after="0"/>
              <w:rPr>
                <w:sz w:val="20"/>
                <w:szCs w:val="20"/>
                <w:color w:val="auto"/>
              </w:rPr>
            </w:pPr>
            <w:r>
              <w:rPr>
                <w:rFonts w:ascii="Courier New" w:cs="Courier New" w:eastAsia="Courier New" w:hAnsi="Courier New"/>
                <w:sz w:val="12"/>
                <w:szCs w:val="12"/>
                <w:b w:val="1"/>
                <w:bCs w:val="1"/>
                <w:color w:val="auto"/>
              </w:rPr>
              <w:t>$ 2,196,148</w:t>
            </w:r>
          </w:p>
        </w:tc>
        <w:tc>
          <w:tcPr>
            <w:tcW w:w="580" w:type="dxa"/>
            <w:vAlign w:val="bottom"/>
          </w:tcPr>
          <w:p>
            <w:pPr>
              <w:spacing w:after="0"/>
              <w:rPr>
                <w:sz w:val="11"/>
                <w:szCs w:val="11"/>
                <w:color w:val="auto"/>
              </w:rPr>
            </w:pPr>
          </w:p>
        </w:tc>
        <w:tc>
          <w:tcPr>
            <w:tcW w:w="1980" w:type="dxa"/>
            <w:vAlign w:val="bottom"/>
          </w:tcPr>
          <w:p>
            <w:pPr>
              <w:jc w:val="right"/>
              <w:ind w:right="1191"/>
              <w:spacing w:after="0"/>
              <w:rPr>
                <w:sz w:val="20"/>
                <w:szCs w:val="20"/>
                <w:color w:val="auto"/>
              </w:rPr>
            </w:pPr>
            <w:r>
              <w:rPr>
                <w:rFonts w:ascii="Courier New" w:cs="Courier New" w:eastAsia="Courier New" w:hAnsi="Courier New"/>
                <w:sz w:val="12"/>
                <w:szCs w:val="12"/>
                <w:color w:val="auto"/>
                <w:w w:val="97"/>
              </w:rPr>
              <w:t>$2,192,598</w:t>
            </w: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980" w:type="dxa"/>
            <w:vAlign w:val="bottom"/>
          </w:tcPr>
          <w:p>
            <w:pPr>
              <w:jc w:val="right"/>
              <w:ind w:right="95"/>
              <w:spacing w:after="0"/>
              <w:rPr>
                <w:sz w:val="20"/>
                <w:szCs w:val="20"/>
                <w:color w:val="auto"/>
              </w:rPr>
            </w:pPr>
            <w:r>
              <w:rPr>
                <w:rFonts w:ascii="Courier New" w:cs="Courier New" w:eastAsia="Courier New" w:hAnsi="Courier New"/>
                <w:sz w:val="12"/>
                <w:szCs w:val="12"/>
                <w:b w:val="1"/>
                <w:bCs w:val="1"/>
                <w:color w:val="auto"/>
              </w:rPr>
              <w:t>================</w:t>
            </w:r>
          </w:p>
        </w:tc>
        <w:tc>
          <w:tcPr>
            <w:tcW w:w="2560" w:type="dxa"/>
            <w:vAlign w:val="bottom"/>
            <w:gridSpan w:val="2"/>
          </w:tcPr>
          <w:p>
            <w:pPr>
              <w:jc w:val="right"/>
              <w:ind w:right="1191"/>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80" w:type="dxa"/>
            <w:vAlign w:val="bottom"/>
          </w:tcPr>
          <w:p>
            <w:pPr>
              <w:spacing w:after="0"/>
              <w:rPr>
                <w:sz w:val="21"/>
                <w:szCs w:val="21"/>
                <w:color w:val="auto"/>
              </w:rPr>
            </w:pPr>
          </w:p>
        </w:tc>
        <w:tc>
          <w:tcPr>
            <w:tcW w:w="4040" w:type="dxa"/>
            <w:vAlign w:val="bottom"/>
            <w:gridSpan w:val="2"/>
          </w:tcPr>
          <w:p>
            <w:pPr>
              <w:jc w:val="center"/>
              <w:ind w:left="2149"/>
              <w:spacing w:after="0"/>
              <w:rPr>
                <w:sz w:val="20"/>
                <w:szCs w:val="20"/>
                <w:color w:val="auto"/>
              </w:rPr>
            </w:pPr>
            <w:r>
              <w:rPr>
                <w:rFonts w:ascii="Arial" w:cs="Arial" w:eastAsia="Arial" w:hAnsi="Arial"/>
                <w:sz w:val="22"/>
                <w:szCs w:val="22"/>
                <w:b w:val="1"/>
                <w:bCs w:val="1"/>
                <w:color w:val="auto"/>
                <w:w w:val="90"/>
              </w:rPr>
              <w:t>CPG Partners, L.P.</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5080" w:type="dxa"/>
            <w:vAlign w:val="bottom"/>
            <w:gridSpan w:val="3"/>
          </w:tcPr>
          <w:p>
            <w:pPr>
              <w:jc w:val="center"/>
              <w:ind w:left="1109"/>
              <w:spacing w:after="0" w:line="243" w:lineRule="exact"/>
              <w:rPr>
                <w:sz w:val="20"/>
                <w:szCs w:val="20"/>
                <w:color w:val="auto"/>
              </w:rPr>
            </w:pPr>
            <w:r>
              <w:rPr>
                <w:rFonts w:ascii="Arial" w:cs="Arial" w:eastAsia="Arial" w:hAnsi="Arial"/>
                <w:sz w:val="22"/>
                <w:szCs w:val="22"/>
                <w:b w:val="1"/>
                <w:bCs w:val="1"/>
                <w:color w:val="auto"/>
                <w:w w:val="87"/>
              </w:rPr>
              <w:t>Consolidated Statements of Income</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580" w:type="dxa"/>
            <w:vAlign w:val="bottom"/>
          </w:tcPr>
          <w:p>
            <w:pPr>
              <w:spacing w:after="0"/>
              <w:rPr>
                <w:sz w:val="21"/>
                <w:szCs w:val="21"/>
                <w:color w:val="auto"/>
              </w:rPr>
            </w:pPr>
          </w:p>
        </w:tc>
        <w:tc>
          <w:tcPr>
            <w:tcW w:w="6280" w:type="dxa"/>
            <w:vAlign w:val="bottom"/>
            <w:gridSpan w:val="4"/>
          </w:tcPr>
          <w:p>
            <w:pPr>
              <w:jc w:val="center"/>
              <w:spacing w:after="0" w:line="249" w:lineRule="exact"/>
              <w:rPr>
                <w:sz w:val="20"/>
                <w:szCs w:val="20"/>
                <w:color w:val="auto"/>
              </w:rPr>
            </w:pPr>
            <w:r>
              <w:rPr>
                <w:rFonts w:ascii="Arial" w:cs="Arial" w:eastAsia="Arial" w:hAnsi="Arial"/>
                <w:sz w:val="22"/>
                <w:szCs w:val="22"/>
                <w:b w:val="1"/>
                <w:bCs w:val="1"/>
                <w:color w:val="auto"/>
                <w:w w:val="89"/>
              </w:rPr>
              <w:t>for the Three and Nine Months Ended September 30, 2005 and 2004</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40" w:type="dxa"/>
            <w:vAlign w:val="bottom"/>
          </w:tcPr>
          <w:p>
            <w:pPr>
              <w:jc w:val="center"/>
              <w:ind w:right="296"/>
              <w:spacing w:after="0" w:line="243" w:lineRule="exact"/>
              <w:rPr>
                <w:sz w:val="20"/>
                <w:szCs w:val="20"/>
                <w:color w:val="auto"/>
              </w:rPr>
            </w:pPr>
            <w:r>
              <w:rPr>
                <w:rFonts w:ascii="Arial" w:cs="Arial" w:eastAsia="Arial" w:hAnsi="Arial"/>
                <w:sz w:val="22"/>
                <w:szCs w:val="22"/>
                <w:b w:val="1"/>
                <w:bCs w:val="1"/>
                <w:i w:val="1"/>
                <w:iCs w:val="1"/>
                <w:color w:val="auto"/>
                <w:w w:val="88"/>
              </w:rPr>
              <w:t>(Unaudited)</w:t>
            </w: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580" w:type="dxa"/>
            <w:vAlign w:val="bottom"/>
          </w:tcPr>
          <w:p>
            <w:pPr>
              <w:spacing w:after="0"/>
              <w:rPr>
                <w:sz w:val="23"/>
                <w:szCs w:val="23"/>
                <w:color w:val="auto"/>
              </w:rPr>
            </w:pPr>
          </w:p>
        </w:tc>
        <w:tc>
          <w:tcPr>
            <w:tcW w:w="4040" w:type="dxa"/>
            <w:vAlign w:val="bottom"/>
            <w:gridSpan w:val="2"/>
          </w:tcPr>
          <w:p>
            <w:pPr>
              <w:jc w:val="center"/>
              <w:ind w:left="2149"/>
              <w:spacing w:after="0"/>
              <w:rPr>
                <w:sz w:val="20"/>
                <w:szCs w:val="20"/>
                <w:color w:val="auto"/>
              </w:rPr>
            </w:pPr>
            <w:r>
              <w:rPr>
                <w:rFonts w:ascii="Arial" w:cs="Arial" w:eastAsia="Arial" w:hAnsi="Arial"/>
                <w:sz w:val="22"/>
                <w:szCs w:val="22"/>
                <w:i w:val="1"/>
                <w:iCs w:val="1"/>
                <w:color w:val="auto"/>
                <w:w w:val="89"/>
              </w:rPr>
              <w:t>(In thousands)</w:t>
            </w: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5"/>
        </w:trPr>
        <w:tc>
          <w:tcPr>
            <w:tcW w:w="2580" w:type="dxa"/>
            <w:vAlign w:val="bottom"/>
          </w:tcPr>
          <w:p>
            <w:pPr>
              <w:spacing w:after="0"/>
              <w:rPr>
                <w:sz w:val="24"/>
                <w:szCs w:val="24"/>
                <w:color w:val="auto"/>
              </w:rPr>
            </w:pPr>
          </w:p>
        </w:tc>
        <w:tc>
          <w:tcPr>
            <w:tcW w:w="4040" w:type="dxa"/>
            <w:vAlign w:val="bottom"/>
            <w:gridSpan w:val="2"/>
          </w:tcPr>
          <w:p>
            <w:pPr>
              <w:jc w:val="right"/>
              <w:ind w:right="636"/>
              <w:spacing w:after="0"/>
              <w:rPr>
                <w:sz w:val="20"/>
                <w:szCs w:val="20"/>
                <w:color w:val="auto"/>
              </w:rPr>
            </w:pPr>
            <w:r>
              <w:rPr>
                <w:rFonts w:ascii="Courier New" w:cs="Courier New" w:eastAsia="Courier New" w:hAnsi="Courier New"/>
                <w:sz w:val="12"/>
                <w:szCs w:val="12"/>
                <w:b w:val="1"/>
                <w:bCs w:val="1"/>
                <w:color w:val="auto"/>
              </w:rPr>
              <w:t>Three Months</w:t>
            </w:r>
          </w:p>
        </w:tc>
        <w:tc>
          <w:tcPr>
            <w:tcW w:w="2240" w:type="dxa"/>
            <w:vAlign w:val="bottom"/>
            <w:gridSpan w:val="2"/>
          </w:tcPr>
          <w:p>
            <w:pPr>
              <w:jc w:val="right"/>
              <w:ind w:right="699"/>
              <w:spacing w:after="0"/>
              <w:rPr>
                <w:sz w:val="20"/>
                <w:szCs w:val="20"/>
                <w:color w:val="auto"/>
              </w:rPr>
            </w:pPr>
            <w:r>
              <w:rPr>
                <w:rFonts w:ascii="Courier New" w:cs="Courier New" w:eastAsia="Courier New" w:hAnsi="Courier New"/>
                <w:sz w:val="12"/>
                <w:szCs w:val="12"/>
                <w:b w:val="1"/>
                <w:bCs w:val="1"/>
                <w:color w:val="auto"/>
              </w:rPr>
              <w:t>Nine Months</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4040" w:type="dxa"/>
            <w:vAlign w:val="bottom"/>
            <w:gridSpan w:val="2"/>
          </w:tcPr>
          <w:p>
            <w:pPr>
              <w:jc w:val="right"/>
              <w:ind w:right="416"/>
              <w:spacing w:after="0"/>
              <w:rPr>
                <w:sz w:val="20"/>
                <w:szCs w:val="20"/>
                <w:color w:val="auto"/>
              </w:rPr>
            </w:pPr>
            <w:r>
              <w:rPr>
                <w:rFonts w:ascii="Courier New" w:cs="Courier New" w:eastAsia="Courier New" w:hAnsi="Courier New"/>
                <w:sz w:val="12"/>
                <w:szCs w:val="12"/>
                <w:b w:val="1"/>
                <w:bCs w:val="1"/>
                <w:color w:val="auto"/>
              </w:rPr>
              <w:t>Ended September 30</w:t>
            </w:r>
          </w:p>
        </w:tc>
        <w:tc>
          <w:tcPr>
            <w:tcW w:w="2240" w:type="dxa"/>
            <w:vAlign w:val="bottom"/>
            <w:gridSpan w:val="2"/>
          </w:tcPr>
          <w:p>
            <w:pPr>
              <w:jc w:val="right"/>
              <w:ind w:right="399"/>
              <w:spacing w:after="0"/>
              <w:rPr>
                <w:sz w:val="20"/>
                <w:szCs w:val="20"/>
                <w:color w:val="auto"/>
              </w:rPr>
            </w:pPr>
            <w:r>
              <w:rPr>
                <w:rFonts w:ascii="Courier New" w:cs="Courier New" w:eastAsia="Courier New" w:hAnsi="Courier New"/>
                <w:sz w:val="12"/>
                <w:szCs w:val="12"/>
                <w:b w:val="1"/>
                <w:bCs w:val="1"/>
                <w:color w:val="auto"/>
              </w:rPr>
              <w:t>Ended September 30</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600" w:type="dxa"/>
            <w:vAlign w:val="bottom"/>
          </w:tcPr>
          <w:p>
            <w:pPr>
              <w:jc w:val="right"/>
              <w:ind w:right="69"/>
              <w:spacing w:after="0"/>
              <w:rPr>
                <w:sz w:val="20"/>
                <w:szCs w:val="20"/>
                <w:color w:val="auto"/>
              </w:rPr>
            </w:pPr>
            <w:r>
              <w:rPr>
                <w:rFonts w:ascii="Courier New" w:cs="Courier New" w:eastAsia="Courier New" w:hAnsi="Courier New"/>
                <w:sz w:val="12"/>
                <w:szCs w:val="12"/>
                <w:b w:val="1"/>
                <w:bCs w:val="1"/>
                <w:color w:val="auto"/>
              </w:rPr>
              <w:t>2005</w:t>
            </w:r>
          </w:p>
        </w:tc>
        <w:tc>
          <w:tcPr>
            <w:tcW w:w="1440" w:type="dxa"/>
            <w:vAlign w:val="bottom"/>
          </w:tcPr>
          <w:p>
            <w:pPr>
              <w:jc w:val="right"/>
              <w:ind w:right="356"/>
              <w:spacing w:after="0"/>
              <w:rPr>
                <w:sz w:val="20"/>
                <w:szCs w:val="20"/>
                <w:color w:val="auto"/>
              </w:rPr>
            </w:pPr>
            <w:r>
              <w:rPr>
                <w:rFonts w:ascii="Courier New" w:cs="Courier New" w:eastAsia="Courier New" w:hAnsi="Courier New"/>
                <w:sz w:val="12"/>
                <w:szCs w:val="12"/>
                <w:color w:val="auto"/>
              </w:rPr>
              <w:t>2004</w:t>
            </w:r>
          </w:p>
        </w:tc>
        <w:tc>
          <w:tcPr>
            <w:tcW w:w="10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2005</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rPr>
              <w:t>2004</w:t>
            </w:r>
          </w:p>
        </w:tc>
        <w:tc>
          <w:tcPr>
            <w:tcW w:w="0" w:type="dxa"/>
            <w:vAlign w:val="bottom"/>
          </w:tcPr>
          <w:p>
            <w:pPr>
              <w:spacing w:after="0"/>
              <w:rPr>
                <w:sz w:val="1"/>
                <w:szCs w:val="1"/>
                <w:color w:val="auto"/>
              </w:rPr>
            </w:pPr>
          </w:p>
        </w:tc>
      </w:tr>
      <w:tr>
        <w:trPr>
          <w:trHeight w:val="137"/>
        </w:trPr>
        <w:tc>
          <w:tcPr>
            <w:tcW w:w="2580" w:type="dxa"/>
            <w:vAlign w:val="bottom"/>
            <w:vMerge w:val="restart"/>
          </w:tcPr>
          <w:p>
            <w:pPr>
              <w:jc w:val="right"/>
              <w:ind w:right="1863"/>
              <w:spacing w:after="0"/>
              <w:rPr>
                <w:sz w:val="20"/>
                <w:szCs w:val="20"/>
                <w:color w:val="auto"/>
              </w:rPr>
            </w:pPr>
            <w:r>
              <w:rPr>
                <w:rFonts w:ascii="Courier New" w:cs="Courier New" w:eastAsia="Courier New" w:hAnsi="Courier New"/>
                <w:sz w:val="12"/>
                <w:szCs w:val="12"/>
                <w:b w:val="1"/>
                <w:bCs w:val="1"/>
                <w:color w:val="auto"/>
                <w:w w:val="98"/>
              </w:rPr>
              <w:t>Revenues:</w:t>
            </w:r>
          </w:p>
        </w:tc>
        <w:tc>
          <w:tcPr>
            <w:tcW w:w="2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36"/>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2580" w:type="dxa"/>
            <w:vAlign w:val="bottom"/>
            <w:vMerge w:val="continue"/>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4"/>
              </w:rPr>
              <w:t>Base rent...........................................</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$ 76,162</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$67,183</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$221,509</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$199,315</w:t>
            </w:r>
          </w:p>
        </w:tc>
        <w:tc>
          <w:tcPr>
            <w:tcW w:w="0" w:type="dxa"/>
            <w:vAlign w:val="bottom"/>
          </w:tcPr>
          <w:p>
            <w:pPr>
              <w:spacing w:after="0"/>
              <w:rPr>
                <w:sz w:val="1"/>
                <w:szCs w:val="1"/>
                <w:color w:val="auto"/>
              </w:rPr>
            </w:pPr>
          </w:p>
        </w:tc>
      </w:tr>
      <w:tr>
        <w:trPr>
          <w:trHeight w:val="135"/>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4"/>
              </w:rPr>
              <w:t>Percentage rent.....................................</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9,713</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7,757</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22,586</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18,193</w:t>
            </w:r>
          </w:p>
        </w:tc>
        <w:tc>
          <w:tcPr>
            <w:tcW w:w="0" w:type="dxa"/>
            <w:vAlign w:val="bottom"/>
          </w:tcPr>
          <w:p>
            <w:pPr>
              <w:spacing w:after="0"/>
              <w:rPr>
                <w:sz w:val="1"/>
                <w:szCs w:val="1"/>
                <w:color w:val="auto"/>
              </w:rPr>
            </w:pPr>
          </w:p>
        </w:tc>
      </w:tr>
      <w:tr>
        <w:trPr>
          <w:trHeight w:val="135"/>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4"/>
              </w:rPr>
              <w:t>Expense reimbursements..............................</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28,387</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22,967</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74,072</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65,297</w:t>
            </w:r>
          </w:p>
        </w:tc>
        <w:tc>
          <w:tcPr>
            <w:tcW w:w="0" w:type="dxa"/>
            <w:vAlign w:val="bottom"/>
          </w:tcPr>
          <w:p>
            <w:pPr>
              <w:spacing w:after="0"/>
              <w:rPr>
                <w:sz w:val="1"/>
                <w:szCs w:val="1"/>
                <w:color w:val="auto"/>
              </w:rPr>
            </w:pPr>
          </w:p>
        </w:tc>
      </w:tr>
      <w:tr>
        <w:trPr>
          <w:trHeight w:val="135"/>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4"/>
              </w:rPr>
              <w:t>Other income........................................</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4,243</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2,510</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11,427</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6,818</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36"/>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0"/>
              </w:rPr>
              <w:t>Total revenues.........................................</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118,505</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100,417</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329,594</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289,623</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136"/>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2580" w:type="dxa"/>
            <w:vAlign w:val="bottom"/>
          </w:tcPr>
          <w:p>
            <w:pPr>
              <w:jc w:val="right"/>
              <w:ind w:right="1863"/>
              <w:spacing w:after="0"/>
              <w:rPr>
                <w:sz w:val="20"/>
                <w:szCs w:val="20"/>
                <w:color w:val="auto"/>
              </w:rPr>
            </w:pPr>
            <w:r>
              <w:rPr>
                <w:rFonts w:ascii="Courier New" w:cs="Courier New" w:eastAsia="Courier New" w:hAnsi="Courier New"/>
                <w:sz w:val="12"/>
                <w:szCs w:val="12"/>
                <w:b w:val="1"/>
                <w:bCs w:val="1"/>
                <w:color w:val="auto"/>
                <w:w w:val="98"/>
              </w:rPr>
              <w:t>Expenses:</w:t>
            </w:r>
          </w:p>
        </w:tc>
        <w:tc>
          <w:tcPr>
            <w:tcW w:w="2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4"/>
              </w:rPr>
              <w:t>Operating and maintenance...........................</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32,753</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26,619</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85,709</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77,163</w:t>
            </w:r>
          </w:p>
        </w:tc>
        <w:tc>
          <w:tcPr>
            <w:tcW w:w="0" w:type="dxa"/>
            <w:vAlign w:val="bottom"/>
          </w:tcPr>
          <w:p>
            <w:pPr>
              <w:spacing w:after="0"/>
              <w:rPr>
                <w:sz w:val="1"/>
                <w:szCs w:val="1"/>
                <w:color w:val="auto"/>
              </w:rPr>
            </w:pPr>
          </w:p>
        </w:tc>
      </w:tr>
      <w:tr>
        <w:trPr>
          <w:trHeight w:val="135"/>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4"/>
              </w:rPr>
              <w:t>Depreciation and amortization.......................</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19,274</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18,078</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57,498</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53,553</w:t>
            </w:r>
          </w:p>
        </w:tc>
        <w:tc>
          <w:tcPr>
            <w:tcW w:w="0" w:type="dxa"/>
            <w:vAlign w:val="bottom"/>
          </w:tcPr>
          <w:p>
            <w:pPr>
              <w:spacing w:after="0"/>
              <w:rPr>
                <w:sz w:val="1"/>
                <w:szCs w:val="1"/>
                <w:color w:val="auto"/>
              </w:rPr>
            </w:pPr>
          </w:p>
        </w:tc>
      </w:tr>
      <w:tr>
        <w:trPr>
          <w:trHeight w:val="137"/>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w w:val="74"/>
              </w:rPr>
              <w:t>General and administrative..........................</w:t>
            </w:r>
          </w:p>
        </w:tc>
        <w:tc>
          <w:tcPr>
            <w:tcW w:w="2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3,398</w:t>
            </w:r>
          </w:p>
        </w:tc>
        <w:tc>
          <w:tcPr>
            <w:tcW w:w="1440" w:type="dxa"/>
            <w:vAlign w:val="bottom"/>
          </w:tcPr>
          <w:p>
            <w:pPr>
              <w:jc w:val="right"/>
              <w:ind w:right="276"/>
              <w:spacing w:after="0"/>
              <w:rPr>
                <w:sz w:val="20"/>
                <w:szCs w:val="20"/>
                <w:color w:val="auto"/>
              </w:rPr>
            </w:pPr>
            <w:r>
              <w:rPr>
                <w:rFonts w:ascii="Courier New" w:cs="Courier New" w:eastAsia="Courier New" w:hAnsi="Courier New"/>
                <w:sz w:val="12"/>
                <w:szCs w:val="12"/>
                <w:color w:val="auto"/>
              </w:rPr>
              <w:t>5,228</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9,536</w:t>
            </w:r>
          </w:p>
        </w:tc>
        <w:tc>
          <w:tcPr>
            <w:tcW w:w="12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12,949</w:t>
            </w:r>
          </w:p>
        </w:tc>
        <w:tc>
          <w:tcPr>
            <w:tcW w:w="0" w:type="dxa"/>
            <w:vAlign w:val="bottom"/>
          </w:tcPr>
          <w:p>
            <w:pPr>
              <w:spacing w:after="0"/>
              <w:rPr>
                <w:sz w:val="1"/>
                <w:szCs w:val="1"/>
                <w:color w:val="auto"/>
              </w:rPr>
            </w:pPr>
          </w:p>
        </w:tc>
      </w:tr>
    </w:tbl>
    <w:p>
      <w:pPr>
        <w:sectPr>
          <w:pgSz w:w="11900" w:h="16879" w:orient="portrait"/>
          <w:cols w:equalWidth="0" w:num="1">
            <w:col w:w="10219"/>
          </w:cols>
          <w:pgMar w:left="240" w:top="118"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20" w:type="dxa"/>
            <w:vAlign w:val="bottom"/>
          </w:tcPr>
          <w:p>
            <w:pPr>
              <w:ind w:left="220"/>
              <w:spacing w:after="0"/>
              <w:rPr>
                <w:sz w:val="20"/>
                <w:szCs w:val="20"/>
                <w:color w:val="auto"/>
              </w:rPr>
            </w:pPr>
            <w:r>
              <w:rPr>
                <w:rFonts w:ascii="Courier New" w:cs="Courier New" w:eastAsia="Courier New" w:hAnsi="Courier New"/>
                <w:sz w:val="12"/>
                <w:szCs w:val="12"/>
                <w:color w:val="auto"/>
              </w:rPr>
              <w:t>Other...............................................</w:t>
            </w:r>
          </w:p>
        </w:tc>
        <w:tc>
          <w:tcPr>
            <w:tcW w:w="480" w:type="dxa"/>
            <w:vAlign w:val="bottom"/>
          </w:tcPr>
          <w:p>
            <w:pPr>
              <w:spacing w:after="0"/>
              <w:rPr>
                <w:sz w:val="11"/>
                <w:szCs w:val="11"/>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1,998</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1,675</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5,418</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4,728</w:t>
            </w:r>
          </w:p>
        </w:tc>
      </w:tr>
      <w:tr>
        <w:trPr>
          <w:trHeight w:val="135"/>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color w:val="auto"/>
              </w:rPr>
              <w:t>Total expenses.........................................</w:t>
            </w:r>
          </w:p>
        </w:tc>
        <w:tc>
          <w:tcPr>
            <w:tcW w:w="480" w:type="dxa"/>
            <w:vAlign w:val="bottom"/>
          </w:tcPr>
          <w:p>
            <w:pPr>
              <w:spacing w:after="0"/>
              <w:rPr>
                <w:sz w:val="11"/>
                <w:szCs w:val="11"/>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57,423</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51,600</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158,161</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148,393</w:t>
            </w:r>
          </w:p>
        </w:tc>
      </w:tr>
      <w:tr>
        <w:trPr>
          <w:trHeight w:val="137"/>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120" w:type="dxa"/>
            <w:vAlign w:val="bottom"/>
          </w:tcPr>
          <w:p>
            <w:pPr>
              <w:spacing w:after="0"/>
              <w:rPr>
                <w:sz w:val="20"/>
                <w:szCs w:val="20"/>
                <w:color w:val="auto"/>
              </w:rPr>
            </w:pPr>
            <w:r>
              <w:rPr>
                <w:rFonts w:ascii="Courier New" w:cs="Courier New" w:eastAsia="Courier New" w:hAnsi="Courier New"/>
                <w:sz w:val="12"/>
                <w:szCs w:val="12"/>
                <w:b w:val="1"/>
                <w:bCs w:val="1"/>
                <w:color w:val="auto"/>
              </w:rPr>
              <w:t>Income before unconsolidated investments,</w:t>
            </w: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37"/>
        </w:trPr>
        <w:tc>
          <w:tcPr>
            <w:tcW w:w="4120" w:type="dxa"/>
            <w:vAlign w:val="bottom"/>
          </w:tcPr>
          <w:p>
            <w:pPr>
              <w:spacing w:after="0"/>
              <w:rPr>
                <w:sz w:val="20"/>
                <w:szCs w:val="20"/>
                <w:color w:val="auto"/>
              </w:rPr>
            </w:pPr>
            <w:r>
              <w:rPr>
                <w:rFonts w:ascii="Courier New" w:cs="Courier New" w:eastAsia="Courier New" w:hAnsi="Courier New"/>
                <w:sz w:val="12"/>
                <w:szCs w:val="12"/>
                <w:b w:val="1"/>
                <w:bCs w:val="1"/>
                <w:color w:val="auto"/>
              </w:rPr>
              <w:t>interest expense, and discontinued operations</w:t>
            </w: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61,082</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48,817</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171,433</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141,230</w:t>
            </w:r>
          </w:p>
        </w:tc>
      </w:tr>
      <w:tr>
        <w:trPr>
          <w:trHeight w:val="268"/>
        </w:trPr>
        <w:tc>
          <w:tcPr>
            <w:tcW w:w="4120" w:type="dxa"/>
            <w:vAlign w:val="bottom"/>
          </w:tcPr>
          <w:p>
            <w:pPr>
              <w:spacing w:after="0"/>
              <w:rPr>
                <w:sz w:val="20"/>
                <w:szCs w:val="20"/>
                <w:color w:val="auto"/>
              </w:rPr>
            </w:pPr>
            <w:r>
              <w:rPr>
                <w:rFonts w:ascii="Courier New" w:cs="Courier New" w:eastAsia="Courier New" w:hAnsi="Courier New"/>
                <w:sz w:val="12"/>
                <w:szCs w:val="12"/>
                <w:color w:val="auto"/>
              </w:rPr>
              <w:t>Income from unconsolidated investments.................</w:t>
            </w:r>
          </w:p>
        </w:tc>
        <w:tc>
          <w:tcPr>
            <w:tcW w:w="480" w:type="dxa"/>
            <w:vAlign w:val="bottom"/>
          </w:tcPr>
          <w:p>
            <w:pPr>
              <w:spacing w:after="0"/>
              <w:rPr>
                <w:sz w:val="23"/>
                <w:szCs w:val="23"/>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6,489</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7,051</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19,836</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17,398</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color w:val="auto"/>
              </w:rPr>
              <w:t>Interest expense.......................................</w:t>
            </w:r>
          </w:p>
        </w:tc>
        <w:tc>
          <w:tcPr>
            <w:tcW w:w="480" w:type="dxa"/>
            <w:vAlign w:val="bottom"/>
          </w:tcPr>
          <w:p>
            <w:pPr>
              <w:spacing w:after="0"/>
              <w:rPr>
                <w:sz w:val="11"/>
                <w:szCs w:val="11"/>
                <w:color w:val="auto"/>
              </w:rPr>
            </w:pPr>
          </w:p>
        </w:tc>
        <w:tc>
          <w:tcPr>
            <w:tcW w:w="7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w w:val="97"/>
              </w:rPr>
              <w:t>(21,174)</w:t>
            </w:r>
          </w:p>
        </w:tc>
        <w:tc>
          <w:tcPr>
            <w:tcW w:w="12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(19,613)</w:t>
            </w:r>
          </w:p>
        </w:tc>
        <w:tc>
          <w:tcPr>
            <w:tcW w:w="11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(63,099)</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(57,550)</w:t>
            </w:r>
          </w:p>
        </w:tc>
      </w:tr>
      <w:tr>
        <w:trPr>
          <w:trHeight w:val="135"/>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b w:val="1"/>
                <w:bCs w:val="1"/>
                <w:color w:val="auto"/>
              </w:rPr>
              <w:t>Income from continuing operations......................</w:t>
            </w:r>
          </w:p>
        </w:tc>
        <w:tc>
          <w:tcPr>
            <w:tcW w:w="480" w:type="dxa"/>
            <w:vAlign w:val="bottom"/>
          </w:tcPr>
          <w:p>
            <w:pPr>
              <w:spacing w:after="0"/>
              <w:rPr>
                <w:sz w:val="11"/>
                <w:szCs w:val="11"/>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46,397</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36,255</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128,170</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101,078</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color w:val="auto"/>
              </w:rPr>
              <w:t>Loss from discontinued operations .....................</w:t>
            </w:r>
          </w:p>
        </w:tc>
        <w:tc>
          <w:tcPr>
            <w:tcW w:w="480" w:type="dxa"/>
            <w:vAlign w:val="bottom"/>
          </w:tcPr>
          <w:p>
            <w:pPr>
              <w:spacing w:after="0"/>
              <w:rPr>
                <w:sz w:val="11"/>
                <w:szCs w:val="11"/>
                <w:color w:val="auto"/>
              </w:rPr>
            </w:pPr>
          </w:p>
        </w:tc>
        <w:tc>
          <w:tcPr>
            <w:tcW w:w="7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(149)</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(95)</w:t>
            </w:r>
          </w:p>
        </w:tc>
      </w:tr>
      <w:tr>
        <w:trPr>
          <w:trHeight w:val="135"/>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w:t>
            </w: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46,397</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36,106</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128,170</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100,983</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color w:val="auto"/>
              </w:rPr>
              <w:t>Preferred unit requirement.............................</w:t>
            </w:r>
          </w:p>
        </w:tc>
        <w:tc>
          <w:tcPr>
            <w:tcW w:w="480" w:type="dxa"/>
            <w:vAlign w:val="bottom"/>
          </w:tcPr>
          <w:p>
            <w:pPr>
              <w:spacing w:after="0"/>
              <w:rPr>
                <w:sz w:val="11"/>
                <w:szCs w:val="11"/>
                <w:color w:val="auto"/>
              </w:rPr>
            </w:pPr>
          </w:p>
        </w:tc>
        <w:tc>
          <w:tcPr>
            <w:tcW w:w="7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(3,722)</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(8,314)</w:t>
            </w:r>
          </w:p>
        </w:tc>
      </w:tr>
      <w:tr>
        <w:trPr>
          <w:trHeight w:val="135"/>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available to common unitholders</w:t>
            </w:r>
            <w:r>
              <w:rPr>
                <w:rFonts w:ascii="Courier New" w:cs="Courier New" w:eastAsia="Courier New" w:hAnsi="Courier New"/>
                <w:sz w:val="12"/>
                <w:szCs w:val="12"/>
                <w:color w:val="auto"/>
              </w:rPr>
              <w:t>.............</w:t>
            </w:r>
          </w:p>
        </w:tc>
        <w:tc>
          <w:tcPr>
            <w:tcW w:w="1220" w:type="dxa"/>
            <w:vAlign w:val="bottom"/>
            <w:gridSpan w:val="2"/>
          </w:tcPr>
          <w:p>
            <w:pPr>
              <w:jc w:val="right"/>
              <w:ind w:right="159"/>
              <w:spacing w:after="0"/>
              <w:rPr>
                <w:sz w:val="20"/>
                <w:szCs w:val="20"/>
                <w:color w:val="auto"/>
              </w:rPr>
            </w:pPr>
            <w:r>
              <w:rPr>
                <w:rFonts w:ascii="Courier New" w:cs="Courier New" w:eastAsia="Courier New" w:hAnsi="Courier New"/>
                <w:sz w:val="12"/>
                <w:szCs w:val="12"/>
                <w:b w:val="1"/>
                <w:bCs w:val="1"/>
                <w:color w:val="auto"/>
              </w:rPr>
              <w:t>$ 46,397</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$ 32,384</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$128,170</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$ 92,669</w:t>
            </w:r>
          </w:p>
        </w:tc>
      </w:tr>
      <w:tr>
        <w:trPr>
          <w:trHeight w:val="137"/>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412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to common unitholders:</w:t>
            </w: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color w:val="auto"/>
              </w:rPr>
              <w:t>General partner........................................</w:t>
            </w:r>
          </w:p>
        </w:tc>
        <w:tc>
          <w:tcPr>
            <w:tcW w:w="4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464</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$ 27,844</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$ 57,604</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$79,588</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color w:val="auto"/>
              </w:rPr>
              <w:t>Limited partners.......................................</w:t>
            </w:r>
          </w:p>
        </w:tc>
        <w:tc>
          <w:tcPr>
            <w:tcW w:w="480" w:type="dxa"/>
            <w:vAlign w:val="bottom"/>
          </w:tcPr>
          <w:p>
            <w:pPr>
              <w:spacing w:after="0"/>
              <w:rPr>
                <w:sz w:val="11"/>
                <w:szCs w:val="11"/>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45,933</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4,540</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70,566</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13,081</w:t>
            </w:r>
          </w:p>
        </w:tc>
      </w:tr>
      <w:tr>
        <w:trPr>
          <w:trHeight w:val="135"/>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2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r>
              <w:rPr>
                <w:rFonts w:ascii="Courier New" w:cs="Courier New" w:eastAsia="Courier New" w:hAnsi="Courier New"/>
                <w:sz w:val="12"/>
                <w:szCs w:val="12"/>
                <w:color w:val="auto"/>
              </w:rPr>
              <w:t>..................................................</w:t>
            </w:r>
          </w:p>
        </w:tc>
        <w:tc>
          <w:tcPr>
            <w:tcW w:w="1220" w:type="dxa"/>
            <w:vAlign w:val="bottom"/>
            <w:gridSpan w:val="2"/>
          </w:tcPr>
          <w:p>
            <w:pPr>
              <w:jc w:val="right"/>
              <w:ind w:right="159"/>
              <w:spacing w:after="0"/>
              <w:rPr>
                <w:sz w:val="20"/>
                <w:szCs w:val="20"/>
                <w:color w:val="auto"/>
              </w:rPr>
            </w:pPr>
            <w:r>
              <w:rPr>
                <w:rFonts w:ascii="Courier New" w:cs="Courier New" w:eastAsia="Courier New" w:hAnsi="Courier New"/>
                <w:sz w:val="12"/>
                <w:szCs w:val="12"/>
                <w:b w:val="1"/>
                <w:bCs w:val="1"/>
                <w:color w:val="auto"/>
              </w:rPr>
              <w:t>$ 46,397</w:t>
            </w:r>
          </w:p>
        </w:tc>
        <w:tc>
          <w:tcPr>
            <w:tcW w:w="12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$32,384</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$128,170</w:t>
            </w:r>
          </w:p>
        </w:tc>
        <w:tc>
          <w:tcPr>
            <w:tcW w:w="1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$92,669</w:t>
            </w:r>
          </w:p>
        </w:tc>
      </w:tr>
      <w:tr>
        <w:trPr>
          <w:trHeight w:val="137"/>
        </w:trPr>
        <w:tc>
          <w:tcPr>
            <w:tcW w:w="4120" w:type="dxa"/>
            <w:vAlign w:val="bottom"/>
          </w:tcPr>
          <w:p>
            <w:pPr>
              <w:spacing w:after="0"/>
              <w:rPr>
                <w:sz w:val="11"/>
                <w:szCs w:val="11"/>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19"/>
        <w:spacing w:after="0" w:line="230" w:lineRule="auto"/>
        <w:rPr>
          <w:sz w:val="20"/>
          <w:szCs w:val="20"/>
          <w:color w:val="auto"/>
        </w:rPr>
      </w:pPr>
      <w:r>
        <w:rPr>
          <w:rFonts w:ascii="Arial" w:cs="Arial" w:eastAsia="Arial" w:hAnsi="Arial"/>
          <w:sz w:val="22"/>
          <w:szCs w:val="22"/>
          <w:b w:val="1"/>
          <w:bCs w:val="1"/>
          <w:color w:val="auto"/>
        </w:rPr>
        <w:t>for the Nine Months Ended September 30, 2005 and 2004</w:t>
      </w:r>
    </w:p>
    <w:p>
      <w:pPr>
        <w:jc w:val="center"/>
        <w:ind w:right="-119"/>
        <w:spacing w:after="0" w:line="231" w:lineRule="auto"/>
        <w:rPr>
          <w:sz w:val="20"/>
          <w:szCs w:val="20"/>
          <w:color w:val="auto"/>
        </w:rPr>
      </w:pPr>
      <w:r>
        <w:rPr>
          <w:rFonts w:ascii="Arial" w:cs="Arial" w:eastAsia="Arial" w:hAnsi="Arial"/>
          <w:sz w:val="22"/>
          <w:szCs w:val="22"/>
          <w:b w:val="1"/>
          <w:bCs w:val="1"/>
          <w:i w:val="1"/>
          <w:iCs w:val="1"/>
          <w:color w:val="auto"/>
        </w:rPr>
        <w:t>(Unaudited)</w:t>
      </w:r>
    </w:p>
    <w:p>
      <w:pPr>
        <w:jc w:val="center"/>
        <w:ind w:right="-119"/>
        <w:spacing w:after="0"/>
        <w:rPr>
          <w:sz w:val="20"/>
          <w:szCs w:val="20"/>
          <w:color w:val="auto"/>
        </w:rPr>
      </w:pPr>
      <w:r>
        <w:rPr>
          <w:rFonts w:ascii="Arial" w:cs="Arial" w:eastAsia="Arial" w:hAnsi="Arial"/>
          <w:sz w:val="22"/>
          <w:szCs w:val="22"/>
          <w:b w:val="1"/>
          <w:bCs w:val="1"/>
          <w:color w:val="auto"/>
        </w:rPr>
        <w:t>(In thousands)</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4720" w:type="dxa"/>
            <w:vAlign w:val="bottom"/>
          </w:tcPr>
          <w:p>
            <w:pPr>
              <w:spacing w:after="0"/>
              <w:rPr>
                <w:sz w:val="11"/>
                <w:szCs w:val="11"/>
                <w:color w:val="auto"/>
              </w:rPr>
            </w:pP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2005</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2004</w:t>
            </w:r>
          </w:p>
        </w:tc>
        <w:tc>
          <w:tcPr>
            <w:tcW w:w="0" w:type="dxa"/>
            <w:vAlign w:val="bottom"/>
          </w:tcPr>
          <w:p>
            <w:pPr>
              <w:spacing w:after="0"/>
              <w:rPr>
                <w:sz w:val="1"/>
                <w:szCs w:val="1"/>
                <w:color w:val="auto"/>
              </w:rPr>
            </w:pPr>
          </w:p>
        </w:tc>
      </w:tr>
      <w:tr>
        <w:trPr>
          <w:trHeight w:val="137"/>
        </w:trPr>
        <w:tc>
          <w:tcPr>
            <w:tcW w:w="472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Cash flows from operating activities</w:t>
            </w:r>
          </w:p>
        </w:tc>
        <w:tc>
          <w:tcPr>
            <w:tcW w:w="14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38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472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$128,170</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$100,983</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income to net cash</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ind w:right="2019"/>
              <w:spacing w:after="0"/>
              <w:rPr>
                <w:sz w:val="20"/>
                <w:szCs w:val="20"/>
                <w:color w:val="auto"/>
              </w:rPr>
            </w:pPr>
            <w:r>
              <w:rPr>
                <w:rFonts w:ascii="Courier New" w:cs="Courier New" w:eastAsia="Courier New" w:hAnsi="Courier New"/>
                <w:sz w:val="12"/>
                <w:szCs w:val="12"/>
                <w:color w:val="auto"/>
              </w:rPr>
              <w:t>provided by operating activities:</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Depreciation and amortization................................</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57,498</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54,150</w:t>
            </w:r>
          </w:p>
        </w:tc>
        <w:tc>
          <w:tcPr>
            <w:tcW w:w="0" w:type="dxa"/>
            <w:vAlign w:val="bottom"/>
          </w:tcPr>
          <w:p>
            <w:pPr>
              <w:spacing w:after="0"/>
              <w:rPr>
                <w:sz w:val="1"/>
                <w:szCs w:val="1"/>
                <w:color w:val="auto"/>
              </w:rPr>
            </w:pPr>
          </w:p>
        </w:tc>
      </w:tr>
      <w:tr>
        <w:trPr>
          <w:trHeight w:val="135"/>
        </w:trPr>
        <w:tc>
          <w:tcPr>
            <w:tcW w:w="472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Equity in earnings of unconsolidated investments</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in excess of distributions..............................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(5,019)</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(3,899)</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Gain on sale of assets........................................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(331)</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leasing costs...........................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(396)</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(1,278)</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Other ........................................................</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(312)</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(1,382)</w:t>
            </w:r>
          </w:p>
        </w:tc>
        <w:tc>
          <w:tcPr>
            <w:tcW w:w="0" w:type="dxa"/>
            <w:vAlign w:val="bottom"/>
          </w:tcPr>
          <w:p>
            <w:pPr>
              <w:spacing w:after="0"/>
              <w:rPr>
                <w:sz w:val="1"/>
                <w:szCs w:val="1"/>
                <w:color w:val="auto"/>
              </w:rPr>
            </w:pPr>
          </w:p>
        </w:tc>
      </w:tr>
      <w:tr>
        <w:trPr>
          <w:trHeight w:val="135"/>
        </w:trPr>
        <w:tc>
          <w:tcPr>
            <w:tcW w:w="4720" w:type="dxa"/>
            <w:vAlign w:val="bottom"/>
          </w:tcPr>
          <w:p>
            <w:pPr>
              <w:jc w:val="right"/>
              <w:ind w:right="2019"/>
              <w:spacing w:after="0"/>
              <w:rPr>
                <w:sz w:val="20"/>
                <w:szCs w:val="20"/>
                <w:color w:val="auto"/>
              </w:rPr>
            </w:pPr>
            <w:r>
              <w:rPr>
                <w:rFonts w:ascii="Courier New" w:cs="Courier New" w:eastAsia="Courier New" w:hAnsi="Courier New"/>
                <w:sz w:val="12"/>
                <w:szCs w:val="12"/>
                <w:color w:val="auto"/>
              </w:rPr>
              <w:t>Changes in assets and liabilities:</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Straight-line rent......................................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(4,655)</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(4,852)</w:t>
            </w:r>
          </w:p>
        </w:tc>
        <w:tc>
          <w:tcPr>
            <w:tcW w:w="0" w:type="dxa"/>
            <w:vAlign w:val="bottom"/>
          </w:tcPr>
          <w:p>
            <w:pPr>
              <w:spacing w:after="0"/>
              <w:rPr>
                <w:sz w:val="1"/>
                <w:szCs w:val="1"/>
                <w:color w:val="auto"/>
              </w:rPr>
            </w:pPr>
          </w:p>
        </w:tc>
      </w:tr>
      <w:tr>
        <w:trPr>
          <w:trHeight w:val="135"/>
        </w:trPr>
        <w:tc>
          <w:tcPr>
            <w:tcW w:w="4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Due to affiliates.....................................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83</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2,693</w:t>
            </w:r>
          </w:p>
        </w:tc>
        <w:tc>
          <w:tcPr>
            <w:tcW w:w="0" w:type="dxa"/>
            <w:vAlign w:val="bottom"/>
          </w:tcPr>
          <w:p>
            <w:pPr>
              <w:spacing w:after="0"/>
              <w:rPr>
                <w:sz w:val="1"/>
                <w:szCs w:val="1"/>
                <w:color w:val="auto"/>
              </w:rPr>
            </w:pPr>
          </w:p>
        </w:tc>
      </w:tr>
      <w:tr>
        <w:trPr>
          <w:trHeight w:val="135"/>
        </w:trPr>
        <w:tc>
          <w:tcPr>
            <w:tcW w:w="4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Other assets..........................................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(11,782)</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5,753</w:t>
            </w:r>
          </w:p>
        </w:tc>
        <w:tc>
          <w:tcPr>
            <w:tcW w:w="0" w:type="dxa"/>
            <w:vAlign w:val="bottom"/>
          </w:tcPr>
          <w:p>
            <w:pPr>
              <w:spacing w:after="0"/>
              <w:rPr>
                <w:sz w:val="1"/>
                <w:szCs w:val="1"/>
                <w:color w:val="auto"/>
              </w:rPr>
            </w:pPr>
          </w:p>
        </w:tc>
      </w:tr>
      <w:tr>
        <w:trPr>
          <w:trHeight w:val="135"/>
        </w:trPr>
        <w:tc>
          <w:tcPr>
            <w:tcW w:w="4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Accounts payable and other liabilities................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14,402</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3,353</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cash provided by operating activities</w:t>
            </w:r>
            <w:r>
              <w:rPr>
                <w:rFonts w:ascii="Courier New" w:cs="Courier New" w:eastAsia="Courier New" w:hAnsi="Courier New"/>
                <w:sz w:val="12"/>
                <w:szCs w:val="12"/>
                <w:color w:val="auto"/>
              </w:rPr>
              <w:t>.......................</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177,658</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155,521</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investing activities</w:t>
            </w: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rental properties..................................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(68,624)</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(162,868)</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Net proceeds from sale of center................................</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3,831</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2,087</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Reductions from (additions to) investments in and advances to</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unconsolidated affiliates......................................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3,235</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(33,790)</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20"/>
                <w:szCs w:val="20"/>
                <w:color w:val="auto"/>
              </w:rPr>
            </w:pPr>
            <w:r>
              <w:rPr>
                <w:rFonts w:ascii="Courier New" w:cs="Courier New" w:eastAsia="Courier New" w:hAnsi="Courier New"/>
                <w:sz w:val="12"/>
                <w:szCs w:val="12"/>
                <w:color w:val="auto"/>
              </w:rPr>
              <w:t>Distributions from investments in unconsolidated</w:t>
            </w: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affiliates in excess of earnings..........................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8,270</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1,474</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Payments from related parties...................................</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3,665</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development costs.........................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(608)</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(729)</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cash used in investing activities</w:t>
            </w:r>
            <w:r>
              <w:rPr>
                <w:rFonts w:ascii="Courier New" w:cs="Courier New" w:eastAsia="Courier New" w:hAnsi="Courier New"/>
                <w:sz w:val="12"/>
                <w:szCs w:val="12"/>
                <w:color w:val="auto"/>
              </w:rPr>
              <w: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(53,896)</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(190,161)</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financing activities</w:t>
            </w: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Debt proceeds...................................................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58,261</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276,284</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Debt repayment..................................................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(87,753)</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(176,420)</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Net proceeds from sale of the OP's common units.................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7,669</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Distributions...................................................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(106,500)</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(72,633)</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Net proceeds from sale of the preferred units...................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64,805</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Redemption of preferred units...................................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(65,000)</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Loans to related parties........................................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(5,382)</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Repayments from related parties.................................</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2,375</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financing costs...........................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(104)</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(1,408)</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Net cash (used in) provided by financing activities</w:t>
            </w:r>
            <w:r>
              <w:rPr>
                <w:rFonts w:ascii="Courier New" w:cs="Courier New" w:eastAsia="Courier New" w:hAnsi="Courier New"/>
                <w:sz w:val="12"/>
                <w:szCs w:val="12"/>
                <w:color w:val="auto"/>
              </w:rPr>
              <w:t>.............</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(139,103)</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33,297</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Net decrease in cash and cash equivalents.......................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(15,341)</w:t>
            </w:r>
          </w:p>
        </w:tc>
        <w:tc>
          <w:tcPr>
            <w:tcW w:w="13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(1,343)</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color w:val="auto"/>
              </w:rPr>
              <w:t>Cash and cash equivalents, beginning of period..................</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33,362</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18,476</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Cash and cash equivalents, end of period</w:t>
            </w:r>
            <w:r>
              <w:rPr>
                <w:rFonts w:ascii="Courier New" w:cs="Courier New" w:eastAsia="Courier New" w:hAnsi="Courier New"/>
                <w:sz w:val="12"/>
                <w:szCs w:val="12"/>
                <w:color w:val="auto"/>
              </w:rPr>
              <w:t>........................</w:t>
            </w:r>
          </w:p>
        </w:tc>
        <w:tc>
          <w:tcPr>
            <w:tcW w:w="142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$ 18,021</w:t>
            </w:r>
          </w:p>
        </w:tc>
        <w:tc>
          <w:tcPr>
            <w:tcW w:w="13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$ 17,133</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CPG Partners, L.P., a Delaware limited partnership, (the "Operating Partnership" or "OP") is owned by its sole general partner, Chelsea Property Group, Inc. (the "Company") and its limited partners, Simon Property Group, L.P., ("Simon") and CPG Holdings LLC in the following percentages:</w:t>
      </w:r>
    </w:p>
    <w:p>
      <w:pPr>
        <w:sectPr>
          <w:pgSz w:w="11900" w:h="16838" w:orient="portrait"/>
          <w:cols w:equalWidth="0" w:num="1">
            <w:col w:w="11300"/>
          </w:cols>
          <w:pgMar w:left="240" w:top="132" w:right="359" w:bottom="1" w:gutter="0" w:footer="0" w:header="0"/>
        </w:sectPr>
      </w:pPr>
    </w:p>
    <w:bookmarkStart w:id="3" w:name="page4"/>
    <w:bookmarkEnd w:id="3"/>
    <w:tbl>
      <w:tblPr>
        <w:tblLayout w:type="fixed"/>
        <w:tblInd w:w="148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b w:val="1"/>
                <w:bCs w:val="1"/>
                <w:color w:val="auto"/>
              </w:rPr>
              <w:t>Capital</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b w:val="1"/>
                <w:bCs w:val="1"/>
                <w:color w:val="auto"/>
              </w:rPr>
              <w:t>Profits</w:t>
            </w:r>
          </w:p>
        </w:tc>
      </w:tr>
      <w:tr>
        <w:trPr>
          <w:trHeight w:val="203"/>
        </w:trPr>
        <w:tc>
          <w:tcPr>
            <w:tcW w:w="390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Partner</w:t>
            </w:r>
          </w:p>
        </w:tc>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Chelsea Property Group, Inc.</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50.100%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Limited Partners</w:t>
            </w:r>
          </w:p>
        </w:tc>
        <w:tc>
          <w:tcPr>
            <w:tcW w:w="2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Simon Property Group, LP</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14.011%</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14.011%</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CPG Holdings LLC</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35.889%</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84.989%</w:t>
            </w:r>
          </w:p>
        </w:tc>
      </w:tr>
      <w:tr>
        <w:trPr>
          <w:trHeight w:val="203"/>
        </w:trPr>
        <w:tc>
          <w:tcPr>
            <w:tcW w:w="390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b w:val="1"/>
                <w:bCs w:val="1"/>
                <w:color w:val="auto"/>
              </w:rPr>
              <w:t>Total</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100.000%</w:t>
            </w:r>
          </w:p>
        </w:tc>
      </w:tr>
    </w:tbl>
    <w:p>
      <w:pPr>
        <w:spacing w:after="0" w:line="197"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On June 1, 2005, the Company reorganized its capital structure, whereby Chelsea Property Group, Inc., in a partial liquidation transferred a portion of its capital and profit interests to the newly formed limited partner, CPG Holdings LLC.</w:t>
      </w:r>
    </w:p>
    <w:p>
      <w:pPr>
        <w:spacing w:after="0" w:line="105"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The OP specializes in owning, developing, leasing, marketing and managing upscale and fashion-oriented manufacturers’ outlet centers including its trademarked Premium Outlet® Centers. As of September 30, 2005, the OP wholly or partially-owned 61 centers in 30 states, Japan and Mexico containing approximately 17.3 million square feet of gross leasable area (“GLA”); the OP’s portfolio comprised 42 domestic and international outlet centers containing 14.9 million square feet of GLA (the “Outlet Centers”) and 19 other centers containing approximately 2.4 million square feet of GLA (“Other Retail”) (collectively the “Properties”). The Outlet Centers generated approximately 97% of the OP’s real estate net operating income for the nine months ended September 30, 2005, and 2004. The Outlet Centers generally are located near metropolitan areas including New York City, Los Angeles, Chicago, Boston, Washington, D.C., San Francisco, Sacramento, Atlanta, Dallas, Seattle, Mexico City, Mexico and Tokyo, Osaka and Nagoya, Japan. Some Outlet Centers are also located within 20 miles of major tourist destinations including Palm Springs, Napa Valley, Orlando, Las Vegas and Honolulu</w:t>
      </w:r>
      <w:r>
        <w:rPr>
          <w:rFonts w:ascii="Arial" w:cs="Arial" w:eastAsia="Arial" w:hAnsi="Arial"/>
          <w:sz w:val="19"/>
          <w:szCs w:val="19"/>
          <w:b w:val="1"/>
          <w:bCs w:val="1"/>
          <w:color w:val="auto"/>
        </w:rPr>
        <w:t>.</w:t>
      </w:r>
    </w:p>
    <w:p>
      <w:pPr>
        <w:spacing w:after="0" w:line="162" w:lineRule="exact"/>
        <w:rPr>
          <w:sz w:val="20"/>
          <w:szCs w:val="20"/>
          <w:color w:val="auto"/>
        </w:rPr>
      </w:pPr>
    </w:p>
    <w:p>
      <w:pPr>
        <w:ind w:right="880"/>
        <w:spacing w:after="0" w:line="251" w:lineRule="auto"/>
        <w:rPr>
          <w:sz w:val="20"/>
          <w:szCs w:val="20"/>
          <w:color w:val="auto"/>
        </w:rPr>
      </w:pPr>
      <w:r>
        <w:rPr>
          <w:rFonts w:ascii="Arial" w:cs="Arial" w:eastAsia="Arial" w:hAnsi="Arial"/>
          <w:sz w:val="22"/>
          <w:szCs w:val="22"/>
          <w:color w:val="auto"/>
        </w:rPr>
        <w:t>The consolidated financial statements contain the accounts of the Operating Partnership and its corporate subsidiaries. All significant intercompany transactions and accounts have been eliminated in consolidation.</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fair presentation have been included. Operating results for the nine months ended September 30, 2005, are not necessarily indicative of the results that may be expected for the year ending December 31, 2005. The balance sheet at December 31, 2004 has been derived from the audited financial statements at that date but does not include all of the information and footnotes required by accounting principles generally accepted in the United States for complete financial statements. These financial statements should be read in conjunction with the consolidated financial statements and accompanying notes included in the OP’s Annual Report on Form 10-K for the year ended December 31, 2004.</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Certain amounts in the prior period financial statements have been reclassified to conform to current period presentation.</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Dispositions</w:t>
      </w:r>
    </w:p>
    <w:p>
      <w:pPr>
        <w:spacing w:after="0" w:line="212"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In March 2005, the OP sold Lakeland Factory Outlet Mall, a 319,000 square-foot center located in Lakeland, Tennessee. Net proceeds from the sale of the center were approximately $3.8 million, the net book value was $3.5 million and the OP recognized a $0.3 million gain which is included in other income in the accompanying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w:t>
      </w:r>
    </w:p>
    <w:p>
      <w:pPr>
        <w:spacing w:after="0" w:line="212"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The OP holds interests in several domestic and international joint ventures. Non-controlling investments are accounted for under the equity method. Equity in earnings or losses of these affiliates, and related management, advisory, license, leasing and guarantee fees earned, are included in income from unconsolidated investments in the accompanying financial statements.</w:t>
      </w:r>
    </w:p>
    <w:p>
      <w:pPr>
        <w:spacing w:after="0" w:line="134" w:lineRule="exact"/>
        <w:rPr>
          <w:sz w:val="20"/>
          <w:szCs w:val="20"/>
          <w:color w:val="auto"/>
        </w:rPr>
      </w:pPr>
    </w:p>
    <w:p>
      <w:pPr>
        <w:ind w:right="420"/>
        <w:spacing w:after="0" w:line="252" w:lineRule="auto"/>
        <w:rPr>
          <w:sz w:val="20"/>
          <w:szCs w:val="20"/>
          <w:color w:val="auto"/>
        </w:rPr>
      </w:pPr>
      <w:r>
        <w:rPr>
          <w:rFonts w:ascii="Arial" w:cs="Arial" w:eastAsia="Arial" w:hAnsi="Arial"/>
          <w:sz w:val="21"/>
          <w:szCs w:val="21"/>
          <w:color w:val="auto"/>
        </w:rPr>
        <w:t>At September 30, 2005, the OP’s interests in joint ventures included a 50% interest in Las Vegas Premium Outlets and a 50% interest in Chicago Premium Outlets with Simon (collectively “Simon Ventures”); a 40% interest in Chelsea Japan Co., Ltd. (“Chelsea Japan”); a 50% interest in Premium Outlets Punta Norte (“Chelsea Mexico”); and minority interests in various outlet centers and development projects in Europe operated by Value Retail PLC (“Value Retail”).</w:t>
      </w:r>
    </w:p>
    <w:p>
      <w:pPr>
        <w:spacing w:after="0" w:line="174"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In March 2005, Chelsea Japan opened its fifth project, the 178,000 square-foot first phase of Toki Premium Outlets located near Nagoya, Japan. Chelsea Japan owns and operates four other centers: Gotemba Premium Outlets, a 390,000 square-foot property located 60 miles west of Tokyo; Rinku Premium Outlets, a 321,000 square-foot property located near Osaka; Sano Premium Outlets, a 229,000 square-foot property located about 40 miles north of Tokyo, and Tosu Premium Outlets, a 187,000 square-foot property located approximately 20 miles south of Fukuoka.</w:t>
      </w:r>
    </w:p>
    <w:p>
      <w:pPr>
        <w:spacing w:after="0" w:line="179"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In August 2002, the OP and Simon entered into a 50/50 joint venture to develop and operate Chicago Premium Outlets, a 438,000 square-foot single-phase Premium Outlet center located in Aurora, Illinois, which opened in May 2004.</w:t>
      </w:r>
    </w:p>
    <w:p>
      <w:pPr>
        <w:sectPr>
          <w:pgSz w:w="11900" w:h="16838" w:orient="portrait"/>
          <w:cols w:equalWidth="0" w:num="1">
            <w:col w:w="11420"/>
          </w:cols>
          <w:pgMar w:left="240" w:top="136" w:right="239" w:bottom="0" w:gutter="0" w:footer="0" w:header="0"/>
        </w:sectPr>
      </w:pPr>
    </w:p>
    <w:bookmarkStart w:id="4" w:name="page5"/>
    <w:bookmarkEnd w:id="4"/>
    <w:p>
      <w:pPr>
        <w:spacing w:after="0" w:line="14"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In June 2002, the OP and Simon entered into a 50/50 joint venture to develop and operate Las Vegas Premium Outlets, a 435,000 square-foot single-phase outlet center located in Las Vegas, Nevada, which opened in August 2003.</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 May 2002, the OP entered into a 50/50 joint venture agreement with Sordo Madaleno y Asociados and affiliates to jointly develop Premium Outlet centers in Mexico. In December 2004, the joint venture opened its first project; a 232,000 square-foot first phase of Premium Outlets Punta Norte, located near Mexico City. In February 2005, the OP repaid the outstanding balance of the 180 million peso-denominated credit facility entered into by a wholly owned subsidiary of the OP. The revolving facility, guaranteed by the Company and OP, is available to fund the OP’s share of construction costs for projects in Mexico.</w:t>
      </w:r>
    </w:p>
    <w:p>
      <w:pPr>
        <w:spacing w:after="0" w:line="148"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The OP has minority interests ranging from 3% to 8% in several outlet centers and outlet development projects in Europe. The OP’s total investment in Europe as of September 30, 2005 was $3.6 million.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investments in and amounts due to/from affiliates at September 30, 2005 (in thousands):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Simon</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Chelsea</w:t>
            </w:r>
          </w:p>
        </w:tc>
        <w:tc>
          <w:tcPr>
            <w:tcW w:w="110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Chelsea</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Ventures</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Japan</w:t>
            </w:r>
          </w:p>
        </w:tc>
        <w:tc>
          <w:tcPr>
            <w:tcW w:w="110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Mexico</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Other</w:t>
            </w:r>
          </w:p>
        </w:tc>
        <w:tc>
          <w:tcPr>
            <w:tcW w:w="108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Balance December 31, 2004..............</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$103,252</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$26,783</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$15,874</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$3,722</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$149,631</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Additional investment...............</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156</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203</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362</w:t>
            </w:r>
          </w:p>
        </w:tc>
      </w:tr>
      <w:tr>
        <w:trPr>
          <w:trHeight w:val="270"/>
        </w:trPr>
        <w:tc>
          <w:tcPr>
            <w:tcW w:w="31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Income from unconsolidated investments</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9,263</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10,515</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58</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19,836</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Distributions and fees..............</w:t>
            </w: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(17,532)</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(5,888)</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(76)</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(23,496)</w:t>
            </w:r>
          </w:p>
        </w:tc>
      </w:tr>
      <w:tr>
        <w:trPr>
          <w:trHeight w:val="270"/>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Foreign exchange....................</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(798)</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441</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(357)</w:t>
            </w:r>
          </w:p>
        </w:tc>
      </w:tr>
      <w:tr>
        <w:trPr>
          <w:trHeight w:val="268"/>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Advances (net) .....................</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221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(4,067)</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(3,891)</w:t>
            </w:r>
          </w:p>
        </w:tc>
      </w:tr>
      <w:tr>
        <w:trPr>
          <w:trHeight w:val="137"/>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1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Balance September 30, 2005.............</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$95,204</w:t>
            </w:r>
          </w:p>
        </w:tc>
        <w:tc>
          <w:tcPr>
            <w:tcW w:w="11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$26,701</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$16,500</w:t>
            </w:r>
          </w:p>
        </w:tc>
        <w:tc>
          <w:tcPr>
            <w:tcW w:w="10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$3,680</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$142,085</w:t>
            </w:r>
          </w:p>
        </w:tc>
      </w:tr>
      <w:tr>
        <w:trPr>
          <w:trHeight w:val="137"/>
        </w:trPr>
        <w:tc>
          <w:tcPr>
            <w:tcW w:w="3180" w:type="dxa"/>
            <w:vAlign w:val="bottom"/>
          </w:tcPr>
          <w:p>
            <w:pPr>
              <w:spacing w:after="0"/>
              <w:rPr>
                <w:sz w:val="11"/>
                <w:szCs w:val="11"/>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OP’s share of income before depreciation, depreciation expense and income from unconsolidated investments for the three and nine months ended September 30, 2005 and 2004, is as follows (in thousands):</w:t>
      </w:r>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gridSpan w:val="2"/>
          </w:tcPr>
          <w:p>
            <w:pPr>
              <w:ind w:left="400"/>
              <w:spacing w:after="0"/>
              <w:rPr>
                <w:sz w:val="20"/>
                <w:szCs w:val="20"/>
                <w:color w:val="auto"/>
              </w:rPr>
            </w:pPr>
            <w:r>
              <w:rPr>
                <w:rFonts w:ascii="Courier New" w:cs="Courier New" w:eastAsia="Courier New" w:hAnsi="Courier New"/>
                <w:sz w:val="12"/>
                <w:szCs w:val="12"/>
                <w:b w:val="1"/>
                <w:bCs w:val="1"/>
                <w:color w:val="auto"/>
              </w:rPr>
              <w:t>Three Months Ended September 30,</w:t>
            </w: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2005</w:t>
            </w:r>
          </w:p>
        </w:tc>
        <w:tc>
          <w:tcPr>
            <w:tcW w:w="1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0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2004</w:t>
            </w:r>
          </w:p>
        </w:tc>
        <w:tc>
          <w:tcPr>
            <w:tcW w:w="160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jc w:val="center"/>
              <w:ind w:left="39"/>
              <w:spacing w:after="0"/>
              <w:rPr>
                <w:sz w:val="20"/>
                <w:szCs w:val="20"/>
                <w:color w:val="auto"/>
              </w:rPr>
            </w:pPr>
            <w:r>
              <w:rPr>
                <w:rFonts w:ascii="Courier New" w:cs="Courier New" w:eastAsia="Courier New" w:hAnsi="Courier New"/>
                <w:sz w:val="12"/>
                <w:szCs w:val="12"/>
                <w:b w:val="1"/>
                <w:bCs w:val="1"/>
                <w:color w:val="auto"/>
              </w:rPr>
              <w:t>Income</w:t>
            </w:r>
          </w:p>
        </w:tc>
        <w:tc>
          <w:tcPr>
            <w:tcW w:w="1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jc w:val="center"/>
              <w:ind w:right="379"/>
              <w:spacing w:after="0"/>
              <w:rPr>
                <w:sz w:val="20"/>
                <w:szCs w:val="20"/>
                <w:color w:val="auto"/>
              </w:rPr>
            </w:pPr>
            <w:r>
              <w:rPr>
                <w:rFonts w:ascii="Courier New" w:cs="Courier New" w:eastAsia="Courier New" w:hAnsi="Courier New"/>
                <w:sz w:val="12"/>
                <w:szCs w:val="12"/>
                <w:b w:val="1"/>
                <w:bCs w:val="1"/>
                <w:color w:val="auto"/>
              </w:rPr>
              <w:t>Income</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Income</w:t>
            </w:r>
          </w:p>
        </w:tc>
        <w:tc>
          <w:tcPr>
            <w:tcW w:w="840" w:type="dxa"/>
            <w:vAlign w:val="bottom"/>
          </w:tcPr>
          <w:p>
            <w:pPr>
              <w:spacing w:after="0"/>
              <w:rPr>
                <w:sz w:val="11"/>
                <w:szCs w:val="11"/>
                <w:color w:val="auto"/>
              </w:rPr>
            </w:pPr>
          </w:p>
        </w:tc>
        <w:tc>
          <w:tcPr>
            <w:tcW w:w="1580" w:type="dxa"/>
            <w:vAlign w:val="bottom"/>
          </w:tcPr>
          <w:p>
            <w:pPr>
              <w:ind w:left="400"/>
              <w:spacing w:after="0"/>
              <w:rPr>
                <w:sz w:val="20"/>
                <w:szCs w:val="20"/>
                <w:color w:val="auto"/>
              </w:rPr>
            </w:pPr>
            <w:r>
              <w:rPr>
                <w:rFonts w:ascii="Courier New" w:cs="Courier New" w:eastAsia="Courier New" w:hAnsi="Courier New"/>
                <w:sz w:val="12"/>
                <w:szCs w:val="12"/>
                <w:b w:val="1"/>
                <w:bCs w:val="1"/>
                <w:color w:val="auto"/>
              </w:rPr>
              <w:t>(loss) from</w:t>
            </w:r>
          </w:p>
        </w:tc>
        <w:tc>
          <w:tcPr>
            <w:tcW w:w="128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Income</w:t>
            </w:r>
          </w:p>
        </w:tc>
        <w:tc>
          <w:tcPr>
            <w:tcW w:w="900" w:type="dxa"/>
            <w:vAlign w:val="bottom"/>
          </w:tcPr>
          <w:p>
            <w:pPr>
              <w:spacing w:after="0"/>
              <w:rPr>
                <w:sz w:val="11"/>
                <w:szCs w:val="11"/>
                <w:color w:val="auto"/>
              </w:rPr>
            </w:pPr>
          </w:p>
        </w:tc>
        <w:tc>
          <w:tcPr>
            <w:tcW w:w="1600" w:type="dxa"/>
            <w:vAlign w:val="bottom"/>
          </w:tcPr>
          <w:p>
            <w:pPr>
              <w:jc w:val="center"/>
              <w:ind w:right="359"/>
              <w:spacing w:after="0"/>
              <w:rPr>
                <w:sz w:val="20"/>
                <w:szCs w:val="20"/>
                <w:color w:val="auto"/>
              </w:rPr>
            </w:pPr>
            <w:r>
              <w:rPr>
                <w:rFonts w:ascii="Courier New" w:cs="Courier New" w:eastAsia="Courier New" w:hAnsi="Courier New"/>
                <w:sz w:val="12"/>
                <w:szCs w:val="12"/>
                <w:b w:val="1"/>
                <w:bCs w:val="1"/>
                <w:color w:val="auto"/>
              </w:rPr>
              <w:t>from</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before</w:t>
            </w:r>
          </w:p>
        </w:tc>
        <w:tc>
          <w:tcPr>
            <w:tcW w:w="840" w:type="dxa"/>
            <w:vAlign w:val="bottom"/>
          </w:tcPr>
          <w:p>
            <w:pPr>
              <w:spacing w:after="0"/>
              <w:rPr>
                <w:sz w:val="11"/>
                <w:szCs w:val="11"/>
                <w:color w:val="auto"/>
              </w:rPr>
            </w:pPr>
          </w:p>
        </w:tc>
        <w:tc>
          <w:tcPr>
            <w:tcW w:w="1580" w:type="dxa"/>
            <w:vAlign w:val="bottom"/>
          </w:tcPr>
          <w:p>
            <w:pPr>
              <w:jc w:val="center"/>
              <w:ind w:left="59"/>
              <w:spacing w:after="0"/>
              <w:rPr>
                <w:sz w:val="20"/>
                <w:szCs w:val="20"/>
                <w:color w:val="auto"/>
              </w:rPr>
            </w:pPr>
            <w:r>
              <w:rPr>
                <w:rFonts w:ascii="Courier New" w:cs="Courier New" w:eastAsia="Courier New" w:hAnsi="Courier New"/>
                <w:sz w:val="12"/>
                <w:szCs w:val="12"/>
                <w:b w:val="1"/>
                <w:bCs w:val="1"/>
                <w:color w:val="auto"/>
              </w:rPr>
              <w:t>unconsolidated</w:t>
            </w:r>
          </w:p>
        </w:tc>
        <w:tc>
          <w:tcPr>
            <w:tcW w:w="128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before</w:t>
            </w:r>
          </w:p>
        </w:tc>
        <w:tc>
          <w:tcPr>
            <w:tcW w:w="900" w:type="dxa"/>
            <w:vAlign w:val="bottom"/>
          </w:tcPr>
          <w:p>
            <w:pPr>
              <w:spacing w:after="0"/>
              <w:rPr>
                <w:sz w:val="11"/>
                <w:szCs w:val="11"/>
                <w:color w:val="auto"/>
              </w:rPr>
            </w:pP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unconsolidated</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depr.</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Depr.</w:t>
            </w:r>
          </w:p>
        </w:tc>
        <w:tc>
          <w:tcPr>
            <w:tcW w:w="1580" w:type="dxa"/>
            <w:vAlign w:val="bottom"/>
          </w:tcPr>
          <w:p>
            <w:pPr>
              <w:ind w:left="400"/>
              <w:spacing w:after="0"/>
              <w:rPr>
                <w:sz w:val="20"/>
                <w:szCs w:val="20"/>
                <w:color w:val="auto"/>
              </w:rPr>
            </w:pPr>
            <w:r>
              <w:rPr>
                <w:rFonts w:ascii="Courier New" w:cs="Courier New" w:eastAsia="Courier New" w:hAnsi="Courier New"/>
                <w:sz w:val="12"/>
                <w:szCs w:val="12"/>
                <w:b w:val="1"/>
                <w:bCs w:val="1"/>
                <w:color w:val="auto"/>
              </w:rPr>
              <w:t>investments</w:t>
            </w:r>
          </w:p>
        </w:tc>
        <w:tc>
          <w:tcPr>
            <w:tcW w:w="128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depr.</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Depr.</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investments</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Japan</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$4,812</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$1,536</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$3,276</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$4,224</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$1,324</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$2,900</w:t>
            </w: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Simon Ventures</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4,208</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1,052</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3,156</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5,126</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975</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4,151</w:t>
            </w:r>
          </w:p>
        </w:tc>
      </w:tr>
      <w:tr>
        <w:trPr>
          <w:trHeight w:val="268"/>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Mexico</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181</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124</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57</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$ 9,201</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$2,712</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$6,489</w:t>
            </w:r>
          </w:p>
        </w:tc>
        <w:tc>
          <w:tcPr>
            <w:tcW w:w="128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$9,350</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$2,299</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$7,051</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r>
        <w:trPr>
          <w:trHeight w:val="403"/>
        </w:trPr>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60" w:type="dxa"/>
            <w:vAlign w:val="bottom"/>
            <w:gridSpan w:val="2"/>
          </w:tcPr>
          <w:p>
            <w:pPr>
              <w:jc w:val="right"/>
              <w:ind w:right="199"/>
              <w:spacing w:after="0"/>
              <w:rPr>
                <w:sz w:val="20"/>
                <w:szCs w:val="20"/>
                <w:color w:val="auto"/>
              </w:rPr>
            </w:pPr>
            <w:r>
              <w:rPr>
                <w:rFonts w:ascii="Courier New" w:cs="Courier New" w:eastAsia="Courier New" w:hAnsi="Courier New"/>
                <w:sz w:val="12"/>
                <w:szCs w:val="12"/>
                <w:b w:val="1"/>
                <w:bCs w:val="1"/>
                <w:color w:val="auto"/>
              </w:rPr>
              <w:t>Nine Months Ended September 30,</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2005</w:t>
            </w:r>
          </w:p>
        </w:tc>
        <w:tc>
          <w:tcPr>
            <w:tcW w:w="1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0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2004</w:t>
            </w:r>
          </w:p>
        </w:tc>
        <w:tc>
          <w:tcPr>
            <w:tcW w:w="160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580" w:type="dxa"/>
            <w:vAlign w:val="bottom"/>
            <w:gridSpan w:val="6"/>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jc w:val="center"/>
              <w:ind w:left="39"/>
              <w:spacing w:after="0"/>
              <w:rPr>
                <w:sz w:val="20"/>
                <w:szCs w:val="20"/>
                <w:color w:val="auto"/>
              </w:rPr>
            </w:pPr>
            <w:r>
              <w:rPr>
                <w:rFonts w:ascii="Courier New" w:cs="Courier New" w:eastAsia="Courier New" w:hAnsi="Courier New"/>
                <w:sz w:val="12"/>
                <w:szCs w:val="12"/>
                <w:b w:val="1"/>
                <w:bCs w:val="1"/>
                <w:color w:val="auto"/>
              </w:rPr>
              <w:t>Income</w:t>
            </w:r>
          </w:p>
        </w:tc>
        <w:tc>
          <w:tcPr>
            <w:tcW w:w="1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jc w:val="center"/>
              <w:ind w:right="379"/>
              <w:spacing w:after="0"/>
              <w:rPr>
                <w:sz w:val="20"/>
                <w:szCs w:val="20"/>
                <w:color w:val="auto"/>
              </w:rPr>
            </w:pPr>
            <w:r>
              <w:rPr>
                <w:rFonts w:ascii="Courier New" w:cs="Courier New" w:eastAsia="Courier New" w:hAnsi="Courier New"/>
                <w:sz w:val="12"/>
                <w:szCs w:val="12"/>
                <w:b w:val="1"/>
                <w:bCs w:val="1"/>
                <w:color w:val="auto"/>
              </w:rPr>
              <w:t>Income</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Income</w:t>
            </w:r>
          </w:p>
        </w:tc>
        <w:tc>
          <w:tcPr>
            <w:tcW w:w="840" w:type="dxa"/>
            <w:vAlign w:val="bottom"/>
          </w:tcPr>
          <w:p>
            <w:pPr>
              <w:spacing w:after="0"/>
              <w:rPr>
                <w:sz w:val="11"/>
                <w:szCs w:val="11"/>
                <w:color w:val="auto"/>
              </w:rPr>
            </w:pP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from</w:t>
            </w:r>
          </w:p>
        </w:tc>
        <w:tc>
          <w:tcPr>
            <w:tcW w:w="128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Income</w:t>
            </w:r>
          </w:p>
        </w:tc>
        <w:tc>
          <w:tcPr>
            <w:tcW w:w="900" w:type="dxa"/>
            <w:vAlign w:val="bottom"/>
          </w:tcPr>
          <w:p>
            <w:pPr>
              <w:spacing w:after="0"/>
              <w:rPr>
                <w:sz w:val="11"/>
                <w:szCs w:val="11"/>
                <w:color w:val="auto"/>
              </w:rPr>
            </w:pPr>
          </w:p>
        </w:tc>
        <w:tc>
          <w:tcPr>
            <w:tcW w:w="1600" w:type="dxa"/>
            <w:vAlign w:val="bottom"/>
          </w:tcPr>
          <w:p>
            <w:pPr>
              <w:jc w:val="center"/>
              <w:ind w:right="359"/>
              <w:spacing w:after="0"/>
              <w:rPr>
                <w:sz w:val="20"/>
                <w:szCs w:val="20"/>
                <w:color w:val="auto"/>
              </w:rPr>
            </w:pPr>
            <w:r>
              <w:rPr>
                <w:rFonts w:ascii="Courier New" w:cs="Courier New" w:eastAsia="Courier New" w:hAnsi="Courier New"/>
                <w:sz w:val="12"/>
                <w:szCs w:val="12"/>
                <w:b w:val="1"/>
                <w:bCs w:val="1"/>
                <w:color w:val="auto"/>
              </w:rPr>
              <w:t>from</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before</w:t>
            </w:r>
          </w:p>
        </w:tc>
        <w:tc>
          <w:tcPr>
            <w:tcW w:w="840" w:type="dxa"/>
            <w:vAlign w:val="bottom"/>
          </w:tcPr>
          <w:p>
            <w:pPr>
              <w:spacing w:after="0"/>
              <w:rPr>
                <w:sz w:val="11"/>
                <w:szCs w:val="11"/>
                <w:color w:val="auto"/>
              </w:rPr>
            </w:pPr>
          </w:p>
        </w:tc>
        <w:tc>
          <w:tcPr>
            <w:tcW w:w="1580" w:type="dxa"/>
            <w:vAlign w:val="bottom"/>
          </w:tcPr>
          <w:p>
            <w:pPr>
              <w:jc w:val="center"/>
              <w:ind w:left="59"/>
              <w:spacing w:after="0"/>
              <w:rPr>
                <w:sz w:val="20"/>
                <w:szCs w:val="20"/>
                <w:color w:val="auto"/>
              </w:rPr>
            </w:pPr>
            <w:r>
              <w:rPr>
                <w:rFonts w:ascii="Courier New" w:cs="Courier New" w:eastAsia="Courier New" w:hAnsi="Courier New"/>
                <w:sz w:val="12"/>
                <w:szCs w:val="12"/>
                <w:b w:val="1"/>
                <w:bCs w:val="1"/>
                <w:color w:val="auto"/>
              </w:rPr>
              <w:t>unconsolidated</w:t>
            </w:r>
          </w:p>
        </w:tc>
        <w:tc>
          <w:tcPr>
            <w:tcW w:w="128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before</w:t>
            </w:r>
          </w:p>
        </w:tc>
        <w:tc>
          <w:tcPr>
            <w:tcW w:w="900" w:type="dxa"/>
            <w:vAlign w:val="bottom"/>
          </w:tcPr>
          <w:p>
            <w:pPr>
              <w:spacing w:after="0"/>
              <w:rPr>
                <w:sz w:val="11"/>
                <w:szCs w:val="11"/>
                <w:color w:val="auto"/>
              </w:rPr>
            </w:pP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unconsolidated</w:t>
            </w:r>
          </w:p>
        </w:tc>
      </w:tr>
      <w:tr>
        <w:trPr>
          <w:trHeight w:val="135"/>
        </w:trPr>
        <w:tc>
          <w:tcPr>
            <w:tcW w:w="1680" w:type="dxa"/>
            <w:vAlign w:val="bottom"/>
          </w:tcPr>
          <w:p>
            <w:pPr>
              <w:spacing w:after="0"/>
              <w:rPr>
                <w:sz w:val="11"/>
                <w:szCs w:val="11"/>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depr.</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Depr.</w:t>
            </w:r>
          </w:p>
        </w:tc>
        <w:tc>
          <w:tcPr>
            <w:tcW w:w="1580" w:type="dxa"/>
            <w:vAlign w:val="bottom"/>
          </w:tcPr>
          <w:p>
            <w:pPr>
              <w:ind w:left="400"/>
              <w:spacing w:after="0"/>
              <w:rPr>
                <w:sz w:val="20"/>
                <w:szCs w:val="20"/>
                <w:color w:val="auto"/>
              </w:rPr>
            </w:pPr>
            <w:r>
              <w:rPr>
                <w:rFonts w:ascii="Courier New" w:cs="Courier New" w:eastAsia="Courier New" w:hAnsi="Courier New"/>
                <w:sz w:val="12"/>
                <w:szCs w:val="12"/>
                <w:b w:val="1"/>
                <w:bCs w:val="1"/>
                <w:color w:val="auto"/>
              </w:rPr>
              <w:t>investments</w:t>
            </w:r>
          </w:p>
        </w:tc>
        <w:tc>
          <w:tcPr>
            <w:tcW w:w="1280" w:type="dxa"/>
            <w:vAlign w:val="bottom"/>
          </w:tcPr>
          <w:p>
            <w:pPr>
              <w:ind w:left="360"/>
              <w:spacing w:after="0"/>
              <w:rPr>
                <w:sz w:val="20"/>
                <w:szCs w:val="20"/>
                <w:color w:val="auto"/>
              </w:rPr>
            </w:pPr>
            <w:r>
              <w:rPr>
                <w:rFonts w:ascii="Courier New" w:cs="Courier New" w:eastAsia="Courier New" w:hAnsi="Courier New"/>
                <w:sz w:val="12"/>
                <w:szCs w:val="12"/>
                <w:b w:val="1"/>
                <w:bCs w:val="1"/>
                <w:color w:val="auto"/>
              </w:rPr>
              <w:t>depr.</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Depr.</w:t>
            </w:r>
          </w:p>
        </w:tc>
        <w:tc>
          <w:tcPr>
            <w:tcW w:w="160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investments</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Japan</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$15,299</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$4,784</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$10,515</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$12,677</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$3,784</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$8,893</w:t>
            </w: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Simon Ventures</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12,400</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3,137</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9,263</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10,563</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2,058</w:t>
            </w:r>
          </w:p>
        </w:tc>
        <w:tc>
          <w:tcPr>
            <w:tcW w:w="1600" w:type="dxa"/>
            <w:vAlign w:val="bottom"/>
          </w:tcPr>
          <w:p>
            <w:pPr>
              <w:jc w:val="right"/>
              <w:ind w:right="799"/>
              <w:spacing w:after="0"/>
              <w:rPr>
                <w:sz w:val="20"/>
                <w:szCs w:val="20"/>
                <w:color w:val="auto"/>
              </w:rPr>
            </w:pPr>
            <w:r>
              <w:rPr>
                <w:rFonts w:ascii="Courier New" w:cs="Courier New" w:eastAsia="Courier New" w:hAnsi="Courier New"/>
                <w:sz w:val="12"/>
                <w:szCs w:val="12"/>
                <w:color w:val="auto"/>
              </w:rPr>
              <w:t>8,505</w:t>
            </w:r>
          </w:p>
        </w:tc>
      </w:tr>
      <w:tr>
        <w:trPr>
          <w:trHeight w:val="268"/>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Chelsea Mexico</w:t>
            </w:r>
            <w:r>
              <w:rPr>
                <w:rFonts w:ascii="Courier New" w:cs="Courier New" w:eastAsia="Courier New" w:hAnsi="Courier New"/>
                <w:sz w:val="12"/>
                <w:szCs w:val="12"/>
                <w:color w:val="auto"/>
              </w:rPr>
              <w:t>......</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362</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304</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58</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38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$28,061</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$8,225</w:t>
            </w:r>
          </w:p>
        </w:tc>
        <w:tc>
          <w:tcPr>
            <w:tcW w:w="1580" w:type="dxa"/>
            <w:vAlign w:val="bottom"/>
          </w:tcPr>
          <w:p>
            <w:pPr>
              <w:jc w:val="right"/>
              <w:ind w:right="599"/>
              <w:spacing w:after="0"/>
              <w:rPr>
                <w:sz w:val="20"/>
                <w:szCs w:val="20"/>
                <w:color w:val="auto"/>
              </w:rPr>
            </w:pPr>
            <w:r>
              <w:rPr>
                <w:rFonts w:ascii="Courier New" w:cs="Courier New" w:eastAsia="Courier New" w:hAnsi="Courier New"/>
                <w:sz w:val="12"/>
                <w:szCs w:val="12"/>
                <w:b w:val="1"/>
                <w:bCs w:val="1"/>
                <w:color w:val="auto"/>
              </w:rPr>
              <w:t>$19,836</w:t>
            </w:r>
          </w:p>
        </w:tc>
        <w:tc>
          <w:tcPr>
            <w:tcW w:w="12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$23,240</w:t>
            </w:r>
          </w:p>
        </w:tc>
        <w:tc>
          <w:tcPr>
            <w:tcW w:w="90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$5,842</w:t>
            </w:r>
          </w:p>
        </w:tc>
        <w:tc>
          <w:tcPr>
            <w:tcW w:w="1600" w:type="dxa"/>
            <w:vAlign w:val="bottom"/>
          </w:tcPr>
          <w:p>
            <w:pPr>
              <w:jc w:val="right"/>
              <w:ind w:right="739"/>
              <w:spacing w:after="0"/>
              <w:rPr>
                <w:sz w:val="20"/>
                <w:szCs w:val="20"/>
                <w:color w:val="auto"/>
              </w:rPr>
            </w:pPr>
            <w:r>
              <w:rPr>
                <w:rFonts w:ascii="Courier New" w:cs="Courier New" w:eastAsia="Courier New" w:hAnsi="Courier New"/>
                <w:sz w:val="12"/>
                <w:szCs w:val="12"/>
                <w:b w:val="1"/>
                <w:bCs w:val="1"/>
                <w:color w:val="auto"/>
              </w:rPr>
              <w:t>$17,398</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6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Investments in Affiliates (continued)</w:t>
      </w:r>
    </w:p>
    <w:p>
      <w:pPr>
        <w:sectPr>
          <w:pgSz w:w="11900" w:h="16853" w:orient="portrait"/>
          <w:cols w:equalWidth="0" w:num="1">
            <w:col w:w="11380"/>
          </w:cols>
          <w:pgMar w:left="240" w:top="118" w:right="279" w:bottom="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Condensed financial information as of September 30, 2005 and December 31, 2004, and for the three and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2005 and 2004 for Chelsea Japan, Chelsea Mexico and Simon Ventures is as follows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80" w:type="dxa"/>
            <w:vAlign w:val="bottom"/>
          </w:tcPr>
          <w:p>
            <w:pPr>
              <w:spacing w:after="0"/>
              <w:rPr>
                <w:sz w:val="11"/>
                <w:szCs w:val="11"/>
                <w:color w:val="auto"/>
              </w:rPr>
            </w:pPr>
          </w:p>
        </w:tc>
        <w:tc>
          <w:tcPr>
            <w:tcW w:w="124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September 30,</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December</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b w:val="1"/>
                <w:bCs w:val="1"/>
                <w:color w:val="auto"/>
              </w:rPr>
              <w:t>Balance Sheet Information:</w:t>
            </w:r>
          </w:p>
        </w:tc>
        <w:tc>
          <w:tcPr>
            <w:tcW w:w="124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2005</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31, 2004</w:t>
            </w:r>
          </w:p>
        </w:tc>
      </w:tr>
      <w:tr>
        <w:trPr>
          <w:trHeight w:val="137"/>
        </w:trPr>
        <w:tc>
          <w:tcPr>
            <w:tcW w:w="3980" w:type="dxa"/>
            <w:vAlign w:val="bottom"/>
          </w:tcPr>
          <w:p>
            <w:pPr>
              <w:spacing w:after="0"/>
              <w:rPr>
                <w:sz w:val="11"/>
                <w:szCs w:val="11"/>
                <w:color w:val="auto"/>
              </w:rPr>
            </w:pPr>
          </w:p>
        </w:tc>
        <w:tc>
          <w:tcPr>
            <w:tcW w:w="12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98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 xml:space="preserve">Property, plant and equipment (net) </w:t>
            </w:r>
            <w:r>
              <w:rPr>
                <w:rFonts w:ascii="Courier New" w:cs="Courier New" w:eastAsia="Courier New" w:hAnsi="Courier New"/>
                <w:sz w:val="12"/>
                <w:szCs w:val="12"/>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$374,607</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$367,700</w:t>
            </w:r>
          </w:p>
        </w:tc>
      </w:tr>
      <w:tr>
        <w:trPr>
          <w:trHeight w:val="270"/>
        </w:trPr>
        <w:tc>
          <w:tcPr>
            <w:tcW w:w="398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Total assets</w:t>
            </w:r>
            <w:r>
              <w:rPr>
                <w:rFonts w:ascii="Courier New" w:cs="Courier New" w:eastAsia="Courier New" w:hAnsi="Courier New"/>
                <w:sz w:val="12"/>
                <w:szCs w:val="12"/>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538,588</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548,621</w:t>
            </w:r>
          </w:p>
        </w:tc>
      </w:tr>
      <w:tr>
        <w:trPr>
          <w:trHeight w:val="270"/>
        </w:trPr>
        <w:tc>
          <w:tcPr>
            <w:tcW w:w="398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 xml:space="preserve">Long term debt (1) </w:t>
            </w:r>
            <w:r>
              <w:rPr>
                <w:rFonts w:ascii="Courier New" w:cs="Courier New" w:eastAsia="Courier New" w:hAnsi="Courier New"/>
                <w:sz w:val="12"/>
                <w:szCs w:val="12"/>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157,025</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195,552</w:t>
            </w:r>
          </w:p>
        </w:tc>
      </w:tr>
      <w:tr>
        <w:trPr>
          <w:trHeight w:val="270"/>
        </w:trPr>
        <w:tc>
          <w:tcPr>
            <w:tcW w:w="398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Total liabilities</w:t>
            </w:r>
            <w:r>
              <w:rPr>
                <w:rFonts w:ascii="Courier New" w:cs="Courier New" w:eastAsia="Courier New" w:hAnsi="Courier New"/>
                <w:sz w:val="12"/>
                <w:szCs w:val="12"/>
                <w:color w:val="auto"/>
              </w:rPr>
              <w:t>..................................</w:t>
            </w:r>
          </w:p>
        </w:tc>
        <w:tc>
          <w:tcPr>
            <w:tcW w:w="12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290,472</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304,122</w:t>
            </w: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80" w:type="dxa"/>
            <w:vAlign w:val="bottom"/>
          </w:tcPr>
          <w:p>
            <w:pPr>
              <w:spacing w:after="0"/>
              <w:rPr>
                <w:sz w:val="11"/>
                <w:szCs w:val="11"/>
                <w:color w:val="auto"/>
              </w:rPr>
            </w:pPr>
          </w:p>
        </w:tc>
        <w:tc>
          <w:tcPr>
            <w:tcW w:w="142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September 30,</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September 30,</w:t>
            </w:r>
          </w:p>
        </w:tc>
      </w:tr>
      <w:tr>
        <w:trPr>
          <w:trHeight w:val="135"/>
        </w:trPr>
        <w:tc>
          <w:tcPr>
            <w:tcW w:w="3980" w:type="dxa"/>
            <w:vAlign w:val="bottom"/>
          </w:tcPr>
          <w:p>
            <w:pPr>
              <w:spacing w:after="0"/>
              <w:rPr>
                <w:sz w:val="20"/>
                <w:szCs w:val="20"/>
                <w:color w:val="auto"/>
              </w:rPr>
            </w:pPr>
            <w:r>
              <w:rPr>
                <w:rFonts w:ascii="Courier New" w:cs="Courier New" w:eastAsia="Courier New" w:hAnsi="Courier New"/>
                <w:sz w:val="12"/>
                <w:szCs w:val="12"/>
                <w:b w:val="1"/>
                <w:bCs w:val="1"/>
                <w:color w:val="auto"/>
              </w:rPr>
              <w:t>Operating Results:</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2005</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2004</w:t>
            </w:r>
          </w:p>
        </w:tc>
      </w:tr>
      <w:tr>
        <w:trPr>
          <w:trHeight w:val="137"/>
        </w:trPr>
        <w:tc>
          <w:tcPr>
            <w:tcW w:w="3980" w:type="dxa"/>
            <w:vAlign w:val="bottom"/>
          </w:tcPr>
          <w:p>
            <w:pPr>
              <w:spacing w:after="0"/>
              <w:rPr>
                <w:sz w:val="11"/>
                <w:szCs w:val="11"/>
                <w:color w:val="auto"/>
              </w:rPr>
            </w:pPr>
          </w:p>
        </w:tc>
        <w:tc>
          <w:tcPr>
            <w:tcW w:w="14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980" w:type="dxa"/>
            <w:vAlign w:val="bottom"/>
          </w:tcPr>
          <w:p>
            <w:pPr>
              <w:spacing w:after="0"/>
              <w:rPr>
                <w:sz w:val="20"/>
                <w:szCs w:val="20"/>
                <w:color w:val="auto"/>
              </w:rPr>
            </w:pPr>
            <w:r>
              <w:rPr>
                <w:rFonts w:ascii="Courier New" w:cs="Courier New" w:eastAsia="Courier New" w:hAnsi="Courier New"/>
                <w:sz w:val="12"/>
                <w:szCs w:val="12"/>
                <w:b w:val="1"/>
                <w:bCs w:val="1"/>
                <w:color w:val="auto"/>
              </w:rPr>
              <w:t>Total revenues</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135"/>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Three months ended..............................</w:t>
            </w:r>
          </w:p>
        </w:tc>
        <w:tc>
          <w:tcPr>
            <w:tcW w:w="14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$ 46,493</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$ 42,664</w:t>
            </w:r>
          </w:p>
        </w:tc>
      </w:tr>
      <w:tr>
        <w:trPr>
          <w:trHeight w:val="137"/>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Nine months ended...............................</w:t>
            </w:r>
          </w:p>
        </w:tc>
        <w:tc>
          <w:tcPr>
            <w:tcW w:w="14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145,324</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110,429</w:t>
            </w:r>
          </w:p>
        </w:tc>
      </w:tr>
      <w:tr>
        <w:trPr>
          <w:trHeight w:val="268"/>
        </w:trPr>
        <w:tc>
          <w:tcPr>
            <w:tcW w:w="3980" w:type="dxa"/>
            <w:vAlign w:val="bottom"/>
          </w:tcPr>
          <w:p>
            <w:pPr>
              <w:spacing w:after="0"/>
              <w:rPr>
                <w:sz w:val="20"/>
                <w:szCs w:val="20"/>
                <w:color w:val="auto"/>
              </w:rPr>
            </w:pPr>
            <w:r>
              <w:rPr>
                <w:rFonts w:ascii="Courier New" w:cs="Courier New" w:eastAsia="Courier New" w:hAnsi="Courier New"/>
                <w:sz w:val="12"/>
                <w:szCs w:val="12"/>
                <w:b w:val="1"/>
                <w:bCs w:val="1"/>
                <w:color w:val="auto"/>
              </w:rPr>
              <w:t>Total expenses</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135"/>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Three months ended..............................</w:t>
            </w:r>
          </w:p>
        </w:tc>
        <w:tc>
          <w:tcPr>
            <w:tcW w:w="14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36,942</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31,696</w:t>
            </w:r>
          </w:p>
        </w:tc>
      </w:tr>
      <w:tr>
        <w:trPr>
          <w:trHeight w:val="137"/>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Nine months ended...............................</w:t>
            </w:r>
          </w:p>
        </w:tc>
        <w:tc>
          <w:tcPr>
            <w:tcW w:w="14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117,912</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85,752</w:t>
            </w:r>
          </w:p>
        </w:tc>
      </w:tr>
      <w:tr>
        <w:trPr>
          <w:trHeight w:val="268"/>
        </w:trPr>
        <w:tc>
          <w:tcPr>
            <w:tcW w:w="398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135"/>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Three months ended..............................</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9,551</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10,968</w:t>
            </w:r>
          </w:p>
        </w:tc>
      </w:tr>
      <w:tr>
        <w:trPr>
          <w:trHeight w:val="137"/>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Nine months ended...............................</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27,412</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24,677</w:t>
            </w:r>
          </w:p>
        </w:tc>
      </w:tr>
      <w:tr>
        <w:trPr>
          <w:trHeight w:val="268"/>
        </w:trPr>
        <w:tc>
          <w:tcPr>
            <w:tcW w:w="3980" w:type="dxa"/>
            <w:vAlign w:val="bottom"/>
          </w:tcPr>
          <w:p>
            <w:pPr>
              <w:spacing w:after="0"/>
              <w:rPr>
                <w:sz w:val="20"/>
                <w:szCs w:val="20"/>
                <w:color w:val="auto"/>
              </w:rPr>
            </w:pPr>
            <w:r>
              <w:rPr>
                <w:rFonts w:ascii="Courier New" w:cs="Courier New" w:eastAsia="Courier New" w:hAnsi="Courier New"/>
                <w:sz w:val="12"/>
                <w:szCs w:val="12"/>
                <w:b w:val="1"/>
                <w:bCs w:val="1"/>
                <w:color w:val="auto"/>
              </w:rPr>
              <w:t>OP's share of net income</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135"/>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Three months ended..............................</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4,328</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5,124</w:t>
            </w:r>
          </w:p>
        </w:tc>
      </w:tr>
      <w:tr>
        <w:trPr>
          <w:trHeight w:val="137"/>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Nine months ended...............................</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12,495</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11,357</w:t>
            </w:r>
          </w:p>
        </w:tc>
      </w:tr>
      <w:tr>
        <w:trPr>
          <w:trHeight w:val="268"/>
        </w:trPr>
        <w:tc>
          <w:tcPr>
            <w:tcW w:w="3980" w:type="dxa"/>
            <w:vAlign w:val="bottom"/>
          </w:tcPr>
          <w:p>
            <w:pPr>
              <w:spacing w:after="0"/>
              <w:rPr>
                <w:sz w:val="20"/>
                <w:szCs w:val="20"/>
                <w:color w:val="auto"/>
              </w:rPr>
            </w:pPr>
            <w:r>
              <w:rPr>
                <w:rFonts w:ascii="Courier New" w:cs="Courier New" w:eastAsia="Courier New" w:hAnsi="Courier New"/>
                <w:sz w:val="12"/>
                <w:szCs w:val="12"/>
                <w:b w:val="1"/>
                <w:bCs w:val="1"/>
                <w:color w:val="auto"/>
              </w:rPr>
              <w:t>Fee income</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135"/>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Three months ended..............................</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2,161</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1,927</w:t>
            </w:r>
          </w:p>
        </w:tc>
      </w:tr>
      <w:tr>
        <w:trPr>
          <w:trHeight w:val="137"/>
        </w:trPr>
        <w:tc>
          <w:tcPr>
            <w:tcW w:w="3980" w:type="dxa"/>
            <w:vAlign w:val="bottom"/>
          </w:tcPr>
          <w:p>
            <w:pPr>
              <w:ind w:left="380"/>
              <w:spacing w:after="0"/>
              <w:rPr>
                <w:sz w:val="20"/>
                <w:szCs w:val="20"/>
                <w:color w:val="auto"/>
              </w:rPr>
            </w:pPr>
            <w:r>
              <w:rPr>
                <w:rFonts w:ascii="Courier New" w:cs="Courier New" w:eastAsia="Courier New" w:hAnsi="Courier New"/>
                <w:sz w:val="12"/>
                <w:szCs w:val="12"/>
                <w:color w:val="auto"/>
              </w:rPr>
              <w:t>Nine months ended...............................</w:t>
            </w:r>
          </w:p>
        </w:tc>
        <w:tc>
          <w:tcPr>
            <w:tcW w:w="14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7,341</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6,041</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 Long-term debt consists of borrowings related to Chelsea Japan.</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Debt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Bank Debt</w:t>
      </w:r>
    </w:p>
    <w:p>
      <w:pPr>
        <w:spacing w:after="0" w:line="21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 summary of the terms of the unsecured bank debt outstanding at September 30, 2005 and December 31, 2004, and the related effective interest rate,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40" w:type="dxa"/>
            <w:vAlign w:val="bottom"/>
          </w:tcPr>
          <w:p>
            <w:pPr>
              <w:spacing w:after="0"/>
              <w:rPr>
                <w:sz w:val="11"/>
                <w:szCs w:val="11"/>
                <w:color w:val="auto"/>
              </w:rPr>
            </w:pP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September 30,</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Effective</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December 31,</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3940" w:type="dxa"/>
            <w:vAlign w:val="bottom"/>
          </w:tcPr>
          <w:p>
            <w:pPr>
              <w:spacing w:after="0"/>
              <w:rPr>
                <w:sz w:val="11"/>
                <w:szCs w:val="11"/>
                <w:color w:val="auto"/>
              </w:rPr>
            </w:pP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2005</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rate</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2004</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3940" w:type="dxa"/>
            <w:vAlign w:val="bottom"/>
          </w:tcPr>
          <w:p>
            <w:pPr>
              <w:spacing w:after="0"/>
              <w:rPr>
                <w:sz w:val="11"/>
                <w:szCs w:val="11"/>
                <w:color w:val="auto"/>
              </w:rPr>
            </w:pP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Term loan due April 2010 (1) .......................</w:t>
            </w: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$59,525</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7.26%</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$60,475</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7.26%</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Peso credit facility due January 2007 (2) ..........</w:t>
            </w: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12,515</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10.60%</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Yen credit facility due April 2005 (3) .............</w:t>
            </w: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11,845</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1.31%</w:t>
            </w:r>
          </w:p>
        </w:tc>
      </w:tr>
      <w:tr>
        <w:trPr>
          <w:trHeight w:val="135"/>
        </w:trPr>
        <w:tc>
          <w:tcPr>
            <w:tcW w:w="3940" w:type="dxa"/>
            <w:vAlign w:val="bottom"/>
          </w:tcPr>
          <w:p>
            <w:pPr>
              <w:spacing w:after="0"/>
              <w:rPr>
                <w:sz w:val="11"/>
                <w:szCs w:val="11"/>
                <w:color w:val="auto"/>
              </w:rPr>
            </w:pP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1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$59,525</w:t>
            </w:r>
          </w:p>
        </w:tc>
        <w:tc>
          <w:tcPr>
            <w:tcW w:w="1240" w:type="dxa"/>
            <w:vAlign w:val="bottom"/>
          </w:tcPr>
          <w:p>
            <w:pPr>
              <w:spacing w:after="0"/>
              <w:rPr>
                <w:sz w:val="11"/>
                <w:szCs w:val="11"/>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$84,835</w:t>
            </w:r>
          </w:p>
        </w:tc>
        <w:tc>
          <w:tcPr>
            <w:tcW w:w="1100" w:type="dxa"/>
            <w:vAlign w:val="bottom"/>
          </w:tcPr>
          <w:p>
            <w:pPr>
              <w:spacing w:after="0"/>
              <w:rPr>
                <w:sz w:val="11"/>
                <w:szCs w:val="11"/>
                <w:color w:val="auto"/>
              </w:rPr>
            </w:pPr>
          </w:p>
        </w:tc>
      </w:tr>
      <w:tr>
        <w:trPr>
          <w:trHeight w:val="137"/>
        </w:trPr>
        <w:tc>
          <w:tcPr>
            <w:tcW w:w="3940" w:type="dxa"/>
            <w:vAlign w:val="bottom"/>
          </w:tcPr>
          <w:p>
            <w:pPr>
              <w:spacing w:after="0"/>
              <w:rPr>
                <w:sz w:val="11"/>
                <w:szCs w:val="11"/>
                <w:color w:val="auto"/>
              </w:rPr>
            </w:pP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spacing w:after="0"/>
              <w:rPr>
                <w:sz w:val="11"/>
                <w:szCs w:val="11"/>
                <w:color w:val="auto"/>
              </w:rPr>
            </w:pPr>
          </w:p>
        </w:tc>
        <w:tc>
          <w:tcPr>
            <w:tcW w:w="14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bl>
    <w:p>
      <w:pPr>
        <w:spacing w:after="0" w:line="361" w:lineRule="exact"/>
        <w:rPr>
          <w:sz w:val="20"/>
          <w:szCs w:val="20"/>
          <w:color w:val="auto"/>
        </w:rPr>
      </w:pPr>
    </w:p>
    <w:p>
      <w:pPr>
        <w:ind w:left="1160" w:right="60" w:hanging="571"/>
        <w:spacing w:after="0" w:line="247" w:lineRule="auto"/>
        <w:tabs>
          <w:tab w:leader="none" w:pos="116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February 2004, the OP amended its mortgage loan due April 2010 to unencumber four properties and reduce the interest rate from LIBOR plus 1.50% to LIBOR plus 1.25% (4.94% at September 30, 2005). The original terms remain unchanged and required quarterly principal amortization of $0.25 million through April 2005 and $0.45 million per quarter thereafter until maturity. The OP maintains an interest rate swap that effectively fixes the interest rate on the term loan at 7.26% until January 2006. During the nine months ended September 30, 2005 and 2004, the OP recognized interest expense of $1.3 million and $2.3 million, respectively, on the hedge that is included in interest expense in the accompanying financial statements.</w:t>
      </w:r>
    </w:p>
    <w:p>
      <w:pPr>
        <w:spacing w:after="0" w:line="205" w:lineRule="exact"/>
        <w:rPr>
          <w:rFonts w:ascii="Arial" w:cs="Arial" w:eastAsia="Arial" w:hAnsi="Arial"/>
          <w:sz w:val="21"/>
          <w:szCs w:val="21"/>
          <w:color w:val="auto"/>
        </w:rPr>
      </w:pPr>
    </w:p>
    <w:p>
      <w:pPr>
        <w:ind w:left="1160" w:hanging="571"/>
        <w:spacing w:after="0" w:line="248" w:lineRule="auto"/>
        <w:tabs>
          <w:tab w:leader="none" w:pos="116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January 2004, a wholly-owned subsidiary of the OP entered into a 180 million peso-denominated revolving facility, which has a three-year term and provides funding for projects in Mexico. In February 2005, the OP repaid the outstanding balance of the peso facility. The drawn funds bear interest at the Interbank Interest Equilibrium Rate ("TIIE") plus 0.825% plus the bank's cost of funds spread limited to 20% of the TIIE, with an annual facility fee on the unused balance of 0.15% per annum. The TIIE rate spread ranges from 0.725% to 1.37% depending on the OP's Senior Debt rating. The Company and OP guarantee the facility.</w:t>
      </w:r>
    </w:p>
    <w:p>
      <w:pPr>
        <w:spacing w:after="0" w:line="204" w:lineRule="exact"/>
        <w:rPr>
          <w:rFonts w:ascii="Arial" w:cs="Arial" w:eastAsia="Arial" w:hAnsi="Arial"/>
          <w:sz w:val="21"/>
          <w:szCs w:val="21"/>
          <w:color w:val="auto"/>
        </w:rPr>
      </w:pPr>
    </w:p>
    <w:p>
      <w:pPr>
        <w:ind w:left="1160" w:right="140" w:hanging="571"/>
        <w:spacing w:after="0" w:line="238" w:lineRule="auto"/>
        <w:tabs>
          <w:tab w:leader="none" w:pos="11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OP's wholly-owned equity investor in Japan, Chelsea International Operating Corp., had a 4.0 billion yen line of credit that provided funding for projects being developed in Japan. On March 31, 2005, the facility was repaid and extinguished through borrowings from Simon (See note 11). The yen line of credit bore interest at yen LIBOR plus 1.25%.</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Unsecured Public Notes</w:t>
      </w:r>
    </w:p>
    <w:p>
      <w:pPr>
        <w:sectPr>
          <w:pgSz w:w="11900" w:h="16838" w:orient="portrait"/>
          <w:cols w:equalWidth="0" w:num="1">
            <w:col w:w="11400"/>
          </w:cols>
          <w:pgMar w:left="240" w:top="118" w:right="259" w:bottom="0" w:gutter="0" w:footer="0" w:header="0"/>
          <w:type w:val="continuous"/>
        </w:sectPr>
      </w:pPr>
    </w:p>
    <w:bookmarkStart w:id="6" w:name="page7"/>
    <w:bookmarkEnd w:id="6"/>
    <w:p>
      <w:pPr>
        <w:spacing w:after="0" w:line="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A summary of the terms of the unsecured publicly traded notes outstanding at September 30, 2005 and December 31, 2004 is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40" w:type="dxa"/>
            <w:vAlign w:val="bottom"/>
          </w:tcPr>
          <w:p>
            <w:pPr>
              <w:spacing w:after="0"/>
              <w:rPr>
                <w:sz w:val="20"/>
                <w:szCs w:val="20"/>
                <w:color w:val="auto"/>
              </w:rPr>
            </w:pPr>
            <w:r>
              <w:rPr>
                <w:rFonts w:ascii="Courier New" w:cs="Courier New" w:eastAsia="Courier New" w:hAnsi="Courier New"/>
                <w:sz w:val="12"/>
                <w:szCs w:val="12"/>
                <w:b w:val="1"/>
                <w:bCs w:val="1"/>
                <w:color w:val="auto"/>
              </w:rPr>
              <w:t>Stated</w:t>
            </w:r>
          </w:p>
        </w:tc>
        <w:tc>
          <w:tcPr>
            <w:tcW w:w="1980" w:type="dxa"/>
            <w:vAlign w:val="bottom"/>
          </w:tcPr>
          <w:p>
            <w:pPr>
              <w:spacing w:after="0"/>
              <w:rPr>
                <w:sz w:val="11"/>
                <w:szCs w:val="11"/>
                <w:color w:val="auto"/>
              </w:rPr>
            </w:pPr>
          </w:p>
        </w:tc>
        <w:tc>
          <w:tcPr>
            <w:tcW w:w="1500" w:type="dxa"/>
            <w:vAlign w:val="bottom"/>
            <w:gridSpan w:val="2"/>
          </w:tcPr>
          <w:p>
            <w:pPr>
              <w:jc w:val="right"/>
              <w:ind w:right="279"/>
              <w:spacing w:after="0"/>
              <w:rPr>
                <w:sz w:val="20"/>
                <w:szCs w:val="20"/>
                <w:color w:val="auto"/>
              </w:rPr>
            </w:pPr>
            <w:r>
              <w:rPr>
                <w:rFonts w:ascii="Courier New" w:cs="Courier New" w:eastAsia="Courier New" w:hAnsi="Courier New"/>
                <w:sz w:val="12"/>
                <w:szCs w:val="12"/>
                <w:b w:val="1"/>
                <w:bCs w:val="1"/>
                <w:color w:val="auto"/>
              </w:rPr>
              <w:t>September 30,</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December  31,</w:t>
            </w:r>
          </w:p>
        </w:tc>
        <w:tc>
          <w:tcPr>
            <w:tcW w:w="110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Effective</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b w:val="1"/>
                <w:bCs w:val="1"/>
                <w:color w:val="auto"/>
              </w:rPr>
              <w:t>Rate</w:t>
            </w:r>
          </w:p>
        </w:tc>
        <w:tc>
          <w:tcPr>
            <w:tcW w:w="198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Maturity</w:t>
            </w:r>
          </w:p>
        </w:tc>
        <w:tc>
          <w:tcPr>
            <w:tcW w:w="66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2005</w:t>
            </w:r>
          </w:p>
        </w:tc>
        <w:tc>
          <w:tcPr>
            <w:tcW w:w="156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2004</w:t>
            </w:r>
          </w:p>
        </w:tc>
        <w:tc>
          <w:tcPr>
            <w:tcW w:w="110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Yield (1)</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980" w:type="dxa"/>
            <w:vAlign w:val="bottom"/>
          </w:tcPr>
          <w:p>
            <w:pPr>
              <w:ind w:left="300"/>
              <w:spacing w:after="0"/>
              <w:rPr>
                <w:sz w:val="20"/>
                <w:szCs w:val="20"/>
                <w:color w:val="auto"/>
              </w:rPr>
            </w:pPr>
            <w:r>
              <w:rPr>
                <w:rFonts w:ascii="Courier New" w:cs="Courier New" w:eastAsia="Courier New" w:hAnsi="Courier New"/>
                <w:sz w:val="12"/>
                <w:szCs w:val="12"/>
                <w:color w:val="auto"/>
              </w:rPr>
              <w:t>---------</w:t>
            </w:r>
          </w:p>
        </w:tc>
        <w:tc>
          <w:tcPr>
            <w:tcW w:w="150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8.375%</w:t>
            </w:r>
          </w:p>
        </w:tc>
        <w:tc>
          <w:tcPr>
            <w:tcW w:w="1980" w:type="dxa"/>
            <w:vAlign w:val="bottom"/>
          </w:tcPr>
          <w:p>
            <w:pPr>
              <w:ind w:left="160"/>
              <w:spacing w:after="0"/>
              <w:rPr>
                <w:sz w:val="20"/>
                <w:szCs w:val="20"/>
                <w:color w:val="auto"/>
              </w:rPr>
            </w:pPr>
            <w:r>
              <w:rPr>
                <w:rFonts w:ascii="Courier New" w:cs="Courier New" w:eastAsia="Courier New" w:hAnsi="Courier New"/>
                <w:sz w:val="12"/>
                <w:szCs w:val="12"/>
                <w:color w:val="auto"/>
              </w:rPr>
              <w:t>August 2005.............</w:t>
            </w:r>
          </w:p>
        </w:tc>
        <w:tc>
          <w:tcPr>
            <w:tcW w:w="6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$ 49,982</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8.44%</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7.250%</w:t>
            </w:r>
          </w:p>
        </w:tc>
        <w:tc>
          <w:tcPr>
            <w:tcW w:w="1980" w:type="dxa"/>
            <w:vAlign w:val="bottom"/>
          </w:tcPr>
          <w:p>
            <w:pPr>
              <w:ind w:left="160"/>
              <w:spacing w:after="0"/>
              <w:rPr>
                <w:sz w:val="20"/>
                <w:szCs w:val="20"/>
                <w:color w:val="auto"/>
              </w:rPr>
            </w:pPr>
            <w:r>
              <w:rPr>
                <w:rFonts w:ascii="Courier New" w:cs="Courier New" w:eastAsia="Courier New" w:hAnsi="Courier New"/>
                <w:sz w:val="12"/>
                <w:szCs w:val="12"/>
                <w:color w:val="auto"/>
              </w:rPr>
              <w:t>October 2007............</w:t>
            </w:r>
          </w:p>
        </w:tc>
        <w:tc>
          <w:tcPr>
            <w:tcW w:w="66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w w:val="95"/>
              </w:rPr>
              <w:t>124,931</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124,906</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7.39%</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3.500%</w:t>
            </w:r>
          </w:p>
        </w:tc>
        <w:tc>
          <w:tcPr>
            <w:tcW w:w="1980" w:type="dxa"/>
            <w:vAlign w:val="bottom"/>
          </w:tcPr>
          <w:p>
            <w:pPr>
              <w:ind w:left="160"/>
              <w:spacing w:after="0"/>
              <w:rPr>
                <w:sz w:val="20"/>
                <w:szCs w:val="20"/>
                <w:color w:val="auto"/>
              </w:rPr>
            </w:pPr>
            <w:r>
              <w:rPr>
                <w:rFonts w:ascii="Courier New" w:cs="Courier New" w:eastAsia="Courier New" w:hAnsi="Courier New"/>
                <w:sz w:val="12"/>
                <w:szCs w:val="12"/>
                <w:color w:val="auto"/>
              </w:rPr>
              <w:t>March 2009..............</w:t>
            </w:r>
          </w:p>
        </w:tc>
        <w:tc>
          <w:tcPr>
            <w:tcW w:w="66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99,678</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99,608</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3.60%</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8.625%</w:t>
            </w:r>
          </w:p>
        </w:tc>
        <w:tc>
          <w:tcPr>
            <w:tcW w:w="1980" w:type="dxa"/>
            <w:vAlign w:val="bottom"/>
          </w:tcPr>
          <w:p>
            <w:pPr>
              <w:ind w:left="160"/>
              <w:spacing w:after="0"/>
              <w:rPr>
                <w:sz w:val="20"/>
                <w:szCs w:val="20"/>
                <w:color w:val="auto"/>
              </w:rPr>
            </w:pPr>
            <w:r>
              <w:rPr>
                <w:rFonts w:ascii="Courier New" w:cs="Courier New" w:eastAsia="Courier New" w:hAnsi="Courier New"/>
                <w:sz w:val="12"/>
                <w:szCs w:val="12"/>
                <w:color w:val="auto"/>
              </w:rPr>
              <w:t>August 2009.............</w:t>
            </w:r>
          </w:p>
        </w:tc>
        <w:tc>
          <w:tcPr>
            <w:tcW w:w="66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49,961</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49,953</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8.76%</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8.250%</w:t>
            </w:r>
          </w:p>
        </w:tc>
        <w:tc>
          <w:tcPr>
            <w:tcW w:w="1980" w:type="dxa"/>
            <w:vAlign w:val="bottom"/>
          </w:tcPr>
          <w:p>
            <w:pPr>
              <w:ind w:left="160"/>
              <w:spacing w:after="0"/>
              <w:rPr>
                <w:sz w:val="20"/>
                <w:szCs w:val="20"/>
                <w:color w:val="auto"/>
              </w:rPr>
            </w:pPr>
            <w:r>
              <w:rPr>
                <w:rFonts w:ascii="Courier New" w:cs="Courier New" w:eastAsia="Courier New" w:hAnsi="Courier New"/>
                <w:sz w:val="12"/>
                <w:szCs w:val="12"/>
                <w:color w:val="auto"/>
              </w:rPr>
              <w:t>February 2011...........</w:t>
            </w:r>
          </w:p>
        </w:tc>
        <w:tc>
          <w:tcPr>
            <w:tcW w:w="66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w w:val="95"/>
              </w:rPr>
              <w:t>149,220</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149,110</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8.40%</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6.875%</w:t>
            </w:r>
          </w:p>
        </w:tc>
        <w:tc>
          <w:tcPr>
            <w:tcW w:w="1980" w:type="dxa"/>
            <w:vAlign w:val="bottom"/>
          </w:tcPr>
          <w:p>
            <w:pPr>
              <w:ind w:left="160"/>
              <w:spacing w:after="0"/>
              <w:rPr>
                <w:sz w:val="20"/>
                <w:szCs w:val="20"/>
                <w:color w:val="auto"/>
              </w:rPr>
            </w:pPr>
            <w:r>
              <w:rPr>
                <w:rFonts w:ascii="Courier New" w:cs="Courier New" w:eastAsia="Courier New" w:hAnsi="Courier New"/>
                <w:sz w:val="12"/>
                <w:szCs w:val="12"/>
                <w:color w:val="auto"/>
              </w:rPr>
              <w:t>June 2012...............</w:t>
            </w:r>
          </w:p>
        </w:tc>
        <w:tc>
          <w:tcPr>
            <w:tcW w:w="66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99,910</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99,897</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6.90%</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6.000%</w:t>
            </w:r>
          </w:p>
        </w:tc>
        <w:tc>
          <w:tcPr>
            <w:tcW w:w="1980" w:type="dxa"/>
            <w:vAlign w:val="bottom"/>
          </w:tcPr>
          <w:p>
            <w:pPr>
              <w:ind w:left="160"/>
              <w:spacing w:after="0"/>
              <w:rPr>
                <w:sz w:val="20"/>
                <w:szCs w:val="20"/>
                <w:color w:val="auto"/>
              </w:rPr>
            </w:pPr>
            <w:r>
              <w:rPr>
                <w:rFonts w:ascii="Courier New" w:cs="Courier New" w:eastAsia="Courier New" w:hAnsi="Courier New"/>
                <w:sz w:val="12"/>
                <w:szCs w:val="12"/>
                <w:color w:val="auto"/>
              </w:rPr>
              <w:t>January 2013............</w:t>
            </w:r>
          </w:p>
        </w:tc>
        <w:tc>
          <w:tcPr>
            <w:tcW w:w="66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w w:val="95"/>
              </w:rPr>
              <w:t>148,542</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148,393</w:t>
            </w:r>
          </w:p>
        </w:tc>
        <w:tc>
          <w:tcPr>
            <w:tcW w:w="1100" w:type="dxa"/>
            <w:vAlign w:val="bottom"/>
          </w:tcPr>
          <w:p>
            <w:pPr>
              <w:ind w:left="140"/>
              <w:spacing w:after="0"/>
              <w:rPr>
                <w:sz w:val="20"/>
                <w:szCs w:val="20"/>
                <w:color w:val="auto"/>
              </w:rPr>
            </w:pPr>
            <w:r>
              <w:rPr>
                <w:rFonts w:ascii="Courier New" w:cs="Courier New" w:eastAsia="Courier New" w:hAnsi="Courier New"/>
                <w:sz w:val="12"/>
                <w:szCs w:val="12"/>
                <w:color w:val="auto"/>
              </w:rPr>
              <w:t>6.18%</w:t>
            </w:r>
          </w:p>
        </w:tc>
      </w:tr>
      <w:tr>
        <w:trPr>
          <w:trHeight w:val="135"/>
        </w:trPr>
        <w:tc>
          <w:tcPr>
            <w:tcW w:w="1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50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w w:val="95"/>
              </w:rPr>
              <w:t>672,242</w:t>
            </w:r>
          </w:p>
        </w:tc>
        <w:tc>
          <w:tcPr>
            <w:tcW w:w="15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$721,849</w:t>
            </w:r>
          </w:p>
        </w:tc>
        <w:tc>
          <w:tcPr>
            <w:tcW w:w="1100" w:type="dxa"/>
            <w:vAlign w:val="bottom"/>
          </w:tcPr>
          <w:p>
            <w:pPr>
              <w:spacing w:after="0"/>
              <w:rPr>
                <w:sz w:val="11"/>
                <w:szCs w:val="11"/>
                <w:color w:val="auto"/>
              </w:rPr>
            </w:pPr>
          </w:p>
        </w:tc>
      </w:tr>
      <w:tr>
        <w:trPr>
          <w:trHeight w:val="137"/>
        </w:trPr>
        <w:tc>
          <w:tcPr>
            <w:tcW w:w="1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50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 Including discounts on the notes.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August 2005 the OP redeemed its $50 million 8.375% notes through available cash of $15 million and a loan from Simon of $35 million.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3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ind w:right="9600" w:firstLine="8"/>
        <w:spacing w:after="0" w:line="507" w:lineRule="auto"/>
        <w:tabs>
          <w:tab w:leader="none" w:pos="216"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Mortgage Debt</w:t>
      </w:r>
    </w:p>
    <w:p>
      <w:pPr>
        <w:spacing w:after="0" w:line="1"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A summary of the terms of the mortgage debt outstanding at September 30, 2005 and December 31, 2004, and the related interest rate and Net Book Value (“NBV”) of the associated collateral as of September 30, 2005, is as follows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September 30,</w:t>
            </w:r>
          </w:p>
        </w:tc>
        <w:tc>
          <w:tcPr>
            <w:tcW w:w="1640" w:type="dxa"/>
            <w:vAlign w:val="bottom"/>
          </w:tcPr>
          <w:p>
            <w:pPr>
              <w:jc w:val="right"/>
              <w:ind w:right="459"/>
              <w:spacing w:after="0"/>
              <w:rPr>
                <w:sz w:val="20"/>
                <w:szCs w:val="20"/>
                <w:color w:val="auto"/>
              </w:rPr>
            </w:pPr>
            <w:r>
              <w:rPr>
                <w:rFonts w:ascii="Courier New" w:cs="Courier New" w:eastAsia="Courier New" w:hAnsi="Courier New"/>
                <w:sz w:val="12"/>
                <w:szCs w:val="12"/>
                <w:b w:val="1"/>
                <w:bCs w:val="1"/>
                <w:color w:val="auto"/>
              </w:rPr>
              <w:t>December  31,</w:t>
            </w:r>
          </w:p>
        </w:tc>
        <w:tc>
          <w:tcPr>
            <w:tcW w:w="138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Effective</w:t>
            </w:r>
          </w:p>
        </w:tc>
        <w:tc>
          <w:tcPr>
            <w:tcW w:w="1100" w:type="dxa"/>
            <w:vAlign w:val="bottom"/>
          </w:tcPr>
          <w:p>
            <w:pPr>
              <w:spacing w:after="0"/>
              <w:rPr>
                <w:sz w:val="11"/>
                <w:szCs w:val="11"/>
                <w:color w:val="auto"/>
              </w:rPr>
            </w:pPr>
          </w:p>
        </w:tc>
      </w:tr>
      <w:tr>
        <w:trPr>
          <w:trHeight w:val="135"/>
        </w:trPr>
        <w:tc>
          <w:tcPr>
            <w:tcW w:w="70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Maturity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2005</w:t>
            </w:r>
          </w:p>
        </w:tc>
        <w:tc>
          <w:tcPr>
            <w:tcW w:w="1640" w:type="dxa"/>
            <w:vAlign w:val="bottom"/>
          </w:tcPr>
          <w:p>
            <w:pPr>
              <w:jc w:val="center"/>
              <w:ind w:left="259"/>
              <w:spacing w:after="0"/>
              <w:rPr>
                <w:sz w:val="20"/>
                <w:szCs w:val="20"/>
                <w:color w:val="auto"/>
              </w:rPr>
            </w:pPr>
            <w:r>
              <w:rPr>
                <w:rFonts w:ascii="Courier New" w:cs="Courier New" w:eastAsia="Courier New" w:hAnsi="Courier New"/>
                <w:sz w:val="12"/>
                <w:szCs w:val="12"/>
                <w:b w:val="1"/>
                <w:bCs w:val="1"/>
                <w:color w:val="auto"/>
                <w:w w:val="97"/>
              </w:rPr>
              <w:t>2004</w:t>
            </w:r>
          </w:p>
        </w:tc>
        <w:tc>
          <w:tcPr>
            <w:tcW w:w="1380" w:type="dxa"/>
            <w:vAlign w:val="bottom"/>
          </w:tcPr>
          <w:p>
            <w:pPr>
              <w:ind w:left="800"/>
              <w:spacing w:after="0"/>
              <w:rPr>
                <w:sz w:val="20"/>
                <w:szCs w:val="20"/>
                <w:color w:val="auto"/>
              </w:rPr>
            </w:pPr>
            <w:r>
              <w:rPr>
                <w:rFonts w:ascii="Courier New" w:cs="Courier New" w:eastAsia="Courier New" w:hAnsi="Courier New"/>
                <w:sz w:val="12"/>
                <w:szCs w:val="12"/>
                <w:b w:val="1"/>
                <w:bCs w:val="1"/>
                <w:color w:val="auto"/>
              </w:rPr>
              <w:t>Rate</w:t>
            </w:r>
          </w:p>
        </w:tc>
        <w:tc>
          <w:tcPr>
            <w:tcW w:w="110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NBV</w:t>
            </w:r>
          </w:p>
        </w:tc>
      </w:tr>
      <w:tr>
        <w:trPr>
          <w:trHeight w:val="135"/>
        </w:trPr>
        <w:tc>
          <w:tcPr>
            <w:tcW w:w="700" w:type="dxa"/>
            <w:vAlign w:val="bottom"/>
            <w:gridSpan w:val="2"/>
          </w:tcPr>
          <w:p>
            <w:pPr>
              <w:spacing w:after="0"/>
              <w:rPr>
                <w:sz w:val="20"/>
                <w:szCs w:val="20"/>
                <w:color w:val="auto"/>
              </w:rPr>
            </w:pPr>
            <w:r>
              <w:rPr>
                <w:rFonts w:ascii="Courier New" w:cs="Courier New" w:eastAsia="Courier New" w:hAnsi="Courier New"/>
                <w:sz w:val="12"/>
                <w:szCs w:val="12"/>
                <w:color w:val="auto"/>
                <w:w w:val="94"/>
              </w:rPr>
              <w:t>- --------</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1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July 2008 (1)</w:t>
            </w:r>
          </w:p>
        </w:tc>
        <w:tc>
          <w:tcPr>
            <w:tcW w:w="160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9"/>
              </w:rPr>
              <w:t>.................</w:t>
            </w:r>
          </w:p>
        </w:tc>
        <w:tc>
          <w:tcPr>
            <w:tcW w:w="15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$158,991</w:t>
            </w:r>
          </w:p>
        </w:tc>
        <w:tc>
          <w:tcPr>
            <w:tcW w:w="16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$161,546</w:t>
            </w:r>
          </w:p>
        </w:tc>
        <w:tc>
          <w:tcPr>
            <w:tcW w:w="1380" w:type="dxa"/>
            <w:vAlign w:val="bottom"/>
          </w:tcPr>
          <w:p>
            <w:pPr>
              <w:jc w:val="center"/>
              <w:spacing w:after="0"/>
              <w:rPr>
                <w:sz w:val="20"/>
                <w:szCs w:val="20"/>
                <w:color w:val="auto"/>
              </w:rPr>
            </w:pPr>
            <w:r>
              <w:rPr>
                <w:rFonts w:ascii="Courier New" w:cs="Courier New" w:eastAsia="Courier New" w:hAnsi="Courier New"/>
                <w:sz w:val="12"/>
                <w:szCs w:val="12"/>
                <w:color w:val="auto"/>
              </w:rPr>
              <w:t>7.26%</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$247,495</w:t>
            </w:r>
          </w:p>
        </w:tc>
      </w:tr>
      <w:tr>
        <w:trPr>
          <w:trHeight w:val="135"/>
        </w:trPr>
        <w:tc>
          <w:tcPr>
            <w:tcW w:w="7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December</w:t>
            </w:r>
          </w:p>
        </w:tc>
        <w:tc>
          <w:tcPr>
            <w:tcW w:w="4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2012</w:t>
            </w:r>
          </w:p>
        </w:tc>
        <w:tc>
          <w:tcPr>
            <w:tcW w:w="160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9"/>
              </w:rPr>
              <w:t>(2) .............</w:t>
            </w:r>
          </w:p>
        </w:tc>
        <w:tc>
          <w:tcPr>
            <w:tcW w:w="15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21,628</w:t>
            </w:r>
          </w:p>
        </w:tc>
        <w:tc>
          <w:tcPr>
            <w:tcW w:w="1640" w:type="dxa"/>
            <w:vAlign w:val="bottom"/>
          </w:tcPr>
          <w:p>
            <w:pPr>
              <w:jc w:val="center"/>
              <w:ind w:left="259"/>
              <w:spacing w:after="0"/>
              <w:rPr>
                <w:sz w:val="20"/>
                <w:szCs w:val="20"/>
                <w:color w:val="auto"/>
              </w:rPr>
            </w:pPr>
            <w:r>
              <w:rPr>
                <w:rFonts w:ascii="Courier New" w:cs="Courier New" w:eastAsia="Courier New" w:hAnsi="Courier New"/>
                <w:sz w:val="12"/>
                <w:szCs w:val="12"/>
                <w:color w:val="auto"/>
              </w:rPr>
              <w:t>23,331</w:t>
            </w:r>
          </w:p>
        </w:tc>
        <w:tc>
          <w:tcPr>
            <w:tcW w:w="1380" w:type="dxa"/>
            <w:vAlign w:val="bottom"/>
          </w:tcPr>
          <w:p>
            <w:pPr>
              <w:jc w:val="center"/>
              <w:spacing w:after="0"/>
              <w:rPr>
                <w:sz w:val="20"/>
                <w:szCs w:val="20"/>
                <w:color w:val="auto"/>
              </w:rPr>
            </w:pPr>
            <w:r>
              <w:rPr>
                <w:rFonts w:ascii="Courier New" w:cs="Courier New" w:eastAsia="Courier New" w:hAnsi="Courier New"/>
                <w:sz w:val="12"/>
                <w:szCs w:val="12"/>
                <w:color w:val="auto"/>
              </w:rPr>
              <w:t>6.29%</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98,066</w:t>
            </w:r>
          </w:p>
        </w:tc>
      </w:tr>
      <w:tr>
        <w:trPr>
          <w:trHeight w:val="135"/>
        </w:trPr>
        <w:tc>
          <w:tcPr>
            <w:tcW w:w="7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December</w:t>
            </w:r>
          </w:p>
        </w:tc>
        <w:tc>
          <w:tcPr>
            <w:tcW w:w="4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2012</w:t>
            </w:r>
          </w:p>
        </w:tc>
        <w:tc>
          <w:tcPr>
            <w:tcW w:w="160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9"/>
              </w:rPr>
              <w:t>(3) .............</w:t>
            </w:r>
          </w:p>
        </w:tc>
        <w:tc>
          <w:tcPr>
            <w:tcW w:w="15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68,491</w:t>
            </w:r>
          </w:p>
        </w:tc>
        <w:tc>
          <w:tcPr>
            <w:tcW w:w="1640" w:type="dxa"/>
            <w:vAlign w:val="bottom"/>
          </w:tcPr>
          <w:p>
            <w:pPr>
              <w:jc w:val="center"/>
              <w:ind w:left="259"/>
              <w:spacing w:after="0"/>
              <w:rPr>
                <w:sz w:val="20"/>
                <w:szCs w:val="20"/>
                <w:color w:val="auto"/>
              </w:rPr>
            </w:pPr>
            <w:r>
              <w:rPr>
                <w:rFonts w:ascii="Courier New" w:cs="Courier New" w:eastAsia="Courier New" w:hAnsi="Courier New"/>
                <w:sz w:val="12"/>
                <w:szCs w:val="12"/>
                <w:color w:val="auto"/>
              </w:rPr>
              <w:t>69,372</w:t>
            </w:r>
          </w:p>
        </w:tc>
        <w:tc>
          <w:tcPr>
            <w:tcW w:w="1380" w:type="dxa"/>
            <w:vAlign w:val="bottom"/>
          </w:tcPr>
          <w:p>
            <w:pPr>
              <w:jc w:val="center"/>
              <w:spacing w:after="0"/>
              <w:rPr>
                <w:sz w:val="20"/>
                <w:szCs w:val="20"/>
                <w:color w:val="auto"/>
              </w:rPr>
            </w:pPr>
            <w:r>
              <w:rPr>
                <w:rFonts w:ascii="Courier New" w:cs="Courier New" w:eastAsia="Courier New" w:hAnsi="Courier New"/>
                <w:sz w:val="12"/>
                <w:szCs w:val="12"/>
                <w:color w:val="auto"/>
              </w:rPr>
              <w:t>7.67%</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72,403</w:t>
            </w:r>
          </w:p>
        </w:tc>
      </w:tr>
      <w:tr>
        <w:trPr>
          <w:trHeight w:val="135"/>
        </w:trPr>
        <w:tc>
          <w:tcPr>
            <w:tcW w:w="520" w:type="dxa"/>
            <w:vAlign w:val="bottom"/>
          </w:tcPr>
          <w:p>
            <w:pPr>
              <w:ind w:left="80"/>
              <w:spacing w:after="0"/>
              <w:rPr>
                <w:sz w:val="20"/>
                <w:szCs w:val="20"/>
                <w:color w:val="auto"/>
              </w:rPr>
            </w:pPr>
            <w:r>
              <w:rPr>
                <w:rFonts w:ascii="Courier New" w:cs="Courier New" w:eastAsia="Courier New" w:hAnsi="Courier New"/>
                <w:sz w:val="12"/>
                <w:szCs w:val="12"/>
                <w:color w:val="auto"/>
              </w:rPr>
              <w:t>March</w:t>
            </w:r>
          </w:p>
        </w:tc>
        <w:tc>
          <w:tcPr>
            <w:tcW w:w="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2013</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16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61,010</w:t>
            </w:r>
          </w:p>
        </w:tc>
        <w:tc>
          <w:tcPr>
            <w:tcW w:w="1640" w:type="dxa"/>
            <w:vAlign w:val="bottom"/>
          </w:tcPr>
          <w:p>
            <w:pPr>
              <w:jc w:val="center"/>
              <w:ind w:left="259"/>
              <w:spacing w:after="0"/>
              <w:rPr>
                <w:sz w:val="20"/>
                <w:szCs w:val="20"/>
                <w:color w:val="auto"/>
              </w:rPr>
            </w:pPr>
            <w:r>
              <w:rPr>
                <w:rFonts w:ascii="Courier New" w:cs="Courier New" w:eastAsia="Courier New" w:hAnsi="Courier New"/>
                <w:sz w:val="12"/>
                <w:szCs w:val="12"/>
                <w:color w:val="auto"/>
              </w:rPr>
              <w:t>62,105</w:t>
            </w:r>
          </w:p>
        </w:tc>
        <w:tc>
          <w:tcPr>
            <w:tcW w:w="1380" w:type="dxa"/>
            <w:vAlign w:val="bottom"/>
          </w:tcPr>
          <w:p>
            <w:pPr>
              <w:jc w:val="center"/>
              <w:spacing w:after="0"/>
              <w:rPr>
                <w:sz w:val="20"/>
                <w:szCs w:val="20"/>
                <w:color w:val="auto"/>
              </w:rPr>
            </w:pPr>
            <w:r>
              <w:rPr>
                <w:rFonts w:ascii="Courier New" w:cs="Courier New" w:eastAsia="Courier New" w:hAnsi="Courier New"/>
                <w:sz w:val="12"/>
                <w:szCs w:val="12"/>
                <w:color w:val="auto"/>
              </w:rPr>
              <w:t>5.10%</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116,552</w:t>
            </w:r>
          </w:p>
        </w:tc>
      </w:tr>
      <w:tr>
        <w:trPr>
          <w:trHeight w:val="135"/>
        </w:trPr>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center"/>
              <w:ind w:left="2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spacing w:after="0"/>
              <w:rPr>
                <w:sz w:val="11"/>
                <w:szCs w:val="11"/>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$ 310,120</w:t>
            </w:r>
          </w:p>
        </w:tc>
        <w:tc>
          <w:tcPr>
            <w:tcW w:w="16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$316,354</w:t>
            </w:r>
          </w:p>
        </w:tc>
        <w:tc>
          <w:tcPr>
            <w:tcW w:w="138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$534,516</w:t>
            </w:r>
          </w:p>
        </w:tc>
      </w:tr>
      <w:tr>
        <w:trPr>
          <w:trHeight w:val="137"/>
        </w:trPr>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center"/>
              <w:ind w:left="2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spacing w:after="0"/>
              <w:rPr>
                <w:sz w:val="11"/>
                <w:szCs w:val="11"/>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361" w:lineRule="exact"/>
        <w:rPr>
          <w:sz w:val="20"/>
          <w:szCs w:val="20"/>
          <w:color w:val="auto"/>
        </w:rPr>
      </w:pPr>
    </w:p>
    <w:p>
      <w:pPr>
        <w:ind w:left="580" w:right="20" w:hanging="572"/>
        <w:spacing w:after="0" w:line="276"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mortgage loan was consolidated as part of the buyout of a partnership interest. The mortgage bears interest at 6.99% per annum through July 11, 2008, (the "Optional Prepayment Date") and thereafter at a rate equal to the greater of 8.4% plus</w:t>
      </w:r>
    </w:p>
    <w:p>
      <w:pPr>
        <w:spacing w:after="0" w:line="1" w:lineRule="exact"/>
        <w:rPr>
          <w:rFonts w:ascii="Arial" w:cs="Arial" w:eastAsia="Arial" w:hAnsi="Arial"/>
          <w:sz w:val="19"/>
          <w:szCs w:val="19"/>
          <w:color w:val="auto"/>
        </w:rPr>
      </w:pPr>
    </w:p>
    <w:p>
      <w:pPr>
        <w:ind w:left="580" w:right="60"/>
        <w:spacing w:after="0" w:line="232" w:lineRule="auto"/>
        <w:rPr>
          <w:rFonts w:ascii="Arial" w:cs="Arial" w:eastAsia="Arial" w:hAnsi="Arial"/>
          <w:sz w:val="19"/>
          <w:szCs w:val="19"/>
          <w:color w:val="auto"/>
        </w:rPr>
      </w:pPr>
      <w:r>
        <w:rPr>
          <w:rFonts w:ascii="Arial" w:cs="Arial" w:eastAsia="Arial" w:hAnsi="Arial"/>
          <w:sz w:val="22"/>
          <w:szCs w:val="22"/>
          <w:color w:val="auto"/>
        </w:rPr>
        <w:t>5.0% or the Treasury Rate, as defined, plus 6.5% until the earlier of the date the mortgage is paid in full or its maturity date of July 11, 2028. The stated rate was less than that available to the OP in the public debt markets. Accordingly, the OP recorded a $1.2 million debt discount that is amortized over the period of the loan, which increases the effective interest rate to 7.26%. The mortgage may be prepaid in whole or in part at any time after the Optional Prepayment Date without a prepayment penalty. The mortgage calls for a $1.2 million fixed monthly interest plus principal payment based on a 26-year amortization schedule. During the nine months ended September 30, 2005 and 2004, the OP recognized $117,000 and $109,000, respectively, in debt discount amortization that is included in interest expense in the accompanying financial statements.</w:t>
      </w:r>
    </w:p>
    <w:p>
      <w:pPr>
        <w:spacing w:after="0" w:line="213" w:lineRule="exact"/>
        <w:rPr>
          <w:rFonts w:ascii="Arial" w:cs="Arial" w:eastAsia="Arial" w:hAnsi="Arial"/>
          <w:sz w:val="19"/>
          <w:szCs w:val="19"/>
          <w:color w:val="auto"/>
        </w:rPr>
      </w:pPr>
    </w:p>
    <w:p>
      <w:pPr>
        <w:ind w:left="580" w:right="40" w:hanging="572"/>
        <w:spacing w:after="0" w:line="235"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8.12% was greater than that available to the OP for comparable debt. Consequently, the OP recognized a $1.9 million debt premium that is amortized over the period of the loan, which reduces the effective interest rate to 6.29%. The mortgage loan calls for a $0.3 million fixed monthly debt service payment on a 17-year amortization schedule. During the nine months ended September 30, 2005 and 2004, the OP recognized approximately $0.2 million in debt premium amortization that is included in interest expense in the accompanying financial statements.</w:t>
      </w:r>
    </w:p>
    <w:p>
      <w:pPr>
        <w:spacing w:after="0" w:line="215" w:lineRule="exact"/>
        <w:rPr>
          <w:rFonts w:ascii="Arial" w:cs="Arial" w:eastAsia="Arial" w:hAnsi="Arial"/>
          <w:sz w:val="22"/>
          <w:szCs w:val="22"/>
          <w:color w:val="auto"/>
        </w:rPr>
      </w:pPr>
    </w:p>
    <w:p>
      <w:pPr>
        <w:ind w:left="580" w:hanging="572"/>
        <w:spacing w:after="0" w:line="234"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9.1% was greater than that available to the OP in the public debt markets. Accordingly, the OP recorded a $6.9 million debt premium that will be amortized over the period of the loan, which reduces the effective interest rate to 7.67%. The loan calls for fixed monthly debt service payments of $0.5 million for interest plus principal based on a 26-year amortization schedule. The mortgage loan matures in March 2028 but can be prepaid beginning December 2012. During the nine months ended September 30, 2005 and 2004, the OP recognized $0.4 million in debt premium amortization that is included in interest expense in the accompanying financial statements.</w:t>
      </w:r>
    </w:p>
    <w:p>
      <w:pPr>
        <w:spacing w:after="0" w:line="218" w:lineRule="exact"/>
        <w:rPr>
          <w:rFonts w:ascii="Arial" w:cs="Arial" w:eastAsia="Arial" w:hAnsi="Arial"/>
          <w:sz w:val="22"/>
          <w:szCs w:val="22"/>
          <w:color w:val="auto"/>
        </w:rPr>
      </w:pPr>
    </w:p>
    <w:p>
      <w:pPr>
        <w:ind w:left="580" w:right="40" w:hanging="572"/>
        <w:spacing w:after="0" w:line="235"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mortgage loan was assumed as part of an acquisition. The stated interest rate of 5.85% was greater than that available to the OP for comparable debt. Accordingly, the OP recorded a $3.4 million debt premium that will be amortized over the period of the loan, which reduces the effective interest rate to 5.10%. The loan calls for a $0.4 million fixed monthly debt service payment on a 25-year amortization schedule. During the nine months ended September 30, 2005 and 2004, the OP recognized approximately $0.2 million in debt premium amortization that is included in interest expense in the accompanying financial statements.</w:t>
      </w:r>
    </w:p>
    <w:p>
      <w:pPr>
        <w:sectPr>
          <w:pgSz w:w="11900" w:h="16863" w:orient="portrait"/>
          <w:cols w:equalWidth="0" w:num="1">
            <w:col w:w="11380"/>
          </w:cols>
          <w:pgMar w:left="240" w:top="118" w:right="279" w:bottom="0" w:gutter="0" w:footer="0" w:header="0"/>
        </w:sectPr>
      </w:pPr>
    </w:p>
    <w:bookmarkStart w:id="7" w:name="page8"/>
    <w:bookmarkEnd w:id="7"/>
    <w:p>
      <w:pPr>
        <w:jc w:val="center"/>
        <w:ind w:right="-1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Financial Instruments: Derivatives and Hedging</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OP employs interest rate and foreign currency forwards or purchased options to hedge qualifying anticipated transactions. Gains and losses are deferred and recognized in net income in the same period that the underlying hedged transaction affects net income, expires or is otherwise terminated or assigned.</w:t>
      </w:r>
    </w:p>
    <w:p>
      <w:pPr>
        <w:spacing w:after="0" w:line="186"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At September 30, 2005, the OP’s interest rate swap was reported at its fair value and classified as an other liability. At September 30, 2005, there were $0.2 million in deferred losses recorded in accumulated other comprehensive loss.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420" w:type="dxa"/>
            <w:vAlign w:val="bottom"/>
          </w:tcPr>
          <w:p>
            <w:pPr>
              <w:ind w:left="520"/>
              <w:spacing w:after="0"/>
              <w:rPr>
                <w:sz w:val="20"/>
                <w:szCs w:val="20"/>
                <w:color w:val="auto"/>
              </w:rPr>
            </w:pPr>
            <w:r>
              <w:rPr>
                <w:rFonts w:ascii="Courier New" w:cs="Courier New" w:eastAsia="Courier New" w:hAnsi="Courier New"/>
                <w:sz w:val="18"/>
                <w:szCs w:val="18"/>
                <w:b w:val="1"/>
                <w:bCs w:val="1"/>
                <w:color w:val="auto"/>
              </w:rPr>
              <w:t>Hedge Type</w:t>
            </w:r>
          </w:p>
        </w:tc>
        <w:tc>
          <w:tcPr>
            <w:tcW w:w="2000" w:type="dxa"/>
            <w:vAlign w:val="bottom"/>
          </w:tcPr>
          <w:p>
            <w:pPr>
              <w:ind w:left="200"/>
              <w:spacing w:after="0"/>
              <w:rPr>
                <w:sz w:val="20"/>
                <w:szCs w:val="20"/>
                <w:color w:val="auto"/>
              </w:rPr>
            </w:pPr>
            <w:r>
              <w:rPr>
                <w:rFonts w:ascii="Courier New" w:cs="Courier New" w:eastAsia="Courier New" w:hAnsi="Courier New"/>
                <w:sz w:val="18"/>
                <w:szCs w:val="18"/>
                <w:b w:val="1"/>
                <w:bCs w:val="1"/>
                <w:color w:val="auto"/>
              </w:rPr>
              <w:t>Notional Value</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b w:val="1"/>
                <w:bCs w:val="1"/>
                <w:color w:val="auto"/>
              </w:rPr>
              <w:t>Rate</w:t>
            </w:r>
          </w:p>
        </w:tc>
        <w:tc>
          <w:tcPr>
            <w:tcW w:w="1620" w:type="dxa"/>
            <w:vAlign w:val="bottom"/>
          </w:tcPr>
          <w:p>
            <w:pPr>
              <w:ind w:left="360"/>
              <w:spacing w:after="0"/>
              <w:rPr>
                <w:sz w:val="20"/>
                <w:szCs w:val="20"/>
                <w:color w:val="auto"/>
              </w:rPr>
            </w:pPr>
            <w:r>
              <w:rPr>
                <w:rFonts w:ascii="Courier New" w:cs="Courier New" w:eastAsia="Courier New" w:hAnsi="Courier New"/>
                <w:sz w:val="18"/>
                <w:szCs w:val="18"/>
                <w:b w:val="1"/>
                <w:bCs w:val="1"/>
                <w:color w:val="auto"/>
              </w:rPr>
              <w:t>Maturity</w:t>
            </w:r>
          </w:p>
        </w:tc>
        <w:tc>
          <w:tcPr>
            <w:tcW w:w="1800" w:type="dxa"/>
            <w:vAlign w:val="bottom"/>
          </w:tcPr>
          <w:p>
            <w:pPr>
              <w:ind w:left="540"/>
              <w:spacing w:after="0"/>
              <w:rPr>
                <w:sz w:val="20"/>
                <w:szCs w:val="20"/>
                <w:color w:val="auto"/>
              </w:rPr>
            </w:pPr>
            <w:r>
              <w:rPr>
                <w:rFonts w:ascii="Courier New" w:cs="Courier New" w:eastAsia="Courier New" w:hAnsi="Courier New"/>
                <w:sz w:val="18"/>
                <w:szCs w:val="18"/>
                <w:b w:val="1"/>
                <w:bCs w:val="1"/>
                <w:color w:val="auto"/>
              </w:rPr>
              <w:t>Fair Value</w:t>
            </w:r>
          </w:p>
        </w:tc>
      </w:tr>
      <w:tr>
        <w:trPr>
          <w:trHeight w:val="203"/>
        </w:trPr>
        <w:tc>
          <w:tcPr>
            <w:tcW w:w="2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4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Swap, Cash Flow</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$64.6 million</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5.7625%</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1/1/2006</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($0.3 million)</w:t>
            </w:r>
          </w:p>
        </w:tc>
      </w:tr>
    </w:tbl>
    <w:p>
      <w:pPr>
        <w:spacing w:after="0" w:line="197"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The notional value and fair value of the above hedge provides an indication of the extent of the OP’s involvement in financial derivative instruments at September 30, 2005, but does not represent exposure to credit, interest rate, foreign exchange or market risk.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Preferred Units</w:t>
      </w:r>
    </w:p>
    <w:p>
      <w:pPr>
        <w:spacing w:after="0" w:line="212"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In September 2004, the Company completed a private sale of $65 million of Series C Variable Rate Preferred Stock (the Series C Preferred Stock). Proceeds from the sale were used to redeem the OP’s Series B Cumulative Redeemable Preferred Units for approximately $65 million. The private sale was for 2.6 million restricted shares having a liquidation preference of $25.00 per share. The Series C Preferred Stock was redeemable at the Company’s option, and paid a cumulative quarterly dividend at a rate equal to the London Interbank Offered Rate (“LIBOR”) plus 1.0%. Pursuant to the Merger Agreement, on October 13, 2004, the Series C Preferred Stock was fully redeemed.</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Partners' Capital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schedule of partners' capital balances at September 30, 2005 (in thousands):</w:t>
      </w:r>
    </w:p>
    <w:p>
      <w:pPr>
        <w:spacing w:after="0" w:line="355" w:lineRule="exact"/>
        <w:rPr>
          <w:sz w:val="20"/>
          <w:szCs w:val="20"/>
          <w:color w:val="auto"/>
        </w:rPr>
      </w:pPr>
    </w:p>
    <w:tbl>
      <w:tblPr>
        <w:tblLayout w:type="fixed"/>
        <w:tblInd w:w="440" w:type="dxa"/>
        <w:tblCellMar>
          <w:top w:w="0" w:type="dxa"/>
          <w:left w:w="0" w:type="dxa"/>
          <w:bottom w:w="0" w:type="dxa"/>
          <w:right w:w="0" w:type="dxa"/>
        </w:tblCellMar>
      </w:tblPr>
      <w:tr>
        <w:trPr>
          <w:trHeight w:val="136"/>
        </w:trPr>
        <w:tc>
          <w:tcPr>
            <w:tcW w:w="3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jc w:val="right"/>
              <w:ind w:right="519"/>
              <w:spacing w:after="0"/>
              <w:rPr>
                <w:sz w:val="20"/>
                <w:szCs w:val="20"/>
                <w:color w:val="auto"/>
              </w:rPr>
            </w:pPr>
            <w:r>
              <w:rPr>
                <w:rFonts w:ascii="Courier New" w:cs="Courier New" w:eastAsia="Courier New" w:hAnsi="Courier New"/>
                <w:sz w:val="12"/>
                <w:szCs w:val="12"/>
                <w:b w:val="1"/>
                <w:bCs w:val="1"/>
                <w:color w:val="auto"/>
              </w:rPr>
              <w:t>Accum.</w:t>
            </w:r>
          </w:p>
        </w:tc>
        <w:tc>
          <w:tcPr>
            <w:tcW w:w="1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124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General</w:t>
            </w:r>
          </w:p>
        </w:tc>
        <w:tc>
          <w:tcPr>
            <w:tcW w:w="132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Limited</w:t>
            </w:r>
          </w:p>
        </w:tc>
        <w:tc>
          <w:tcPr>
            <w:tcW w:w="14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Other Comp.</w:t>
            </w:r>
          </w:p>
        </w:tc>
        <w:tc>
          <w:tcPr>
            <w:tcW w:w="1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124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Partner</w:t>
            </w:r>
          </w:p>
        </w:tc>
        <w:tc>
          <w:tcPr>
            <w:tcW w:w="1320" w:type="dxa"/>
            <w:vAlign w:val="bottom"/>
          </w:tcPr>
          <w:p>
            <w:pPr>
              <w:ind w:left="300"/>
              <w:spacing w:after="0"/>
              <w:rPr>
                <w:sz w:val="20"/>
                <w:szCs w:val="20"/>
                <w:color w:val="auto"/>
              </w:rPr>
            </w:pPr>
            <w:r>
              <w:rPr>
                <w:rFonts w:ascii="Courier New" w:cs="Courier New" w:eastAsia="Courier New" w:hAnsi="Courier New"/>
                <w:sz w:val="12"/>
                <w:szCs w:val="12"/>
                <w:b w:val="1"/>
                <w:bCs w:val="1"/>
                <w:color w:val="auto"/>
              </w:rPr>
              <w:t>Partners</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(Loss) Income</w:t>
            </w:r>
          </w:p>
        </w:tc>
        <w:tc>
          <w:tcPr>
            <w:tcW w:w="110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0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r>
      <w:tr>
        <w:trPr>
          <w:trHeight w:val="137"/>
        </w:trPr>
        <w:tc>
          <w:tcPr>
            <w:tcW w:w="3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Balance December 31, 2004................</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$528,613</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$144,343</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$(749)</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$672,207</w:t>
            </w:r>
          </w:p>
        </w:tc>
      </w:tr>
      <w:tr>
        <w:trPr>
          <w:trHeight w:val="270"/>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Net income...............................</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57,604</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70,566</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128,170</w:t>
            </w:r>
          </w:p>
        </w:tc>
      </w:tr>
      <w:tr>
        <w:trPr>
          <w:trHeight w:val="268"/>
        </w:trPr>
        <w:tc>
          <w:tcPr>
            <w:tcW w:w="3060" w:type="dxa"/>
            <w:vAlign w:val="bottom"/>
          </w:tcPr>
          <w:p>
            <w:pPr>
              <w:jc w:val="right"/>
              <w:ind w:right="1019"/>
              <w:spacing w:after="0"/>
              <w:rPr>
                <w:sz w:val="20"/>
                <w:szCs w:val="20"/>
                <w:color w:val="auto"/>
              </w:rPr>
            </w:pPr>
            <w:r>
              <w:rPr>
                <w:rFonts w:ascii="Courier New" w:cs="Courier New" w:eastAsia="Courier New" w:hAnsi="Courier New"/>
                <w:sz w:val="12"/>
                <w:szCs w:val="12"/>
                <w:color w:val="auto"/>
              </w:rPr>
              <w:t>Other comprehensive income:</w:t>
            </w: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37"/>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Foreign currency translation...........</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(458)</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(458)</w:t>
            </w:r>
          </w:p>
        </w:tc>
      </w:tr>
      <w:tr>
        <w:trPr>
          <w:trHeight w:val="268"/>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Interest rate swap.....................</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1,423</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1,423</w:t>
            </w:r>
          </w:p>
        </w:tc>
      </w:tr>
      <w:tr>
        <w:trPr>
          <w:trHeight w:val="135"/>
        </w:trPr>
        <w:tc>
          <w:tcPr>
            <w:tcW w:w="3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Total comprehensive income...............</w:t>
            </w: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129,135</w:t>
            </w:r>
          </w:p>
        </w:tc>
      </w:tr>
      <w:tr>
        <w:trPr>
          <w:trHeight w:val="135"/>
        </w:trPr>
        <w:tc>
          <w:tcPr>
            <w:tcW w:w="3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Reallocate book value....................</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39,429</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(39,429)</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Partial Company liquidation..............</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(449,655)</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449,655</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spacing w:after="0"/>
              <w:rPr>
                <w:sz w:val="11"/>
                <w:szCs w:val="11"/>
                <w:color w:val="auto"/>
              </w:rPr>
            </w:pP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color w:val="auto"/>
              </w:rPr>
              <w:t>Distributions............................</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(60,286)</w:t>
            </w:r>
          </w:p>
        </w:tc>
        <w:tc>
          <w:tcPr>
            <w:tcW w:w="13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(46,214)</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(106,500)</w:t>
            </w:r>
          </w:p>
        </w:tc>
      </w:tr>
      <w:tr>
        <w:trPr>
          <w:trHeight w:val="135"/>
        </w:trPr>
        <w:tc>
          <w:tcPr>
            <w:tcW w:w="30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0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Balance September 30, 2005...............</w:t>
            </w:r>
          </w:p>
        </w:tc>
        <w:tc>
          <w:tcPr>
            <w:tcW w:w="12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$115,705</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$578,921</w:t>
            </w:r>
          </w:p>
        </w:tc>
        <w:tc>
          <w:tcPr>
            <w:tcW w:w="146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$ 216</w:t>
            </w:r>
          </w:p>
        </w:tc>
        <w:tc>
          <w:tcPr>
            <w:tcW w:w="110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$694,842</w:t>
            </w:r>
          </w:p>
        </w:tc>
      </w:tr>
      <w:tr>
        <w:trPr>
          <w:trHeight w:val="137"/>
        </w:trPr>
        <w:tc>
          <w:tcPr>
            <w:tcW w:w="30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2"/>
                <w:szCs w:val="12"/>
                <w:b w:val="1"/>
                <w:bCs w:val="1"/>
                <w:color w:val="auto"/>
                <w:w w:val="99"/>
              </w:rPr>
              <w:t>==============</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21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No provision has been made for income taxes in the accompanying consolidated financial statements since such taxes, if any, are the responsibility of the individual partners.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Net Income Per Partner</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Net income per partner is determined by allocating net income to the general partner (including the general partner’s preferred unit allocation) and the limited partners based on profit ownership percentages during the respective periods presented. On June 1, 2005, the Company, in a partial liquidation transferred approximately $449.7 million of its capital and profit interests to the newly formed limited partner, CPG Holdings LLC. Net income per partner of approximately $4.2 million for the quarter ended June 30, 2005 has been reallocated from the general partner to the limited partners to reflect the new profit ownership percentages.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w:t>
      </w:r>
    </w:p>
    <w:p>
      <w:pPr>
        <w:sectPr>
          <w:pgSz w:w="11900" w:h="16838" w:orient="portrait"/>
          <w:cols w:equalWidth="0" w:num="1">
            <w:col w:w="11320"/>
          </w:cols>
          <w:pgMar w:left="240" w:top="571" w:right="339" w:bottom="188" w:gutter="0" w:footer="0" w:header="0"/>
        </w:sectPr>
      </w:pPr>
    </w:p>
    <w:bookmarkStart w:id="8" w:name="page9"/>
    <w:bookmarkEnd w:id="8"/>
    <w:p>
      <w:pPr>
        <w:ind w:right="20"/>
        <w:spacing w:after="0" w:line="251" w:lineRule="auto"/>
        <w:rPr>
          <w:sz w:val="20"/>
          <w:szCs w:val="20"/>
          <w:color w:val="auto"/>
        </w:rPr>
      </w:pPr>
      <w:r>
        <w:rPr>
          <w:rFonts w:ascii="Arial" w:cs="Arial" w:eastAsia="Arial" w:hAnsi="Arial"/>
          <w:sz w:val="22"/>
          <w:szCs w:val="22"/>
          <w:color w:val="auto"/>
        </w:rPr>
        <w:t>Borrowings related to Chelsea Japan for which the OP has provided guarantees for repayment of debt as of September 30, 2005, are as follows (in thousands):</w:t>
      </w:r>
    </w:p>
    <w:p>
      <w:pPr>
        <w:spacing w:after="0" w:line="323" w:lineRule="exact"/>
        <w:rPr>
          <w:sz w:val="20"/>
          <w:szCs w:val="20"/>
          <w:color w:val="auto"/>
        </w:rPr>
      </w:pPr>
    </w:p>
    <w:tbl>
      <w:tblPr>
        <w:tblLayout w:type="fixed"/>
        <w:tblInd w:w="52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1560" w:type="dxa"/>
            <w:vAlign w:val="bottom"/>
            <w:gridSpan w:val="2"/>
          </w:tcPr>
          <w:p>
            <w:pPr>
              <w:ind w:left="420"/>
              <w:spacing w:after="0"/>
              <w:rPr>
                <w:sz w:val="20"/>
                <w:szCs w:val="20"/>
                <w:color w:val="auto"/>
              </w:rPr>
            </w:pPr>
            <w:r>
              <w:rPr>
                <w:rFonts w:ascii="Courier New" w:cs="Courier New" w:eastAsia="Courier New" w:hAnsi="Courier New"/>
                <w:sz w:val="12"/>
                <w:szCs w:val="12"/>
                <w:b w:val="1"/>
                <w:bCs w:val="1"/>
                <w:color w:val="auto"/>
              </w:rPr>
              <w:t>Total Facility</w:t>
            </w: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Outstanding</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2"/>
          </w:tcPr>
          <w:p>
            <w:pPr>
              <w:ind w:left="40"/>
              <w:spacing w:after="0"/>
              <w:rPr>
                <w:sz w:val="20"/>
                <w:szCs w:val="20"/>
                <w:color w:val="auto"/>
              </w:rPr>
            </w:pPr>
            <w:r>
              <w:rPr>
                <w:rFonts w:ascii="Courier New" w:cs="Courier New" w:eastAsia="Courier New" w:hAnsi="Courier New"/>
                <w:sz w:val="5"/>
                <w:szCs w:val="5"/>
                <w:color w:val="auto"/>
                <w:w w:val="73"/>
              </w:rPr>
              <w:t>-------------------------------------------------------------------------</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Due</w:t>
            </w:r>
          </w:p>
        </w:tc>
        <w:tc>
          <w:tcPr>
            <w:tcW w:w="7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w w:val="97"/>
              </w:rPr>
              <w:t>Interest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98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US $ Equivalent</w:t>
            </w: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Yen</w:t>
            </w:r>
          </w:p>
        </w:tc>
        <w:tc>
          <w:tcPr>
            <w:tcW w:w="146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US $ Equivalent</w:t>
            </w:r>
          </w:p>
        </w:tc>
        <w:tc>
          <w:tcPr>
            <w:tcW w:w="4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US $</w:t>
            </w:r>
          </w:p>
        </w:tc>
        <w:tc>
          <w:tcPr>
            <w:tcW w:w="84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Guarantee</w:t>
            </w: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Date</w:t>
            </w:r>
          </w:p>
        </w:tc>
        <w:tc>
          <w:tcPr>
            <w:tcW w:w="72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rPr>
              <w:t>3.8</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$33.5</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2.8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w w:val="94"/>
              </w:rPr>
              <w:t>$24.5</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$9.8</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2015</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2.06%</w:t>
            </w:r>
          </w:p>
        </w:tc>
      </w:tr>
      <w:tr>
        <w:trPr>
          <w:trHeight w:val="137"/>
        </w:trPr>
        <w:tc>
          <w:tcPr>
            <w:tcW w:w="300" w:type="dxa"/>
            <w:vAlign w:val="bottom"/>
          </w:tcPr>
          <w:p>
            <w:pPr>
              <w:spacing w:after="0"/>
              <w:rPr>
                <w:sz w:val="20"/>
                <w:szCs w:val="20"/>
                <w:color w:val="auto"/>
              </w:rPr>
            </w:pPr>
            <w:r>
              <w:rPr>
                <w:rFonts w:ascii="Courier New" w:cs="Courier New" w:eastAsia="Courier New" w:hAnsi="Courier New"/>
                <w:sz w:val="12"/>
                <w:szCs w:val="12"/>
                <w:color w:val="auto"/>
              </w:rPr>
              <w:t>0.6</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5.3</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0.4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3.6</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1.4</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2012</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1.50%</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(1) Facilities entered into by Chelsea Japan, secured by Gotemba and Rinku and 40% severally guaranteed by the OP.</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 (continued)</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In May 2002, the OP entered into a 50/50 joint venture agreement with Sordo Madaleno y Asociados and affiliates to jointly develop Premium Outlet centers in Mexico. In January 2004, a wholly-owned subsidiary of the OP entered into a 180 million peso denominated credit facility, which is guaranteed by the OP, to fund its share of construction costs. The outstanding balance on the peso facility was fully repaid in February 2005.</w:t>
      </w:r>
    </w:p>
    <w:p>
      <w:pPr>
        <w:spacing w:after="0" w:line="185"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The OP provided limited debt service guarantees to Value Retail and affiliates, under a standby facility for loans provided to Value Retail and affiliates to construct outlet centers in Europe. The outstanding guarantees, which had a maximum limit of $22 million, were terminated on September 30, 2005.</w:t>
      </w:r>
    </w:p>
    <w:p>
      <w:pPr>
        <w:spacing w:after="0" w:line="186"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At September 30, 2005, other assets include $9.2 million and accrued expenses and other liabilities include $28.9 million related to the 2002 and 2005 deferred unit incentive programs, which may be paid to certain key officers in 2007 and 2010, respectively.</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OP is not presently involved in any material litigation nor, to its knowledge, is any material litigation threatened against the OP or its properties, other than routine litigation arising in the ordinary course of business. Management believes the costs incurred by the OP related to any of its litigation will not be material and have been adequately provided for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Information</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In August 2005, the OP borrowed $35.0 million from Simon and issued an unsecured promissory note due August 1, 2006. Interest is payable at maturity at LIBOR plus 1% per annum. The borrowed funds were used to redeem a portion of the OP’s $50 million 8.375% notes that were due August 2005.</w:t>
      </w:r>
    </w:p>
    <w:p>
      <w:pPr>
        <w:spacing w:after="0" w:line="18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Pursuant to the merger with Simon in 2004, the Company purchased two annuity contracts in consideration of the non-competition covenants of its CEO and a President totaling $21.5 million. These contracts are included in restricted cash-escrows in the accompanying financial statements.</w:t>
      </w:r>
    </w:p>
    <w:p>
      <w:pPr>
        <w:spacing w:after="0" w:line="18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In October 2004, the OP borrowed $235.3 million from Simon and issued an unsecured promissory note due August 1, 2005. Interest is payable at maturity at LIBOR plus 1% per annum. The borrowed funds were used primarily to repay the OP’s senior unsecured line of credit, the $5 million term loan, and the $100 million term loan. In August 2005, accrued interest was paid and the note was extended for one year through August 1, 2006.</w:t>
      </w:r>
    </w:p>
    <w:p>
      <w:pPr>
        <w:spacing w:after="0" w:line="185"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Also in October 2004, the OP borrowed $65.0 million from Simon and issued an unsecured promissory note due December 31, 2004. In January 2005, accrued and unpaid interest of $0.6 million was added to the principal balance and the note was extended until August 1, 2005. Interest is payable at maturity at LIBOR plus 1% per annum. The borrowed funds were used to redeem the Series C Preferred Stock prior to the merger closing on October 14, 2004. In August 2005, accrued interest was paid and the note was extended for one year through August 1, 2006.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rPr>
          <w:sz w:val="20"/>
          <w:szCs w:val="20"/>
          <w:color w:val="auto"/>
        </w:rPr>
      </w:pPr>
      <w:r>
        <w:rPr>
          <w:rFonts w:ascii="Arial" w:cs="Arial" w:eastAsia="Arial" w:hAnsi="Arial"/>
          <w:sz w:val="22"/>
          <w:szCs w:val="22"/>
          <w:b w:val="1"/>
          <w:bCs w:val="1"/>
          <w:i w:val="1"/>
          <w:i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Information (continued)</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 March 2005, a wholly owned equity investor in Japan, Chelsea International Operating Corp., entered into a 4.0 billion yen line of credit agreement with Simon and issued an unsecured promissory note due January 2008. Interest is currently payable monthly at yen LIBOR plus 0.55% per annum, but the interest rate may adjust depending on Simon’s credit rating. Borrowings under the Simon credit agreement were used to repay and extinguish the 4 billion yen bank line of credit, which provided funding for projects being developed in Japan. The outstanding balance at September 30, 2005 totaled 1.8 billion yen (approximately US $15.8 million).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The loans made by Simon are included in notes payable-related parties in the accompanying financial statements.</w:t>
      </w:r>
    </w:p>
    <w:p>
      <w:pPr>
        <w:sectPr>
          <w:pgSz w:w="11900" w:h="16838" w:orient="portrait"/>
          <w:cols w:equalWidth="0" w:num="1">
            <w:col w:w="11420"/>
          </w:cols>
          <w:pgMar w:left="240" w:top="118" w:right="239" w:bottom="7" w:gutter="0" w:footer="0" w:header="0"/>
        </w:sectPr>
      </w:pPr>
    </w:p>
    <w:bookmarkStart w:id="9" w:name="page10"/>
    <w:bookmarkEnd w:id="9"/>
    <w:p>
      <w:pPr>
        <w:ind w:right="420"/>
        <w:spacing w:after="0" w:line="252" w:lineRule="auto"/>
        <w:rPr>
          <w:sz w:val="20"/>
          <w:szCs w:val="20"/>
          <w:color w:val="auto"/>
        </w:rPr>
      </w:pPr>
      <w:r>
        <w:rPr>
          <w:rFonts w:ascii="Arial" w:cs="Arial" w:eastAsia="Arial" w:hAnsi="Arial"/>
          <w:sz w:val="21"/>
          <w:szCs w:val="21"/>
          <w:color w:val="auto"/>
        </w:rPr>
        <w:t>Chelsea International Operating Corp. has advanced partner loans to Chelsea Japan totaling 2.0 billion yen (approximately US $17.2 million) at September 30, 2005. The loans, which were used to fund construction costs, bear interest ranging from yen LIBOR plus 2.0% to 3.0% (averaging 2.66% at September 30, 2005) and mature through 2015. The loans are included in notes receivable-related parties in the accompanying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Fair Value of Financial Instruments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following disclosures of estimated fair value were determined by management, using available market information and appropriate valuation methodologies. Considerable judgment is necessary to interpret market data and develop estimated fair value. Accordingly, the estimates presented herein are not necessarily indicative of the amounts the OP could realize on disposition of the financial instruments. The use of different market assumptions and/or estimation methodologies may have a material effect on the estimated fair value amounts.</w:t>
      </w:r>
    </w:p>
    <w:p>
      <w:pPr>
        <w:spacing w:after="0" w:line="188"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Disclosure about fair value of financial instruments is based on pertinent information available to management as of September 30, 2005. Although management is not aware of any factors that would significantly affect the reasonable fair value amounts, such amounts have not been comprehensively revalued for purposes of these financial statements since such date and current estimates of fair value may differ significantly from the amounts presented herein.</w:t>
      </w:r>
    </w:p>
    <w:p>
      <w:pPr>
        <w:spacing w:after="0" w:line="174"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Cash equivalents, accounts receivable, accounts payable, and revolving credit facilities balances reasonably approximate their fair values due to the short maturities of these items. Mortgage debt and the unsecured notes payable have an estimated fair value based on discounted cash flow models of approximately $1.0 billion, which exceeds the book value by approximately $48 million. Unsecured bank debt and notes payable to related parties are carried at an amount which reasonably approximates its fair value since it is a variable rate instrument whose interest rate reprices frequently.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Recent Accounting Pronouncements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In January 2003, the FASB issued Interpretation No. 46, “Consolidation of Variable Interest Entities” (“FIN 46”). FIN 46 clarifies the application of existing accounting pronouncements to certain entities in which equity investors do not have the characteristics of a controlling financial interest or do not have sufficient equity at risk for the entity to finance its activities without additional subordinated financial support from other parties. The provisions of FIN 46 will be immediately effective for all variable interests in variable interest entities created after January 31, 2003. The OP has not created any variable interest entities subsequent to January 31, 2003. In December 2003, FASB issued a revision to Interpretation 46 (“FIN 46-R”) to clarify the provisions of FIN 46. The application of FIN 46-R is effective for public companies, other than small business issuers, after March 15, 2004. The application of FIN 46-R did not have a significant impact on the OP’s financial statements.</w:t>
      </w:r>
    </w:p>
    <w:p>
      <w:pPr>
        <w:spacing w:after="0" w:line="158"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In June 2005, the FASB ratified its consensus in EITF issue 04-05, “Determining Whether a General Partner, or the General Partners as a Group, Controls a Limited Partnership or Similar Entity When the Limited Partners Have Certain Rights” (Issue 04-05). The effective date for Issue 04-05 is June 29, 2005 for all new or modified partnerships and January 1, 2006 for all other partnerships for the applicable provisions. The OP is in the process of determining the impact of adoption of EITF 04-05.</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following discussion should be read in connection with the accompanying unaudited condensed consolidated financial statements and notes thereto. These financial statements include all adjustments, which in the opinion of management are necessary to reflect a fair statement of results for all interim periods presented, and all such adjustments are of a normal recurring nature. You should read the following discussion in conjunction with the financial statements and notes thereto that are included in the December 31, 2004 Form 10K. Certain statements made in this section or elsewhere in this report may be deemed "forward-looking statements" within the meaning of the Private Securities Litigation Reform Act of 1995. Although we believe the expectations reflected in any forward-looking statements are based on reasonable assumptions, we can give no assurance that our expectations will be attained, and it is possible that our actual results may differ materially from those indicated by these forward-looking statements due to a variety of risks and uncertainties. Those risks and uncertainties incidental to the ownership and operation of commercial real estate include, but are not limited to: national, international, regional and local economic climates, competitive market forces, changes in market rental rates, trends in the retail industry, the inability to collect rent due to the bankruptcy or insolvency of tenants or otherwise, risks associated with acquisitions, the impact of terrorist activities, environmental liabilities, the availability of financing, and changes in market rates of interest and fluctuations in exchange rates of foreign currencies. We undertake no duty or obligation to update or revise these forward-looking statements, whether as a result of new information, future developments, or otherwise.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CPG Partners, L.P., a Delaware limited partnership, (the "Operating Partnership" or "OP") is owned by its sole general partner, Chelsea Property Group, Inc. (the "Company") and its limited partners, Simon Property Group, L.P., ("Simon") and CPG Holdings LLC.</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OP specializes in owning, developing, leasing, marketing and managing upscale and fashion-oriented manufacturers’ outlet centers. As of September 30, 2005, the OP wholly or partially-owned 61 centers in 30 states, Japan and Mexico containing approximately 17.3 million square feet of gross leasable area (“GLA”); the OP’s portfolio comprised 42 domestic and international outlet centers containing 14.9 million square feet of GLA (the “Outlet Centers”) and 19 other centers containing approximately 2.4 million square feet of GLA (“Other Retail”) (collectively the “Properties”). The Outlet Centers generated approximately 97% of the</w:t>
      </w:r>
    </w:p>
    <w:p>
      <w:pPr>
        <w:sectPr>
          <w:pgSz w:w="11900" w:h="16838" w:orient="portrait"/>
          <w:cols w:equalWidth="0" w:num="1">
            <w:col w:w="11420"/>
          </w:cols>
          <w:pgMar w:left="240" w:top="118" w:right="239" w:bottom="0" w:gutter="0" w:footer="0" w:header="0"/>
        </w:sectPr>
      </w:pPr>
    </w:p>
    <w:bookmarkStart w:id="10" w:name="page11"/>
    <w:bookmarkEnd w:id="10"/>
    <w:p>
      <w:pPr>
        <w:ind w:right="260"/>
        <w:spacing w:after="0" w:line="287" w:lineRule="auto"/>
        <w:rPr>
          <w:sz w:val="20"/>
          <w:szCs w:val="20"/>
          <w:color w:val="auto"/>
        </w:rPr>
      </w:pPr>
      <w:r>
        <w:rPr>
          <w:rFonts w:ascii="Arial" w:cs="Arial" w:eastAsia="Arial" w:hAnsi="Arial"/>
          <w:sz w:val="19"/>
          <w:szCs w:val="19"/>
          <w:color w:val="auto"/>
        </w:rPr>
        <w:t>OP’s real estate net operating income for the nine months ended September 30, 2005, and 2004. The Outlet Centers generally are located near metropolitan areas including New York City, Los Angeles, Chicago, Boston, Washington, D.C., San Francisco, Sacramento, Atlanta, Dallas, Seattle, Mexico City, Mexico and Tokyo, Osaka and Nagoya, Japan. Some Outlet Centers are also located within 20 miles of major tourist destinations including Palm Springs, Napa Valley, Orlando, Las Vegas and Honolulu.</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Management of the OP seeks growth in earnings and cash flows through focusing on its core business of manufacturers’ outlet centers and pursuing new development as well as strategic expansion and renovation activity to enhance existing assets’ profitability and market share when management believes the investment of additional capital meets its risk-reward criteria. The OP seeks to selectively develop new properties in major metropolitan areas or tourist destinations that exhibit strong population and economic growth.</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The OP derives most of its liquidity from leases that generate positive net cash flow from operations. The majority of revenue is generated from leases with retail tenants including base minimum rents, overage and percentage rents based on tenants’ sales volume and recoveries of a significant amount of the recoverable expenditures, which consist of property operating, real estate tax and advertising and promotional expenditures. Bankruptcy filings by retailers are normal in the course of operations. The OP is continually releasing vacant spaces resulting from tenant termination. Pressures that affect consumer confidence, job growth, energy costs and income gains can affect retail sales growth, and a continuing soft economic cycle may impact the OP’s ability to retenant property vacancies resulting from bankruptcies.</w:t>
      </w:r>
    </w:p>
    <w:p>
      <w:pPr>
        <w:spacing w:after="0" w:line="153"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Inflation has remained relatively low in recent years and has had minimal impact on the operating performance of the Properties. Substantially all leases contain provisions, including escalations of base rents and percentage rentals calculated on gross sales, to mitigate the impact of inflation. Inflationary increases in common area maintenance and real estate tax expenses are substantially reimbursed by tenants. Virtually all tenants have met their lease obligations and the OP continues to attract and retain quality tenants. The OP intends to reduce operating and leasing risks by continually improving its tenant mix, rental rates and lease terms and by pursuing contracts with creditworthy upscale and national brand-name tenants</w:t>
      </w:r>
      <w:r>
        <w:rPr>
          <w:rFonts w:ascii="Arial" w:cs="Arial" w:eastAsia="Arial" w:hAnsi="Arial"/>
          <w:sz w:val="19"/>
          <w:szCs w:val="19"/>
          <w:b w:val="1"/>
          <w:bCs w:val="1"/>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The OP’s discussion and analysis of its financial condition and results of operations are based upon the OP’s consolidated financial statements which have been prepared in accordance with accounting principles generally accepted in the United States. The preparation of these financial statements requires the OP to make estimates and judgments that affect the reported amounts of assets, liabilities, revenues and expenses. The OP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960"/>
        <w:spacing w:after="0" w:line="251" w:lineRule="auto"/>
        <w:rPr>
          <w:sz w:val="20"/>
          <w:szCs w:val="20"/>
          <w:color w:val="auto"/>
        </w:rPr>
      </w:pPr>
      <w:r>
        <w:rPr>
          <w:rFonts w:ascii="Arial" w:cs="Arial" w:eastAsia="Arial" w:hAnsi="Arial"/>
          <w:sz w:val="22"/>
          <w:szCs w:val="22"/>
          <w:color w:val="auto"/>
        </w:rPr>
        <w:t>The OP believes the following critical accounting policies affect its more significant judgments and estimates used in the preparation of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Price Allocation</w:t>
      </w:r>
    </w:p>
    <w:p>
      <w:pPr>
        <w:spacing w:after="0" w:line="21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OP allocates the purchase price of real estate to land, building, and tenant improvements and if determined to be material, intangibles, such as the value of above, below and at market leases and origination cost associated with in-place leases. The OP depreciates the amount allocated to building and other intangible assets over their estimated useful lives, which generally range from five to forty years. The values of the above and below market leases are amortized and recorded as either an increase (in the case of below market leases) or a decrease (in the case of above market leases) to rental income over the remaining term of the associated lease. The values associated with in-place leases are amortized over the term of the lease.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contractual expiration date). The OP assesses fair value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The OP maintains an allowance for doubtful accounts for estimated losses resulting from the inability of its tenants to make required rent payments. If the financial condition of the OP’s tenants were to deteriorate, resulting in an impairment of their ability to make payments, additional allowances may be required. The OP’s allowance for doubtful accounts included in tenant accounts receivable totaled $2.4 million and $2.2 million at September 30, 2005 and December 31, 2004,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Investments</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On a periodic basis, management assesses whether there are any indicators that the value of real estate properties, including joint venture properties, may be impaired. If the carrying amount of the property is greater than the estimated expected future cash flow (undiscounted and without interest charges) of the asset, impairment has occurred. In first quarter 2004, the OP sold and recognized an impairment loss of $0.9 million on the disposition of two non-core properties; Lake George, New York and Iowa, Louisiana, which is reflected in other expense in the accompanying financial statements.</w:t>
      </w:r>
    </w:p>
    <w:p>
      <w:pPr>
        <w:sectPr>
          <w:pgSz w:w="11900" w:h="16838" w:orient="portrait"/>
          <w:cols w:equalWidth="0" w:num="1">
            <w:col w:w="11420"/>
          </w:cols>
          <w:pgMar w:left="240" w:top="118" w:right="239" w:bottom="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General Overview</w:t>
      </w:r>
    </w:p>
    <w:p>
      <w:pPr>
        <w:spacing w:after="0" w:line="21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Rental revenue from wholly owned assets increased $11.0 million or 14.6%, to $85.9 million from $74.9 million for the three months ended September 30, 2005. Third quarter 2005 total revenue was up $18.1 million or 18.0%, to $118.5 million from $100.4 million in 2004, primarily due to higher rents, an acquisition, new development and an expansion of an existing center. For the nine months ended September 30, 2005, rental revenue grew $26.6 million or 12.2%, to $244.1 million from $217.5 million in the year earlier period. For the same nine-month period total revenue rose 13.8% or $40.0 million, to $329.6 million from $289.6 million in 2004.</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Third quarter 2005 income from unconsolidated investments decreased 8.0%, or $0.6 million, primarily from the sales of outparcels at Chicago Premium Outlets and Las Vegas Premium Outlets in the year earlier period. For the nine months ended September 30, 2005, unconsolidated income grew by $2.4 million or 14.0%, to $19.8 million from $17.4 million in 2004, due to the openings of Chicago Premium Outlets in May 2004 and Toki Premium Outlets in March 2005 and the expansions of Sano Premium Outlets and Rinku Premium Outlets in 2004.</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At September 30, 2005, the OP’s portfolio consisted of 61 wholly or partially owned properties containing 17.3 million square feet of gross leasable area (“GLA”). The OP’s portfolio included 42 Outlet centers containing 14.9 million square feet of GLA and Other Retail included 19 centers containing 2.4 million square feet of GLA.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Details of the 0.4 million square feet of net GLA added since October 1, 2004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40" w:type="dxa"/>
            <w:vAlign w:val="bottom"/>
          </w:tcPr>
          <w:p>
            <w:pPr>
              <w:spacing w:after="0"/>
              <w:rPr>
                <w:sz w:val="11"/>
                <w:szCs w:val="11"/>
                <w:color w:val="auto"/>
              </w:rPr>
            </w:pP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12 months ended</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9 months ended</w:t>
            </w:r>
          </w:p>
        </w:tc>
        <w:tc>
          <w:tcPr>
            <w:tcW w:w="14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3 months ended</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September 30,</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September 30,</w:t>
            </w:r>
          </w:p>
        </w:tc>
        <w:tc>
          <w:tcPr>
            <w:tcW w:w="14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2005</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2005</w:t>
            </w:r>
          </w:p>
        </w:tc>
        <w:tc>
          <w:tcPr>
            <w:tcW w:w="14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2004</w:t>
            </w:r>
          </w:p>
        </w:tc>
        <w:tc>
          <w:tcPr>
            <w:tcW w:w="0" w:type="dxa"/>
            <w:vAlign w:val="bottom"/>
          </w:tcPr>
          <w:p>
            <w:pPr>
              <w:spacing w:after="0"/>
              <w:rPr>
                <w:sz w:val="1"/>
                <w:szCs w:val="1"/>
                <w:color w:val="auto"/>
              </w:rPr>
            </w:pPr>
          </w:p>
        </w:tc>
      </w:tr>
      <w:tr>
        <w:trPr>
          <w:trHeight w:val="137"/>
        </w:trPr>
        <w:tc>
          <w:tcPr>
            <w:tcW w:w="34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Changes in GLA (sf in 000's):</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5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New centers developed:</w:t>
            </w:r>
          </w:p>
        </w:tc>
        <w:tc>
          <w:tcPr>
            <w:tcW w:w="2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Seattle Premium Outlets</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381</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381</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Premium Outlets Punta Norte (50% owned)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232</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232</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Toki Premium Outlets (40% owned)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178</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178</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Total new centers</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791</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559</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232</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expanded:</w:t>
            </w:r>
          </w:p>
        </w:tc>
        <w:tc>
          <w:tcPr>
            <w:tcW w:w="2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Rinku Premium Outlets (40% owned)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71</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71</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The Crossings Premium Outlets</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22</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22</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Other (net)</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expanded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58</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96</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Centers sold:</w:t>
            </w:r>
          </w:p>
        </w:tc>
        <w:tc>
          <w:tcPr>
            <w:tcW w:w="2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Santa Fe Premium Outlets</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c>
          <w:tcPr>
            <w:tcW w:w="0" w:type="dxa"/>
            <w:vAlign w:val="bottom"/>
          </w:tcPr>
          <w:p>
            <w:pPr>
              <w:spacing w:after="0"/>
              <w:rPr>
                <w:sz w:val="1"/>
                <w:szCs w:val="1"/>
                <w:color w:val="auto"/>
              </w:rPr>
            </w:pPr>
          </w:p>
        </w:tc>
      </w:tr>
      <w:tr>
        <w:trPr>
          <w:trHeight w:val="135"/>
        </w:trPr>
        <w:tc>
          <w:tcPr>
            <w:tcW w:w="3440" w:type="dxa"/>
            <w:vAlign w:val="bottom"/>
          </w:tcPr>
          <w:p>
            <w:pPr>
              <w:ind w:left="220"/>
              <w:spacing w:after="0"/>
              <w:rPr>
                <w:sz w:val="20"/>
                <w:szCs w:val="20"/>
                <w:color w:val="auto"/>
              </w:rPr>
            </w:pPr>
            <w:r>
              <w:rPr>
                <w:rFonts w:ascii="Courier New" w:cs="Courier New" w:eastAsia="Courier New" w:hAnsi="Courier New"/>
                <w:sz w:val="12"/>
                <w:szCs w:val="12"/>
                <w:color w:val="auto"/>
              </w:rPr>
              <w:t>Lakeland Factory Outlet Mall</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(319)</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(319)</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5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Total centers sold</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(444)</w:t>
            </w:r>
          </w:p>
        </w:tc>
        <w:tc>
          <w:tcPr>
            <w:tcW w:w="15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(319)</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Net GLA added during the period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405</w:t>
            </w:r>
          </w:p>
        </w:tc>
        <w:tc>
          <w:tcPr>
            <w:tcW w:w="15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202</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Courier New" w:cs="Courier New" w:eastAsia="Courier New" w:hAnsi="Courier New"/>
                <w:sz w:val="12"/>
                <w:szCs w:val="12"/>
                <w:b w:val="1"/>
                <w:bCs w:val="1"/>
                <w:color w:val="auto"/>
              </w:rPr>
              <w:t>GLA at the end of period</w:t>
            </w:r>
          </w:p>
        </w:tc>
        <w:tc>
          <w:tcPr>
            <w:tcW w:w="20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17,277</w:t>
            </w:r>
          </w:p>
        </w:tc>
        <w:tc>
          <w:tcPr>
            <w:tcW w:w="15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17,277</w:t>
            </w:r>
          </w:p>
        </w:tc>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rPr>
              <w:t>17,075</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three months ended September 30, 2005 with the three months ended September 30, 2004.</w:t>
      </w:r>
    </w:p>
    <w:p>
      <w:pPr>
        <w:spacing w:after="0" w:line="20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Net income for the three months ended September 30, 2005 was $46.4 million, an increase of $10.3 million, or 28.5%, from $36.1 million in 2004. This increase resulted from the acquisition, development or expansion of three wholly owned centers as well as higher rents from releasing and renewals. Higher operating and maintenance, depreciation and amortization as well as interest expense due to the growth of the portfolio offset these increases.</w:t>
      </w:r>
    </w:p>
    <w:p>
      <w:pPr>
        <w:spacing w:after="0" w:line="185"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Base rentals improved by $9.0 million or 13.4% to $76.2 million in 2005 from $67.2 million in 2004, primarily due to acquisition and development activity, higher average rents on releasing and renewals as well as the expansion of a center in late 2004.</w:t>
      </w:r>
    </w:p>
    <w:p>
      <w:pPr>
        <w:spacing w:after="0" w:line="10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Percentage rents rose $1.9 million, or 25.2%, to $9.7 million in 2005 from $7.8 million in 2004, primarily from improved tenant sales.</w:t>
      </w:r>
    </w:p>
    <w:p>
      <w:pPr>
        <w:spacing w:after="0" w:line="173"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and promotional and management expenses, increased $5.4 million, or 23.6% to $28.4 million in 2005 from $23.0 million in 2004, due to the recovery of operating and maintenance costs from increased GLA and higher real estate taxes. The average recovery of reimbursable expenses for the Domestic Outlet Centers improved to 90% in 2005 from 88% in 2004.</w:t>
      </w:r>
    </w:p>
    <w:p>
      <w:pPr>
        <w:spacing w:after="0" w:line="14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Other income increased $1.7 million or 69.0% to $4.2 million in 2005, from $2.5 million in 2004. Improved ancillary operating income and interest income primarily drove the increase.</w:t>
      </w:r>
    </w:p>
    <w:p>
      <w:pPr>
        <w:spacing w:after="0" w:line="173"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Operating and maintenance expenses increased $6.2 million, or 23.0%, to $32.8 million in 2005 from $26.6 million in 2004 primarily due to higher property taxes, promotional expenses and growth of the portfolio.</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Depreciation and amortization expense was up $1.2 million, or 6.6%, to $19.3 million in 2005 from $18.1 million in 2004 primarily due to a center acquisition and 2 center expansions during 2004.</w:t>
      </w:r>
    </w:p>
    <w:p>
      <w:pPr>
        <w:sectPr>
          <w:pgSz w:w="11900" w:h="16838" w:orient="portrait"/>
          <w:cols w:equalWidth="0" w:num="1">
            <w:col w:w="11420"/>
          </w:cols>
          <w:pgMar w:left="240" w:top="111" w:right="239" w:bottom="0" w:gutter="0" w:footer="0" w:header="0"/>
        </w:sectPr>
      </w:pPr>
    </w:p>
    <w:bookmarkStart w:id="12" w:name="page13"/>
    <w:bookmarkEnd w:id="12"/>
    <w:p>
      <w:pPr>
        <w:spacing w:after="0" w:line="95"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General and administrative expense decreased $1.8 million, or 35.0%, to $3.4 million in 2005 from $5.2 million in 2004, primarily due to lower deferred compensation expense, public company and professional costs.</w:t>
      </w:r>
    </w:p>
    <w:p>
      <w:pPr>
        <w:spacing w:after="0" w:line="174"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color w:val="auto"/>
        </w:rPr>
        <w:t>Other expenses increased $0.3 million, or 19.3%, to $2.0 million in 2005 from $1.7 million in 2004, substantially from higher ground rent and legal expenses, partially offset by a $0.9 million settlement payment on a shareholder lawsuit in 2004.</w:t>
      </w:r>
    </w:p>
    <w:p>
      <w:pPr>
        <w:spacing w:after="0" w:line="105" w:lineRule="exact"/>
        <w:rPr>
          <w:sz w:val="20"/>
          <w:szCs w:val="20"/>
          <w:color w:val="auto"/>
        </w:rPr>
      </w:pPr>
    </w:p>
    <w:p>
      <w:pPr>
        <w:ind w:right="580"/>
        <w:spacing w:after="0" w:line="258" w:lineRule="auto"/>
        <w:rPr>
          <w:sz w:val="20"/>
          <w:szCs w:val="20"/>
          <w:color w:val="auto"/>
        </w:rPr>
      </w:pPr>
      <w:r>
        <w:rPr>
          <w:rFonts w:ascii="Arial" w:cs="Arial" w:eastAsia="Arial" w:hAnsi="Arial"/>
          <w:sz w:val="21"/>
          <w:szCs w:val="21"/>
          <w:color w:val="auto"/>
        </w:rPr>
        <w:t>Income from unconsolidated investments decreased $0.6 million, or 8.0%, to $6.5 million in 2005 from $7.1 million in 2004, primarily due to outparcel sales in 2004 at Chicago and Las Vegas Premium Outlets, partially offset by the opening of Toki Premium Outlets in March 2005 and the expansion of Rinku Premium Outlets in December 2004.</w:t>
      </w:r>
    </w:p>
    <w:p>
      <w:pPr>
        <w:spacing w:after="0" w:line="167"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Interest expense increased $1.6 million, or 8.0%, to $21.2 million in 2005, from $19.6 million in 2004 due to higher debt that financed acquisitions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nine months ended September 30, 2005 with the nine months ended September 30, 2004.</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Net income for the nine months ended September 30, 2005 was $128.2 million, an increase of $27.2 million, or 26.9%, from</w:t>
      </w:r>
    </w:p>
    <w:p>
      <w:pPr>
        <w:spacing w:after="0" w:line="4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$101.0 million in 2004. This increase resulted from the development of one wholly owned center in 2005 as well as the acquisition and expansion of four wholly owned centers in 2004, higher rents from releasing and renewals, offset by higher operating and maintenance, depreciation and amortization as well as interest expense due to the growth of the portfolio.</w:t>
      </w:r>
    </w:p>
    <w:p>
      <w:pPr>
        <w:spacing w:after="0" w:line="144" w:lineRule="exact"/>
        <w:rPr>
          <w:sz w:val="20"/>
          <w:szCs w:val="20"/>
          <w:color w:val="auto"/>
        </w:rPr>
      </w:pPr>
    </w:p>
    <w:p>
      <w:pPr>
        <w:ind w:right="460"/>
        <w:spacing w:after="0" w:line="274" w:lineRule="auto"/>
        <w:rPr>
          <w:sz w:val="20"/>
          <w:szCs w:val="20"/>
          <w:color w:val="auto"/>
        </w:rPr>
      </w:pPr>
      <w:r>
        <w:rPr>
          <w:rFonts w:ascii="Arial" w:cs="Arial" w:eastAsia="Arial" w:hAnsi="Arial"/>
          <w:sz w:val="21"/>
          <w:szCs w:val="21"/>
          <w:color w:val="auto"/>
        </w:rPr>
        <w:t>Base rentals improved by $22.2 million, or 11.1% to $221.5 million, in 2005 from $199.3 million in 2004, primarily due to the acquisition, development and expansion of centers and higher average rents on releasing and renewals.</w:t>
      </w:r>
    </w:p>
    <w:p>
      <w:pPr>
        <w:spacing w:after="0" w:line="151"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Percentage rents rose $4.4 million, or 24.1%, to $22.6 million in 2005 from $18.2 million in 2004, primarily from improved tenant sales.</w:t>
      </w:r>
    </w:p>
    <w:p>
      <w:pPr>
        <w:spacing w:after="0" w:line="173"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and promotional and management expenses, increased $8.8 million, or 13.4% to $74.1 million in 2005 from $65.3 million in 2004, due to the recovery of operating and maintenance costs from increased GLA and higher real estate taxes. The average recovery of reimbursable expenses for the Domestic Outlet Centers improved to 90% in 2005 from 88% in 2004.</w:t>
      </w:r>
    </w:p>
    <w:p>
      <w:pPr>
        <w:spacing w:after="0" w:line="143" w:lineRule="exact"/>
        <w:rPr>
          <w:sz w:val="20"/>
          <w:szCs w:val="20"/>
          <w:color w:val="auto"/>
        </w:rPr>
      </w:pPr>
    </w:p>
    <w:p>
      <w:pPr>
        <w:ind w:right="460"/>
        <w:spacing w:after="0" w:line="274" w:lineRule="auto"/>
        <w:rPr>
          <w:sz w:val="20"/>
          <w:szCs w:val="20"/>
          <w:color w:val="auto"/>
        </w:rPr>
      </w:pPr>
      <w:r>
        <w:rPr>
          <w:rFonts w:ascii="Arial" w:cs="Arial" w:eastAsia="Arial" w:hAnsi="Arial"/>
          <w:sz w:val="21"/>
          <w:szCs w:val="21"/>
          <w:color w:val="auto"/>
        </w:rPr>
        <w:t>Other income increased $4.6 million or 67.6% to $11.4 million in 2005, from $6.8 million in 2004. The increase was primarily driven by improved ancillary operating income, interest income and a sale of a non-core property in 2005.</w:t>
      </w:r>
    </w:p>
    <w:p>
      <w:pPr>
        <w:spacing w:after="0" w:line="151"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Operating and maintenance expenses increased $8.5 million, or 11.1%, to $85.7 million in 2005 from $77.2 million in 2004 primarily due to the growth of the portfolio, higher property taxes and promotional expenses.</w:t>
      </w:r>
    </w:p>
    <w:p>
      <w:pPr>
        <w:spacing w:after="0" w:line="17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Depreciation and amortization expense was up $3.9 million, or 7.4%, to $57.5 million in 2005 from $53.6 million in 2004 primarily due to increased depreciation from the acquisition of one center in 2004 and the development of one wholly owned center in 2005.</w:t>
      </w:r>
    </w:p>
    <w:p>
      <w:pPr>
        <w:spacing w:after="0" w:line="105" w:lineRule="exact"/>
        <w:rPr>
          <w:sz w:val="20"/>
          <w:szCs w:val="20"/>
          <w:color w:val="auto"/>
        </w:rPr>
      </w:pPr>
    </w:p>
    <w:p>
      <w:pPr>
        <w:ind w:right="860"/>
        <w:spacing w:after="0" w:line="274" w:lineRule="auto"/>
        <w:rPr>
          <w:sz w:val="20"/>
          <w:szCs w:val="20"/>
          <w:color w:val="auto"/>
        </w:rPr>
      </w:pPr>
      <w:r>
        <w:rPr>
          <w:rFonts w:ascii="Arial" w:cs="Arial" w:eastAsia="Arial" w:hAnsi="Arial"/>
          <w:sz w:val="21"/>
          <w:szCs w:val="21"/>
          <w:color w:val="auto"/>
        </w:rPr>
        <w:t>General and administrative expense decreased $3.4 million, or 26.4%, to $9.5 million in 2005 from $12.9 million in 2004, primarily due to lower deferred compensation expense, public company and professional costs.</w:t>
      </w:r>
    </w:p>
    <w:p>
      <w:pPr>
        <w:spacing w:after="0" w:line="151"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Other expenses increased $0.7 million, or 14.6%, to $5.4 million in 2005 from $4.7 million in 2004, primarily from higher ground rent and legal expenses, partially offset by impairment losses on two non-core centers sold in 2004 as well as a $0.9 million settlement payment on a shareholder lawsuit in 2004.</w:t>
      </w:r>
    </w:p>
    <w:p>
      <w:pPr>
        <w:spacing w:after="0" w:line="18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Income from unconsolidated investments was up $2.4 million, or 14.0%, to $19.8 million in 2005 from $17.4 million in 2004, due to the openings of Chicago Premium Outlets in May 2004 and Toki Premium Outlets in March 2005, the expansions of Sano Premium Outlets and Rinku Premium Outlets in 2004, offset by outparcel sales in 2004 at Chicago and Las Vegas Premium Outlets.</w:t>
      </w:r>
    </w:p>
    <w:p>
      <w:pPr>
        <w:spacing w:after="0" w:line="185"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Interest expense increased $5.5 million, or 9.6%, to $63.1 million in 2005, from $57.6 million in 2004 due to higher debt that financed acquisitions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The OP believes it has adequate financial resources to fund operating expenses, distributions, and planned development, construction and acquisition activities over the short term, which is less than 12 months and the long term, which is 12 months or more. Operating cash flow for the year ended December 31, 2004 of $182.2 million is expected to increase in 2005 with scheduled new openings of approximately 730,000 square feet of GLA as well as a full year of operations from the development, acquisition and expansion of five joint venture centers and two wholly-owned centers. As of September 30, 2005, the OP has commitments of $11.6 million for active domestic development projects. The OP has adequate funding sources to complete these projects from available cash, loans from Simon and secured construction financing. In conjunction with the Simon/Chelsea merger, the OP has access to capital funding through Simon’s $2.0 billion credit facility.</w:t>
      </w:r>
    </w:p>
    <w:p>
      <w:pPr>
        <w:spacing w:after="0" w:line="158"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Operating cash flow is expected to provide sufficient funds for distributions in accordance with the Company’s REIT federal income tax requirements. In addition, the OP anticipates retaining sufficient operating cash to fund re-tenanting and lease renewal,</w:t>
      </w:r>
    </w:p>
    <w:p>
      <w:pPr>
        <w:sectPr>
          <w:pgSz w:w="11900" w:h="16933" w:orient="portrait"/>
          <w:cols w:equalWidth="0" w:num="1">
            <w:col w:w="11420"/>
          </w:cols>
          <w:pgMar w:left="240" w:top="118" w:right="239" w:bottom="0" w:gutter="0" w:footer="0" w:header="0"/>
        </w:sectPr>
      </w:pPr>
    </w:p>
    <w:bookmarkStart w:id="13" w:name="page14"/>
    <w:bookmarkEnd w:id="13"/>
    <w:p>
      <w:pPr>
        <w:ind w:right="540"/>
        <w:spacing w:after="0" w:line="251" w:lineRule="auto"/>
        <w:rPr>
          <w:sz w:val="20"/>
          <w:szCs w:val="20"/>
          <w:color w:val="auto"/>
        </w:rPr>
      </w:pPr>
      <w:r>
        <w:rPr>
          <w:rFonts w:ascii="Arial" w:cs="Arial" w:eastAsia="Arial" w:hAnsi="Arial"/>
          <w:sz w:val="22"/>
          <w:szCs w:val="22"/>
          <w:color w:val="auto"/>
        </w:rPr>
        <w:t>tenant improvement costs, as well as capital expenditures to maintain the quality of its centers and partially fund development projects.</w:t>
      </w:r>
    </w:p>
    <w:p>
      <w:pPr>
        <w:spacing w:after="0" w:line="174"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On March 31, 2005, the OP’s wholly-owned equity investee in Chelsea Japan repaid and extinguished its 4 billion yen credit facility, which was scheduled to expire on April 1, 2005, through borrowings from Simon. The OP’s wholly-owned equity investee entered into a 4 billion yen credit facility with Simon expiring January 2008, which will be funded through Simon’s yen denominated facility also expiring January 2008. Interest is payable monthly and is currently at yen LIBOR plus 0.55% per annum, but the interest rate may adjust depending on Simon’s credit rating.</w:t>
      </w:r>
    </w:p>
    <w:p>
      <w:pPr>
        <w:spacing w:after="0" w:line="188"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In August 2005 the OP redeemed its $50 million 8.375% unsecured public notes with $15 million of available cash and a $35 million loan from Simon.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A summary of the maturity of the OP’s contractual debt (at par) as of September 30, 2005, is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Less than</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 to 3</w:t>
            </w:r>
          </w:p>
        </w:tc>
        <w:tc>
          <w:tcPr>
            <w:tcW w:w="118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4 to 5</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More than</w:t>
            </w:r>
          </w:p>
        </w:tc>
      </w:tr>
      <w:tr>
        <w:trPr>
          <w:trHeight w:val="135"/>
        </w:trPr>
        <w:tc>
          <w:tcPr>
            <w:tcW w:w="2420" w:type="dxa"/>
            <w:vAlign w:val="bottom"/>
          </w:tcPr>
          <w:p>
            <w:pPr>
              <w:spacing w:after="0"/>
              <w:rPr>
                <w:sz w:val="11"/>
                <w:szCs w:val="11"/>
                <w:color w:val="auto"/>
              </w:rPr>
            </w:pPr>
          </w:p>
        </w:tc>
        <w:tc>
          <w:tcPr>
            <w:tcW w:w="148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Total</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 Year</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Years</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Years</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5 Years</w:t>
            </w:r>
          </w:p>
        </w:tc>
      </w:tr>
      <w:tr>
        <w:trPr>
          <w:trHeight w:val="135"/>
        </w:trPr>
        <w:tc>
          <w:tcPr>
            <w:tcW w:w="2420" w:type="dxa"/>
            <w:vAlign w:val="bottom"/>
          </w:tcPr>
          <w:p>
            <w:pPr>
              <w:spacing w:after="0"/>
              <w:rPr>
                <w:sz w:val="11"/>
                <w:szCs w:val="11"/>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Unsecured bank debt</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59,525</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1,800</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3,600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3,600</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$ 50,525</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Notes payable-related party</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351,607</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335,831</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15,776</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Unsecured notes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675,000</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125,000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150,000</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400,000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Mortgage debt</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301,557</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7,757</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164,524</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10,343</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118,933</w:t>
            </w:r>
          </w:p>
        </w:tc>
      </w:tr>
      <w:tr>
        <w:trPr>
          <w:trHeight w:val="135"/>
        </w:trPr>
        <w:tc>
          <w:tcPr>
            <w:tcW w:w="2420" w:type="dxa"/>
            <w:vAlign w:val="bottom"/>
          </w:tcPr>
          <w:p>
            <w:pPr>
              <w:spacing w:after="0"/>
              <w:rPr>
                <w:sz w:val="11"/>
                <w:szCs w:val="11"/>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Total debt</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1,387,689</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345,388</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308,900</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163,943</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569,458</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Ground and operating leases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71,924</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3,122</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6,363</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6,152</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56,287</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Development commitments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11,568</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11,568</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Deferred compensation</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28,904</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21,104</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7,800</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11"/>
                <w:szCs w:val="11"/>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b w:val="1"/>
                <w:bCs w:val="1"/>
                <w:color w:val="auto"/>
              </w:rPr>
              <w:t>Total Obligations</w:t>
            </w: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$1,500,085</w:t>
            </w:r>
          </w:p>
        </w:tc>
        <w:tc>
          <w:tcPr>
            <w:tcW w:w="128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$360,078</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$336,367</w:t>
            </w:r>
          </w:p>
        </w:tc>
        <w:tc>
          <w:tcPr>
            <w:tcW w:w="118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$177,895</w:t>
            </w:r>
          </w:p>
        </w:tc>
        <w:tc>
          <w:tcPr>
            <w:tcW w:w="10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$625,745</w:t>
            </w:r>
          </w:p>
        </w:tc>
      </w:tr>
      <w:tr>
        <w:trPr>
          <w:trHeight w:val="137"/>
        </w:trPr>
        <w:tc>
          <w:tcPr>
            <w:tcW w:w="2420" w:type="dxa"/>
            <w:vAlign w:val="bottom"/>
          </w:tcPr>
          <w:p>
            <w:pPr>
              <w:spacing w:after="0"/>
              <w:rPr>
                <w:sz w:val="11"/>
                <w:szCs w:val="11"/>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At September 30, 2005, expansions were underway at five domestic centers totaling approximately 195,000 square-feet that are scheduled to open in 2005 and 2006. The 381,000 square-foot first phase of Seattle Premium Outlets located near Seattle, Washington opened in May 2005. Other projects in various stages of development are expected to open in 2006 and beyond. All current development activity is fully financed either through project specific secured construction financing, the peso denominated line of credit, available cash or through the Simon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 (continued)</w:t>
      </w:r>
    </w:p>
    <w:p>
      <w:pPr>
        <w:spacing w:after="0" w:line="21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OP has an agreement with Mitsubishi Estate Co., Ltd. and Sojitz Corporation (formerly known as Nissho Iwai Corporation) to jointly develop, own and operate Premium Outlet centers in Japan under the joint venture Chelsea Japan. Borrowings related to Chelsea Japan for which the OP has provided guarantees for debt repayment as of September 30, 2005, are as follows:</w:t>
      </w:r>
    </w:p>
    <w:p>
      <w:pPr>
        <w:spacing w:after="0" w:line="283" w:lineRule="exact"/>
        <w:rPr>
          <w:sz w:val="20"/>
          <w:szCs w:val="20"/>
          <w:color w:val="auto"/>
        </w:rPr>
      </w:pPr>
    </w:p>
    <w:tbl>
      <w:tblPr>
        <w:tblLayout w:type="fixed"/>
        <w:tblInd w:w="52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1560" w:type="dxa"/>
            <w:vAlign w:val="bottom"/>
            <w:gridSpan w:val="2"/>
          </w:tcPr>
          <w:p>
            <w:pPr>
              <w:ind w:left="420"/>
              <w:spacing w:after="0"/>
              <w:rPr>
                <w:sz w:val="20"/>
                <w:szCs w:val="20"/>
                <w:color w:val="auto"/>
              </w:rPr>
            </w:pPr>
            <w:r>
              <w:rPr>
                <w:rFonts w:ascii="Courier New" w:cs="Courier New" w:eastAsia="Courier New" w:hAnsi="Courier New"/>
                <w:sz w:val="12"/>
                <w:szCs w:val="12"/>
                <w:b w:val="1"/>
                <w:bCs w:val="1"/>
                <w:color w:val="auto"/>
              </w:rPr>
              <w:t>Total Facility</w:t>
            </w: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Outstanding</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2"/>
          </w:tcPr>
          <w:p>
            <w:pPr>
              <w:ind w:left="40"/>
              <w:spacing w:after="0"/>
              <w:rPr>
                <w:sz w:val="20"/>
                <w:szCs w:val="20"/>
                <w:color w:val="auto"/>
              </w:rPr>
            </w:pPr>
            <w:r>
              <w:rPr>
                <w:rFonts w:ascii="Courier New" w:cs="Courier New" w:eastAsia="Courier New" w:hAnsi="Courier New"/>
                <w:sz w:val="5"/>
                <w:szCs w:val="5"/>
                <w:color w:val="auto"/>
                <w:w w:val="73"/>
              </w:rPr>
              <w:t>-------------------------------------------------------------------------</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Due</w:t>
            </w:r>
          </w:p>
        </w:tc>
        <w:tc>
          <w:tcPr>
            <w:tcW w:w="7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w w:val="97"/>
              </w:rPr>
              <w:t>Interest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b w:val="1"/>
                <w:bCs w:val="1"/>
                <w:color w:val="auto"/>
              </w:rPr>
              <w:t>Yen</w:t>
            </w:r>
          </w:p>
        </w:tc>
        <w:tc>
          <w:tcPr>
            <w:tcW w:w="98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US $ Equivalent</w:t>
            </w:r>
          </w:p>
        </w:tc>
        <w:tc>
          <w:tcPr>
            <w:tcW w:w="1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Yen</w:t>
            </w:r>
          </w:p>
        </w:tc>
        <w:tc>
          <w:tcPr>
            <w:tcW w:w="146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US $ Equivalent</w:t>
            </w:r>
          </w:p>
        </w:tc>
        <w:tc>
          <w:tcPr>
            <w:tcW w:w="48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US $</w:t>
            </w:r>
          </w:p>
        </w:tc>
        <w:tc>
          <w:tcPr>
            <w:tcW w:w="84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Guarantee</w:t>
            </w:r>
          </w:p>
        </w:tc>
        <w:tc>
          <w:tcPr>
            <w:tcW w:w="5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Date</w:t>
            </w:r>
          </w:p>
        </w:tc>
        <w:tc>
          <w:tcPr>
            <w:tcW w:w="720" w:type="dxa"/>
            <w:vAlign w:val="bottom"/>
          </w:tcPr>
          <w:p>
            <w:pPr>
              <w:ind w:left="280"/>
              <w:spacing w:after="0"/>
              <w:rPr>
                <w:sz w:val="20"/>
                <w:szCs w:val="20"/>
                <w:color w:val="auto"/>
              </w:rPr>
            </w:pPr>
            <w:r>
              <w:rPr>
                <w:rFonts w:ascii="Courier New" w:cs="Courier New" w:eastAsia="Courier New" w:hAnsi="Courier New"/>
                <w:sz w:val="12"/>
                <w:szCs w:val="12"/>
                <w:b w:val="1"/>
                <w:bCs w:val="1"/>
                <w:color w:val="auto"/>
              </w:rPr>
              <w:t>Rate</w:t>
            </w:r>
          </w:p>
        </w:tc>
      </w:tr>
      <w:tr>
        <w:trPr>
          <w:trHeight w:val="135"/>
        </w:trPr>
        <w:tc>
          <w:tcPr>
            <w:tcW w:w="128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rPr>
              <w:t>3.8</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$33.5</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2.8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w w:val="94"/>
              </w:rPr>
              <w:t>$24.5</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$9.8</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2015</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2.06%</w:t>
            </w:r>
          </w:p>
        </w:tc>
      </w:tr>
      <w:tr>
        <w:trPr>
          <w:trHeight w:val="137"/>
        </w:trPr>
        <w:tc>
          <w:tcPr>
            <w:tcW w:w="300" w:type="dxa"/>
            <w:vAlign w:val="bottom"/>
          </w:tcPr>
          <w:p>
            <w:pPr>
              <w:spacing w:after="0"/>
              <w:rPr>
                <w:sz w:val="20"/>
                <w:szCs w:val="20"/>
                <w:color w:val="auto"/>
              </w:rPr>
            </w:pPr>
            <w:r>
              <w:rPr>
                <w:rFonts w:ascii="Courier New" w:cs="Courier New" w:eastAsia="Courier New" w:hAnsi="Courier New"/>
                <w:sz w:val="12"/>
                <w:szCs w:val="12"/>
                <w:color w:val="auto"/>
              </w:rPr>
              <w:t>0.6</w:t>
            </w: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billion (1)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5.3</w:t>
            </w:r>
          </w:p>
        </w:tc>
        <w:tc>
          <w:tcPr>
            <w:tcW w:w="7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0.4 billion</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3.6</w:t>
            </w:r>
          </w:p>
        </w:tc>
        <w:tc>
          <w:tcPr>
            <w:tcW w:w="106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1.4</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2012</w:t>
            </w:r>
          </w:p>
        </w:tc>
        <w:tc>
          <w:tcPr>
            <w:tcW w:w="720" w:type="dxa"/>
            <w:vAlign w:val="bottom"/>
          </w:tcPr>
          <w:p>
            <w:pPr>
              <w:ind w:left="280"/>
              <w:spacing w:after="0"/>
              <w:rPr>
                <w:sz w:val="20"/>
                <w:szCs w:val="20"/>
                <w:color w:val="auto"/>
              </w:rPr>
            </w:pPr>
            <w:r>
              <w:rPr>
                <w:rFonts w:ascii="Courier New" w:cs="Courier New" w:eastAsia="Courier New" w:hAnsi="Courier New"/>
                <w:sz w:val="12"/>
                <w:szCs w:val="12"/>
                <w:color w:val="auto"/>
              </w:rPr>
              <w:t>1.50%</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(1) Facilities entered into by Chelsea Japan, secured by Gotemba and Rinku and 40% severally guaranteed by the OP.</w:t>
      </w:r>
    </w:p>
    <w:p>
      <w:pPr>
        <w:spacing w:after="0" w:line="218"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OP has a 50/50 joint venture agreement with Sordo Madaleno y Asociados and affiliates to jointly develop, own and operate Premium Outlet centers in Mexico. In December 2004, the first development project opened, the 232,000 square-foot first phase of Premium Outlets Punta Norte, located near Mexico City.</w:t>
      </w:r>
    </w:p>
    <w:p>
      <w:pPr>
        <w:spacing w:after="0" w:line="186"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In January 2004, a wholly-owned subsidiary of the OP entered into a 180.0 million peso revolving facility to provide funding for Mexican development projects. In February 2005, the OP repaid the entire outstanding balance. The peso facility has a three-year term; interest is payable on the drawn funds at The Interbank Interest Equilibrium Rate (“TIIE”) plus 0.825% plus the bank’s cost of funds spread limited to 20% of the TIIE and has an annual facility fee of 0.15% per annum on the unused balance. The TIIE rate spread ranges from 0.725% to 1.37% depending on the OP’s Senior Debt rating.</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OP has minority interests ranging from 3% to 8% in several outlet centers and outlet development projects in Europe operated by Value Retail. The OP’s total investment in Europe as of September 30, 2005, was $3.6 million. The OP had also provided limited debt service guarantees under a standby facility for loans arranged by Value Retail to construct outlet centers in Europe. The outstanding guarantees were terminated in September 2005.</w:t>
      </w:r>
    </w:p>
    <w:p>
      <w:pPr>
        <w:spacing w:after="0" w:line="18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To achieve planned growth and favorable returns in both the short and long-term, the OP’s financing strategy is to maintain a strong, flexible financial position by: (i) maintaining a conservative level of leverage; (ii) extending and sequencing debt maturity dates; (iii) managing exposure to floating interest rates; and (iv) maintaining liquidity. As a result of the OP’s merger with Simon, the OP has access to capital under Simon’s $2.0 billion credit facility.</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Net cash provided by operating activities was $177.7 million and $155.5 million for the nine months ended September 30, 2005, and 2004, respectively. The increase in operating cash flow was primarily generated from the growth of the OP’s GLA. Net cash used in investing activities decreased to $53.9 million in 2005 from $190.2 in 2004, primarily due to decreased acquisition activity in 2005. Net cash used in financing activities increased to $139.1 million from net cash provided by financing activities of $33.3</w:t>
      </w:r>
    </w:p>
    <w:p>
      <w:pPr>
        <w:sectPr>
          <w:pgSz w:w="11900" w:h="16838" w:orient="portrait"/>
          <w:cols w:equalWidth="0" w:num="1">
            <w:col w:w="11420"/>
          </w:cols>
          <w:pgMar w:left="240" w:top="118" w:right="239" w:bottom="0" w:gutter="0" w:footer="0" w:header="0"/>
        </w:sectPr>
      </w:pPr>
    </w:p>
    <w:bookmarkStart w:id="14" w:name="page15"/>
    <w:bookmarkEnd w:id="14"/>
    <w:p>
      <w:pPr>
        <w:ind w:right="360"/>
        <w:spacing w:after="0" w:line="251" w:lineRule="auto"/>
        <w:rPr>
          <w:sz w:val="20"/>
          <w:szCs w:val="20"/>
          <w:color w:val="auto"/>
        </w:rPr>
      </w:pPr>
      <w:r>
        <w:rPr>
          <w:rFonts w:ascii="Arial" w:cs="Arial" w:eastAsia="Arial" w:hAnsi="Arial"/>
          <w:sz w:val="22"/>
          <w:szCs w:val="22"/>
          <w:color w:val="auto"/>
        </w:rPr>
        <w:t>million for the nine months ended September 30, 2005, and 2004, respectively. The increase was primarily due to the timing of partner distribution payments and decreased borrowings.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OP is exposed to changes in interest rates primarily from its floating rate debt arrangements and foreign exchange rates primarily from its fees received from international joint ventures. In December 2000, the OP implemented a policy to protect against interest rate and foreign exchange risk. The OP’s primary strategy is to protect against these risks by using derivative transactions as appropriate to minimize the variability that floating rate interest and foreign currency fluctuations could have on cash flow. In December 2000, a wholly owned subsidiary of the OP entered into an interest rate swap agreement effective January 2, 2001 with a financial institution for a notional amount of $69.3 million amortizing to $64.1 million to hedge against unfavorable fluctuations in the LIBOR rates of one of its term loans. The hedge effectively produces a fixed rate of 7.2625% on the notional amount until January 1, 2006. The OP did not have any foreign exchange hedge contracts at September 30, 2005.</w:t>
      </w:r>
    </w:p>
    <w:p>
      <w:pPr>
        <w:spacing w:after="0" w:line="158"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color w:val="auto"/>
        </w:rPr>
        <w:t>At September 30, 2005, a hypothetical 100 basis point adverse move (increase) in US Treasury and LIBOR rates applied to unhedged debt would adversely affect the OP’s annual interest cost by approximately $3.5 million annually.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summary of the OP’s debt obligations at September 30, 2005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920" w:type="dxa"/>
            <w:vAlign w:val="bottom"/>
            <w:gridSpan w:val="3"/>
          </w:tcPr>
          <w:p>
            <w:pPr>
              <w:jc w:val="right"/>
              <w:ind w:right="719"/>
              <w:spacing w:after="0"/>
              <w:rPr>
                <w:sz w:val="20"/>
                <w:szCs w:val="20"/>
                <w:color w:val="auto"/>
              </w:rPr>
            </w:pPr>
            <w:r>
              <w:rPr>
                <w:rFonts w:ascii="Courier New" w:cs="Courier New" w:eastAsia="Courier New" w:hAnsi="Courier New"/>
                <w:sz w:val="12"/>
                <w:szCs w:val="12"/>
                <w:b w:val="1"/>
                <w:bCs w:val="1"/>
                <w:color w:val="auto"/>
              </w:rPr>
              <w:t>Expected Maturity Date</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7"/>
        </w:trPr>
        <w:tc>
          <w:tcPr>
            <w:tcW w:w="1680" w:type="dxa"/>
            <w:vAlign w:val="bottom"/>
          </w:tcPr>
          <w:p>
            <w:pPr>
              <w:spacing w:after="0"/>
              <w:rPr>
                <w:sz w:val="11"/>
                <w:szCs w:val="11"/>
                <w:color w:val="auto"/>
              </w:rPr>
            </w:pPr>
          </w:p>
        </w:tc>
        <w:tc>
          <w:tcPr>
            <w:tcW w:w="7600" w:type="dxa"/>
            <w:vAlign w:val="bottom"/>
            <w:gridSpan w:val="9"/>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1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w w:val="90"/>
              </w:rPr>
              <w:t>2005</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2006</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2007</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2008</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2009</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Thereafter</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Total</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Fair Value</w:t>
            </w:r>
          </w:p>
        </w:tc>
      </w:tr>
      <w:tr>
        <w:trPr>
          <w:trHeight w:val="135"/>
        </w:trPr>
        <w:tc>
          <w:tcPr>
            <w:tcW w:w="1680" w:type="dxa"/>
            <w:vAlign w:val="bottom"/>
          </w:tcPr>
          <w:p>
            <w:pPr>
              <w:spacing w:after="0"/>
              <w:rPr>
                <w:sz w:val="11"/>
                <w:szCs w:val="11"/>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Fixed Rate Debt:</w:t>
            </w:r>
          </w:p>
        </w:tc>
        <w:tc>
          <w:tcPr>
            <w:tcW w:w="5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$124,931</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$158,991</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$149,639</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$548,801</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$982,362</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$1,030,549</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520" w:type="dxa"/>
            <w:vAlign w:val="bottom"/>
          </w:tcPr>
          <w:p>
            <w:pPr>
              <w:spacing w:after="0"/>
              <w:rPr>
                <w:sz w:val="11"/>
                <w:szCs w:val="11"/>
                <w:color w:val="auto"/>
              </w:rPr>
            </w:pPr>
          </w:p>
        </w:tc>
        <w:tc>
          <w:tcPr>
            <w:tcW w:w="4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7.25%</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6.99%</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5.21%</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7.05%</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6.78%</w:t>
            </w:r>
          </w:p>
        </w:tc>
        <w:tc>
          <w:tcPr>
            <w:tcW w:w="1060" w:type="dxa"/>
            <w:vAlign w:val="bottom"/>
          </w:tcPr>
          <w:p>
            <w:pPr>
              <w:spacing w:after="0"/>
              <w:rPr>
                <w:sz w:val="11"/>
                <w:szCs w:val="11"/>
                <w:color w:val="auto"/>
              </w:rPr>
            </w:pPr>
          </w:p>
        </w:tc>
      </w:tr>
      <w:tr>
        <w:trPr>
          <w:trHeight w:val="268"/>
        </w:trPr>
        <w:tc>
          <w:tcPr>
            <w:tcW w:w="1680" w:type="dxa"/>
            <w:vAlign w:val="bottom"/>
          </w:tcPr>
          <w:p>
            <w:pPr>
              <w:spacing w:after="0"/>
              <w:rPr>
                <w:sz w:val="20"/>
                <w:szCs w:val="20"/>
                <w:color w:val="auto"/>
              </w:rPr>
            </w:pPr>
            <w:r>
              <w:rPr>
                <w:rFonts w:ascii="Courier New" w:cs="Courier New" w:eastAsia="Courier New" w:hAnsi="Courier New"/>
                <w:sz w:val="12"/>
                <w:szCs w:val="12"/>
                <w:color w:val="auto"/>
              </w:rPr>
              <w:t>Variable Rate Debt:</w:t>
            </w:r>
          </w:p>
        </w:tc>
        <w:tc>
          <w:tcPr>
            <w:tcW w:w="520" w:type="dxa"/>
            <w:vAlign w:val="bottom"/>
          </w:tcPr>
          <w:p>
            <w:pPr>
              <w:spacing w:after="0"/>
              <w:rPr>
                <w:sz w:val="23"/>
                <w:szCs w:val="23"/>
                <w:color w:val="auto"/>
              </w:rPr>
            </w:pPr>
          </w:p>
        </w:tc>
        <w:tc>
          <w:tcPr>
            <w:tcW w:w="4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335,831</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15,776</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59,525(1)</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411,132</w:t>
            </w:r>
          </w:p>
        </w:tc>
        <w:tc>
          <w:tcPr>
            <w:tcW w:w="10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411,132</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520" w:type="dxa"/>
            <w:vAlign w:val="bottom"/>
          </w:tcPr>
          <w:p>
            <w:pPr>
              <w:spacing w:after="0"/>
              <w:rPr>
                <w:sz w:val="11"/>
                <w:szCs w:val="11"/>
                <w:color w:val="auto"/>
              </w:rPr>
            </w:pPr>
          </w:p>
        </w:tc>
        <w:tc>
          <w:tcPr>
            <w:tcW w:w="4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4.76%</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0.60%</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4.94%</w:t>
            </w:r>
          </w:p>
        </w:tc>
        <w:tc>
          <w:tcPr>
            <w:tcW w:w="10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4.62%</w:t>
            </w:r>
          </w:p>
        </w:tc>
        <w:tc>
          <w:tcPr>
            <w:tcW w:w="1060" w:type="dxa"/>
            <w:vAlign w:val="bottom"/>
          </w:tcPr>
          <w:p>
            <w:pPr>
              <w:spacing w:after="0"/>
              <w:rPr>
                <w:sz w:val="11"/>
                <w:szCs w:val="11"/>
                <w:color w:val="auto"/>
              </w:rPr>
            </w:pPr>
          </w:p>
        </w:tc>
      </w:tr>
    </w:tbl>
    <w:p>
      <w:pPr>
        <w:spacing w:after="0" w:line="200" w:lineRule="exact"/>
        <w:rPr>
          <w:sz w:val="20"/>
          <w:szCs w:val="20"/>
          <w:color w:val="auto"/>
        </w:rPr>
      </w:pPr>
    </w:p>
    <w:p>
      <w:pPr>
        <w:spacing w:after="0" w:line="202" w:lineRule="exact"/>
        <w:rPr>
          <w:sz w:val="20"/>
          <w:szCs w:val="20"/>
          <w:color w:val="auto"/>
        </w:rPr>
      </w:pPr>
    </w:p>
    <w:p>
      <w:pPr>
        <w:ind w:right="2000"/>
        <w:spacing w:after="0" w:line="435" w:lineRule="auto"/>
        <w:rPr>
          <w:sz w:val="20"/>
          <w:szCs w:val="20"/>
          <w:color w:val="auto"/>
        </w:rPr>
      </w:pPr>
      <w:r>
        <w:rPr>
          <w:rFonts w:ascii="Arial" w:cs="Arial" w:eastAsia="Arial" w:hAnsi="Arial"/>
          <w:sz w:val="22"/>
          <w:szCs w:val="22"/>
          <w:color w:val="auto"/>
        </w:rPr>
        <w:t xml:space="preserve">(1) Includes an interest rate swap, which effectively produces a fixed rate of 7.2625% until January 1, 2006. </w:t>
      </w:r>
      <w:r>
        <w:rPr>
          <w:rFonts w:ascii="Arial" w:cs="Arial" w:eastAsia="Arial" w:hAnsi="Arial"/>
          <w:sz w:val="22"/>
          <w:szCs w:val="22"/>
          <w:b w:val="1"/>
          <w:bCs w:val="1"/>
          <w:color w:val="auto"/>
        </w:rPr>
        <w:t>Item 4. Controls and Procedures</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Our chief executive officer and chief financial officer evaluated the effectiveness of our disclosure controls and procedures (as defined in rule 13a-14c under the Securities Exchange Act of 1934, as amended) as of September 30, 2005 and, based on that evaluation, concluded that, as of the end of the period covered by this report, we had sufficient controls and procedures for recording, processing, summarizing and reporting information that is required to be disclosed in our reports under the Securities Exchange Act of 1934, as amended, within the time periods specified in the SEC’s rules and forms.</w:t>
      </w:r>
    </w:p>
    <w:p>
      <w:pPr>
        <w:spacing w:after="0" w:line="148"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There have been no changes in the internal controls over financial reporting or in other factors that have materially affected, or are reasonably likely to materially affect these internal controls over financial reporting in the third quarter of 2005.</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40" w:type="dxa"/>
            <w:vAlign w:val="bottom"/>
            <w:gridSpan w:val="3"/>
          </w:tcPr>
          <w:p>
            <w:pPr>
              <w:spacing w:after="0"/>
              <w:rPr>
                <w:sz w:val="20"/>
                <w:szCs w:val="20"/>
                <w:color w:val="auto"/>
              </w:rPr>
            </w:pPr>
            <w:r>
              <w:rPr>
                <w:rFonts w:ascii="Arial" w:cs="Arial" w:eastAsia="Arial" w:hAnsi="Arial"/>
                <w:sz w:val="22"/>
                <w:szCs w:val="22"/>
                <w:b w:val="1"/>
                <w:bCs w:val="1"/>
                <w:color w:val="auto"/>
              </w:rPr>
              <w:t>Item 6. Exhibits</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9"/>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5"/>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31.1</w:t>
            </w:r>
          </w:p>
        </w:tc>
        <w:tc>
          <w:tcPr>
            <w:tcW w:w="340" w:type="dxa"/>
            <w:vAlign w:val="bottom"/>
          </w:tcPr>
          <w:p>
            <w:pPr>
              <w:spacing w:after="0"/>
              <w:rPr>
                <w:sz w:val="24"/>
                <w:szCs w:val="24"/>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302 Certifications</w:t>
            </w:r>
          </w:p>
        </w:tc>
      </w:tr>
      <w:tr>
        <w:trPr>
          <w:trHeight w:val="275"/>
        </w:trPr>
        <w:tc>
          <w:tcPr>
            <w:tcW w:w="1600" w:type="dxa"/>
            <w:vAlign w:val="bottom"/>
            <w:gridSpan w:val="2"/>
          </w:tcPr>
          <w:p>
            <w:pPr>
              <w:ind w:left="580"/>
              <w:spacing w:after="0"/>
              <w:rPr>
                <w:sz w:val="20"/>
                <w:szCs w:val="20"/>
                <w:color w:val="auto"/>
              </w:rPr>
            </w:pPr>
            <w:r>
              <w:rPr>
                <w:rFonts w:ascii="Arial" w:cs="Arial" w:eastAsia="Arial" w:hAnsi="Arial"/>
                <w:sz w:val="22"/>
                <w:szCs w:val="22"/>
                <w:color w:val="auto"/>
              </w:rPr>
              <w:t>31.2</w:t>
            </w:r>
          </w:p>
        </w:tc>
        <w:tc>
          <w:tcPr>
            <w:tcW w:w="340" w:type="dxa"/>
            <w:vAlign w:val="bottom"/>
          </w:tcPr>
          <w:p>
            <w:pPr>
              <w:spacing w:after="0"/>
              <w:rPr>
                <w:sz w:val="23"/>
                <w:szCs w:val="23"/>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302 Certifications</w:t>
            </w:r>
          </w:p>
        </w:tc>
      </w:tr>
      <w:tr>
        <w:trPr>
          <w:trHeight w:val="455"/>
        </w:trPr>
        <w:tc>
          <w:tcPr>
            <w:tcW w:w="1600" w:type="dxa"/>
            <w:vAlign w:val="bottom"/>
            <w:gridSpan w:val="2"/>
          </w:tcPr>
          <w:p>
            <w:pPr>
              <w:ind w:left="580"/>
              <w:spacing w:after="0"/>
              <w:rPr>
                <w:sz w:val="20"/>
                <w:szCs w:val="20"/>
                <w:color w:val="auto"/>
              </w:rPr>
            </w:pPr>
            <w:r>
              <w:rPr>
                <w:rFonts w:ascii="Arial" w:cs="Arial" w:eastAsia="Arial" w:hAnsi="Arial"/>
                <w:sz w:val="22"/>
                <w:szCs w:val="22"/>
                <w:color w:val="auto"/>
              </w:rPr>
              <w:t>32.1</w:t>
            </w:r>
          </w:p>
        </w:tc>
        <w:tc>
          <w:tcPr>
            <w:tcW w:w="340" w:type="dxa"/>
            <w:vAlign w:val="bottom"/>
          </w:tcPr>
          <w:p>
            <w:pPr>
              <w:spacing w:after="0"/>
              <w:rPr>
                <w:sz w:val="24"/>
                <w:szCs w:val="24"/>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906 Certifications</w:t>
            </w:r>
          </w:p>
        </w:tc>
      </w:tr>
      <w:tr>
        <w:trPr>
          <w:trHeight w:val="275"/>
        </w:trPr>
        <w:tc>
          <w:tcPr>
            <w:tcW w:w="1600" w:type="dxa"/>
            <w:vAlign w:val="bottom"/>
            <w:gridSpan w:val="2"/>
          </w:tcPr>
          <w:p>
            <w:pPr>
              <w:ind w:left="580"/>
              <w:spacing w:after="0"/>
              <w:rPr>
                <w:sz w:val="20"/>
                <w:szCs w:val="20"/>
                <w:color w:val="auto"/>
              </w:rPr>
            </w:pPr>
            <w:r>
              <w:rPr>
                <w:rFonts w:ascii="Arial" w:cs="Arial" w:eastAsia="Arial" w:hAnsi="Arial"/>
                <w:sz w:val="22"/>
                <w:szCs w:val="22"/>
                <w:color w:val="auto"/>
              </w:rPr>
              <w:t>32.2</w:t>
            </w:r>
          </w:p>
        </w:tc>
        <w:tc>
          <w:tcPr>
            <w:tcW w:w="340" w:type="dxa"/>
            <w:vAlign w:val="bottom"/>
          </w:tcPr>
          <w:p>
            <w:pPr>
              <w:spacing w:after="0"/>
              <w:rPr>
                <w:sz w:val="23"/>
                <w:szCs w:val="23"/>
                <w:color w:val="auto"/>
              </w:rPr>
            </w:pPr>
          </w:p>
        </w:tc>
        <w:tc>
          <w:tcPr>
            <w:tcW w:w="2600" w:type="dxa"/>
            <w:vAlign w:val="bottom"/>
            <w:gridSpan w:val="3"/>
          </w:tcPr>
          <w:p>
            <w:pPr>
              <w:ind w:left="360"/>
              <w:spacing w:after="0"/>
              <w:rPr>
                <w:sz w:val="20"/>
                <w:szCs w:val="20"/>
                <w:color w:val="auto"/>
              </w:rPr>
            </w:pPr>
            <w:r>
              <w:rPr>
                <w:rFonts w:ascii="Arial" w:cs="Arial" w:eastAsia="Arial" w:hAnsi="Arial"/>
                <w:sz w:val="22"/>
                <w:szCs w:val="22"/>
                <w:color w:val="auto"/>
                <w:w w:val="88"/>
              </w:rPr>
              <w:t>Section 906 Certifications</w:t>
            </w:r>
          </w:p>
        </w:tc>
      </w:tr>
    </w:tbl>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CPG PARTNERS,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CPG PARTNERS, L.P.</w:t>
      </w:r>
    </w:p>
    <w:p>
      <w:pPr>
        <w:spacing w:after="0" w:line="200" w:lineRule="exact"/>
        <w:rPr>
          <w:sz w:val="20"/>
          <w:szCs w:val="20"/>
          <w:color w:val="auto"/>
        </w:rPr>
      </w:pPr>
    </w:p>
    <w:p>
      <w:pPr>
        <w:spacing w:after="0" w:line="27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-17780</wp:posOffset>
            </wp:positionV>
            <wp:extent cx="2987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87675" cy="8890"/>
                    </a:xfrm>
                    <a:prstGeom prst="rect">
                      <a:avLst/>
                    </a:prstGeom>
                    <a:noFill/>
                  </pic:spPr>
                </pic:pic>
              </a:graphicData>
            </a:graphic>
          </wp:anchor>
        </w:drawing>
      </w:r>
    </w:p>
    <w:p>
      <w:pPr>
        <w:ind w:left="6100"/>
        <w:spacing w:after="0" w:line="238" w:lineRule="auto"/>
        <w:rPr>
          <w:sz w:val="20"/>
          <w:szCs w:val="20"/>
          <w:color w:val="auto"/>
        </w:rPr>
      </w:pPr>
      <w:r>
        <w:rPr>
          <w:rFonts w:ascii="Arial" w:cs="Arial" w:eastAsia="Arial" w:hAnsi="Arial"/>
          <w:sz w:val="22"/>
          <w:szCs w:val="22"/>
          <w:color w:val="auto"/>
        </w:rPr>
        <w:t>Michael J. Clarke</w:t>
      </w:r>
    </w:p>
    <w:p>
      <w:pPr>
        <w:ind w:left="6100"/>
        <w:spacing w:after="0" w:line="230" w:lineRule="auto"/>
        <w:rPr>
          <w:sz w:val="20"/>
          <w:szCs w:val="20"/>
          <w:color w:val="auto"/>
        </w:rPr>
      </w:pPr>
      <w:r>
        <w:rPr>
          <w:rFonts w:ascii="Arial" w:cs="Arial" w:eastAsia="Arial" w:hAnsi="Arial"/>
          <w:sz w:val="22"/>
          <w:szCs w:val="22"/>
          <w:color w:val="auto"/>
        </w:rPr>
        <w:t>Executive Vice President &amp;</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1340"/>
          </w:cols>
          <w:pgMar w:left="240" w:top="118" w:right="319" w:bottom="286" w:gutter="0" w:footer="0" w:header="0"/>
        </w:sectPr>
      </w:pPr>
    </w:p>
    <w:bookmarkStart w:id="15" w:name="page16"/>
    <w:bookmarkEnd w:id="15"/>
    <w:p>
      <w:pPr>
        <w:spacing w:after="0"/>
        <w:rPr>
          <w:sz w:val="20"/>
          <w:szCs w:val="20"/>
          <w:color w:val="auto"/>
        </w:rPr>
      </w:pPr>
      <w:r>
        <w:rPr>
          <w:rFonts w:ascii="Arial" w:cs="Arial" w:eastAsia="Arial" w:hAnsi="Arial"/>
          <w:sz w:val="19"/>
          <w:szCs w:val="19"/>
          <w:color w:val="auto"/>
        </w:rPr>
        <w:t>Date: November 3, 2005</w:t>
      </w:r>
    </w:p>
    <w:p>
      <w:pPr>
        <w:sectPr>
          <w:pgSz w:w="11900" w:h="16838" w:orient="portrait"/>
          <w:cols w:equalWidth="0" w:num="1">
            <w:col w:w="10219"/>
          </w:cols>
          <w:pgMar w:left="240" w:top="118"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9"/>
          <w:szCs w:val="19"/>
          <w:b w:val="1"/>
          <w:bCs w:val="1"/>
          <w:color w:val="auto"/>
        </w:rPr>
        <w:t>Certification by the Chief Executive Officer pursuant to Rule 13a-14(a)/15d-14(a) of the Securities Exchange Act of 1934, as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adopted pursuant to Section 302 of</w:t>
      </w:r>
    </w:p>
    <w:p>
      <w:pPr>
        <w:jc w:val="center"/>
        <w:ind w:right="-19"/>
        <w:spacing w:after="0"/>
        <w:rPr>
          <w:sz w:val="20"/>
          <w:szCs w:val="20"/>
          <w:color w:val="auto"/>
        </w:rPr>
      </w:pPr>
      <w:r>
        <w:rPr>
          <w:rFonts w:ascii="Arial" w:cs="Arial" w:eastAsia="Arial" w:hAnsi="Arial"/>
          <w:sz w:val="22"/>
          <w:szCs w:val="22"/>
          <w:b w:val="1"/>
          <w:bCs w:val="1"/>
          <w:color w:val="auto"/>
        </w:rPr>
        <w:t>the Sarbanes-Oxley Act of 2002</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 David Bloom, certify that:</w:t>
      </w:r>
    </w:p>
    <w:p>
      <w:pPr>
        <w:spacing w:after="0" w:line="206" w:lineRule="exact"/>
        <w:rPr>
          <w:sz w:val="20"/>
          <w:szCs w:val="20"/>
          <w:color w:val="auto"/>
        </w:rPr>
      </w:pPr>
    </w:p>
    <w:p>
      <w:pPr>
        <w:ind w:left="580" w:hanging="572"/>
        <w:spacing w:after="0"/>
        <w:tabs>
          <w:tab w:leader="none" w:pos="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CPG Partners, L.P.;</w:t>
      </w:r>
    </w:p>
    <w:p>
      <w:pPr>
        <w:spacing w:after="0" w:line="233" w:lineRule="exact"/>
        <w:rPr>
          <w:rFonts w:ascii="Arial" w:cs="Arial" w:eastAsia="Arial" w:hAnsi="Arial"/>
          <w:sz w:val="22"/>
          <w:szCs w:val="22"/>
          <w:color w:val="auto"/>
        </w:rPr>
      </w:pPr>
    </w:p>
    <w:p>
      <w:pPr>
        <w:ind w:left="580" w:right="220" w:hanging="572"/>
        <w:spacing w:after="0"/>
        <w:tabs>
          <w:tab w:leader="none" w:pos="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580" w:right="40" w:hanging="572"/>
        <w:spacing w:after="0"/>
        <w:tabs>
          <w:tab w:leader="none" w:pos="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580" w:right="460" w:hanging="572"/>
        <w:spacing w:after="0" w:line="258" w:lineRule="auto"/>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93" w:lineRule="exact"/>
        <w:rPr>
          <w:rFonts w:ascii="Arial" w:cs="Arial" w:eastAsia="Arial" w:hAnsi="Arial"/>
          <w:sz w:val="21"/>
          <w:szCs w:val="21"/>
          <w:color w:val="auto"/>
        </w:rPr>
      </w:pPr>
    </w:p>
    <w:p>
      <w:pPr>
        <w:ind w:left="1160" w:right="120" w:hanging="571"/>
        <w:spacing w:after="0" w:line="238" w:lineRule="auto"/>
        <w:tabs>
          <w:tab w:leader="none" w:pos="1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160" w:right="20" w:hanging="571"/>
        <w:spacing w:after="0" w:line="297" w:lineRule="auto"/>
        <w:tabs>
          <w:tab w:leader="none" w:pos="1160" w:val="left"/>
        </w:tabs>
        <w:numPr>
          <w:ilvl w:val="1"/>
          <w:numId w:val="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ind w:left="1160" w:right="240" w:hanging="571"/>
        <w:spacing w:after="0"/>
        <w:tabs>
          <w:tab w:leader="none" w:pos="1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160" w:hanging="571"/>
        <w:spacing w:after="0" w:line="238" w:lineRule="auto"/>
        <w:tabs>
          <w:tab w:leader="none" w:pos="1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580" w:right="400" w:hanging="572"/>
        <w:spacing w:after="0"/>
        <w:tabs>
          <w:tab w:leader="none" w:pos="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160" w:right="460" w:hanging="571"/>
        <w:spacing w:after="0"/>
        <w:tabs>
          <w:tab w:leader="none" w:pos="1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160" w:right="220" w:hanging="571"/>
        <w:spacing w:after="0" w:line="251" w:lineRule="auto"/>
        <w:tabs>
          <w:tab w:leader="none" w:pos="1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November 3, 2005</w:t>
            </w:r>
          </w:p>
        </w:tc>
        <w:tc>
          <w:tcPr>
            <w:tcW w:w="2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Bloom</w:t>
            </w:r>
          </w:p>
        </w:tc>
      </w:tr>
      <w:tr>
        <w:trPr>
          <w:trHeight w:val="242"/>
        </w:trPr>
        <w:tc>
          <w:tcPr>
            <w:tcW w:w="5720" w:type="dxa"/>
            <w:vAlign w:val="bottom"/>
          </w:tcPr>
          <w:p>
            <w:pPr>
              <w:spacing w:after="0"/>
              <w:rPr>
                <w:sz w:val="21"/>
                <w:szCs w:val="21"/>
                <w:color w:val="auto"/>
              </w:rPr>
            </w:pPr>
          </w:p>
        </w:tc>
        <w:tc>
          <w:tcPr>
            <w:tcW w:w="2500" w:type="dxa"/>
            <w:vAlign w:val="bottom"/>
          </w:tcPr>
          <w:p>
            <w:pPr>
              <w:spacing w:after="0" w:line="242" w:lineRule="exact"/>
              <w:rPr>
                <w:sz w:val="20"/>
                <w:szCs w:val="20"/>
                <w:color w:val="auto"/>
              </w:rPr>
            </w:pPr>
            <w:r>
              <w:rPr>
                <w:rFonts w:ascii="Arial" w:cs="Arial" w:eastAsia="Arial" w:hAnsi="Arial"/>
                <w:sz w:val="22"/>
                <w:szCs w:val="22"/>
                <w:color w:val="auto"/>
              </w:rPr>
              <w:t>David Bloom</w:t>
            </w:r>
          </w:p>
        </w:tc>
      </w:tr>
      <w:tr>
        <w:trPr>
          <w:trHeight w:val="275"/>
        </w:trPr>
        <w:tc>
          <w:tcPr>
            <w:tcW w:w="572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420"/>
          </w:cols>
          <w:pgMar w:left="240" w:top="112"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1</w:t>
      </w:r>
    </w:p>
    <w:p>
      <w:pPr>
        <w:spacing w:after="0" w:line="20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Certification by the Chief Financial Officer pursuant to Rule 13a-14(a)/15d-14(a) of the Securities Exchange Act of 1934, as adopted pursuant to Section 302 of the Sarbanes-Oxley Act of 2002</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 Michael J. Clarke, certify that:</w:t>
      </w:r>
    </w:p>
    <w:p>
      <w:pPr>
        <w:spacing w:after="0" w:line="206" w:lineRule="exact"/>
        <w:rPr>
          <w:sz w:val="20"/>
          <w:szCs w:val="20"/>
          <w:color w:val="auto"/>
        </w:rPr>
      </w:pPr>
    </w:p>
    <w:p>
      <w:pPr>
        <w:ind w:left="580" w:hanging="572"/>
        <w:spacing w:after="0"/>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CPG Partners, L.P.;</w:t>
      </w:r>
    </w:p>
    <w:p>
      <w:pPr>
        <w:spacing w:after="0" w:line="233" w:lineRule="exact"/>
        <w:rPr>
          <w:rFonts w:ascii="Arial" w:cs="Arial" w:eastAsia="Arial" w:hAnsi="Arial"/>
          <w:sz w:val="22"/>
          <w:szCs w:val="22"/>
          <w:color w:val="auto"/>
        </w:rPr>
      </w:pPr>
    </w:p>
    <w:p>
      <w:pPr>
        <w:ind w:left="580" w:right="220" w:hanging="572"/>
        <w:spacing w:after="0"/>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580" w:right="40" w:hanging="572"/>
        <w:spacing w:after="0"/>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580" w:right="460" w:hanging="572"/>
        <w:spacing w:after="0" w:line="258" w:lineRule="auto"/>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93" w:lineRule="exact"/>
        <w:rPr>
          <w:rFonts w:ascii="Arial" w:cs="Arial" w:eastAsia="Arial" w:hAnsi="Arial"/>
          <w:sz w:val="21"/>
          <w:szCs w:val="21"/>
          <w:color w:val="auto"/>
        </w:rPr>
      </w:pPr>
    </w:p>
    <w:p>
      <w:pPr>
        <w:ind w:left="1160" w:right="120" w:hanging="571"/>
        <w:spacing w:after="0" w:line="238" w:lineRule="auto"/>
        <w:tabs>
          <w:tab w:leader="none" w:pos="1160"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160" w:right="20" w:hanging="571"/>
        <w:spacing w:after="0" w:line="297" w:lineRule="auto"/>
        <w:tabs>
          <w:tab w:leader="none" w:pos="1160" w:val="left"/>
        </w:tabs>
        <w:numPr>
          <w:ilvl w:val="1"/>
          <w:numId w:val="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ind w:left="1160" w:right="240" w:hanging="571"/>
        <w:spacing w:after="0"/>
        <w:tabs>
          <w:tab w:leader="none" w:pos="1160" w:val="left"/>
        </w:tabs>
        <w:numPr>
          <w:ilvl w:val="1"/>
          <w:numId w:val="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160" w:hanging="571"/>
        <w:spacing w:after="0" w:line="238" w:lineRule="auto"/>
        <w:tabs>
          <w:tab w:leader="none" w:pos="1160"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580" w:right="400" w:hanging="572"/>
        <w:spacing w:after="0"/>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3" w:lineRule="exact"/>
        <w:rPr>
          <w:rFonts w:ascii="Arial" w:cs="Arial" w:eastAsia="Arial" w:hAnsi="Arial"/>
          <w:sz w:val="22"/>
          <w:szCs w:val="22"/>
          <w:color w:val="auto"/>
        </w:rPr>
      </w:pPr>
    </w:p>
    <w:p>
      <w:pPr>
        <w:ind w:left="1160" w:right="460" w:hanging="571"/>
        <w:spacing w:after="0"/>
        <w:tabs>
          <w:tab w:leader="none" w:pos="1160" w:val="left"/>
        </w:tabs>
        <w:numPr>
          <w:ilvl w:val="1"/>
          <w:numId w:val="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160" w:right="220" w:hanging="571"/>
        <w:spacing w:after="0" w:line="251" w:lineRule="auto"/>
        <w:tabs>
          <w:tab w:leader="none" w:pos="1160" w:val="left"/>
        </w:tabs>
        <w:numPr>
          <w:ilvl w:val="1"/>
          <w:numId w:val="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0"/>
                <w:szCs w:val="20"/>
                <w:color w:val="auto"/>
              </w:rPr>
            </w:pPr>
            <w:r>
              <w:rPr>
                <w:rFonts w:ascii="Arial" w:cs="Arial" w:eastAsia="Arial" w:hAnsi="Arial"/>
                <w:sz w:val="22"/>
                <w:szCs w:val="22"/>
                <w:color w:val="auto"/>
              </w:rPr>
              <w:t>Date: November 3, 2005</w:t>
            </w:r>
          </w:p>
        </w:tc>
        <w:tc>
          <w:tcPr>
            <w:tcW w:w="3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J. Clarke</w:t>
            </w:r>
          </w:p>
        </w:tc>
        <w:tc>
          <w:tcPr>
            <w:tcW w:w="140" w:type="dxa"/>
            <w:vAlign w:val="bottom"/>
          </w:tcPr>
          <w:p>
            <w:pPr>
              <w:spacing w:after="0"/>
              <w:rPr>
                <w:sz w:val="21"/>
                <w:szCs w:val="21"/>
                <w:color w:val="auto"/>
              </w:rPr>
            </w:pPr>
          </w:p>
        </w:tc>
      </w:tr>
      <w:tr>
        <w:trPr>
          <w:trHeight w:val="242"/>
        </w:trPr>
        <w:tc>
          <w:tcPr>
            <w:tcW w:w="5720" w:type="dxa"/>
            <w:vAlign w:val="bottom"/>
          </w:tcPr>
          <w:p>
            <w:pPr>
              <w:spacing w:after="0"/>
              <w:rPr>
                <w:sz w:val="21"/>
                <w:szCs w:val="21"/>
                <w:color w:val="auto"/>
              </w:rPr>
            </w:pPr>
          </w:p>
        </w:tc>
        <w:tc>
          <w:tcPr>
            <w:tcW w:w="3820" w:type="dxa"/>
            <w:vAlign w:val="bottom"/>
            <w:gridSpan w:val="2"/>
          </w:tcPr>
          <w:p>
            <w:pPr>
              <w:spacing w:after="0" w:line="242" w:lineRule="exact"/>
              <w:rPr>
                <w:sz w:val="20"/>
                <w:szCs w:val="20"/>
                <w:color w:val="auto"/>
              </w:rPr>
            </w:pPr>
            <w:r>
              <w:rPr>
                <w:rFonts w:ascii="Arial" w:cs="Arial" w:eastAsia="Arial" w:hAnsi="Arial"/>
                <w:sz w:val="22"/>
                <w:szCs w:val="22"/>
                <w:color w:val="auto"/>
                <w:w w:val="89"/>
              </w:rPr>
              <w:t>Michael J. Clarke, Executive Vice President</w:t>
            </w:r>
          </w:p>
        </w:tc>
      </w:tr>
      <w:tr>
        <w:trPr>
          <w:trHeight w:val="275"/>
        </w:trPr>
        <w:tc>
          <w:tcPr>
            <w:tcW w:w="5720" w:type="dxa"/>
            <w:vAlign w:val="bottom"/>
          </w:tcPr>
          <w:p>
            <w:pPr>
              <w:spacing w:after="0"/>
              <w:rPr>
                <w:sz w:val="23"/>
                <w:szCs w:val="23"/>
                <w:color w:val="auto"/>
              </w:rPr>
            </w:pPr>
          </w:p>
        </w:tc>
        <w:tc>
          <w:tcPr>
            <w:tcW w:w="3820" w:type="dxa"/>
            <w:vAlign w:val="bottom"/>
            <w:gridSpan w:val="2"/>
          </w:tcPr>
          <w:p>
            <w:pPr>
              <w:spacing w:after="0"/>
              <w:rPr>
                <w:sz w:val="20"/>
                <w:szCs w:val="20"/>
                <w:color w:val="auto"/>
              </w:rPr>
            </w:pPr>
            <w:r>
              <w:rPr>
                <w:rFonts w:ascii="Arial" w:cs="Arial" w:eastAsia="Arial" w:hAnsi="Arial"/>
                <w:sz w:val="22"/>
                <w:szCs w:val="22"/>
                <w:color w:val="auto"/>
              </w:rPr>
              <w:t>and Chief Financial Officer</w:t>
            </w:r>
          </w:p>
        </w:tc>
      </w:tr>
    </w:tbl>
    <w:p>
      <w:pPr>
        <w:sectPr>
          <w:pgSz w:w="11900" w:h="16838" w:orient="portrait"/>
          <w:cols w:equalWidth="0" w:num="1">
            <w:col w:w="11420"/>
          </w:cols>
          <w:pgMar w:left="240" w:top="11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David Bloom, Chief Executive Officer of Chelsea Property Group, Inc., the sole general partner of CPG Partners, L.P. ("the OP"), pursuant to Section 906 of the Sarbanes-Oxley Act of 2003, do hereby certify as follows:</w:t>
      </w:r>
    </w:p>
    <w:p>
      <w:pPr>
        <w:spacing w:after="0" w:line="173" w:lineRule="exact"/>
        <w:rPr>
          <w:sz w:val="20"/>
          <w:szCs w:val="20"/>
          <w:color w:val="auto"/>
        </w:rPr>
      </w:pPr>
    </w:p>
    <w:p>
      <w:pPr>
        <w:ind w:left="580" w:right="60" w:hanging="572"/>
        <w:spacing w:after="0" w:line="251" w:lineRule="auto"/>
        <w:tabs>
          <w:tab w:leader="none" w:pos="5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annual report on Form 10-Q of the OP for the period ended September 30, 2005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220" w:hanging="572"/>
        <w:spacing w:after="0" w:line="251" w:lineRule="auto"/>
        <w:tabs>
          <w:tab w:leader="none" w:pos="5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3rd day of November,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David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038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8985" cy="8890"/>
                    </a:xfrm>
                    <a:prstGeom prst="rect">
                      <a:avLst/>
                    </a:prstGeom>
                    <a:noFill/>
                  </pic:spPr>
                </pic:pic>
              </a:graphicData>
            </a:graphic>
          </wp:anchor>
        </w:drawing>
      </w:r>
    </w:p>
    <w:p>
      <w:pPr>
        <w:ind w:left="6160"/>
        <w:spacing w:after="0" w:line="238" w:lineRule="auto"/>
        <w:rPr>
          <w:sz w:val="20"/>
          <w:szCs w:val="20"/>
          <w:color w:val="auto"/>
        </w:rPr>
      </w:pPr>
      <w:r>
        <w:rPr>
          <w:rFonts w:ascii="Arial" w:cs="Arial" w:eastAsia="Arial" w:hAnsi="Arial"/>
          <w:sz w:val="22"/>
          <w:szCs w:val="22"/>
          <w:color w:val="auto"/>
        </w:rPr>
        <w:t>David Bloom</w:t>
      </w:r>
    </w:p>
    <w:p>
      <w:pPr>
        <w:ind w:left="61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22"/>
          <w:szCs w:val="22"/>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 Michael J. Clarke, Chief Financial Officer of Chelsea Property Group, Inc., the sole general partner of CPG Partners, L.P.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OP"), pursuant to Section 906 of the Sarbanes-Oxley Act of 2002, do hereby certify as follows:</w:t>
      </w:r>
    </w:p>
    <w:p>
      <w:pPr>
        <w:spacing w:after="0" w:line="188" w:lineRule="exact"/>
        <w:rPr>
          <w:sz w:val="20"/>
          <w:szCs w:val="20"/>
          <w:color w:val="auto"/>
        </w:rPr>
      </w:pPr>
    </w:p>
    <w:p>
      <w:pPr>
        <w:ind w:left="580" w:hanging="572"/>
        <w:spacing w:after="0" w:line="251" w:lineRule="auto"/>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quarterly report on Form 10-Q of the OP for the period ended September 30, 2005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80" w:right="120" w:hanging="572"/>
        <w:spacing w:after="0" w:line="251" w:lineRule="auto"/>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information contained in such Form 10-Q fairly presents, in all material respects, the financial condition and results of operations of the OP.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Certification this 3rd day of November, 2005.</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226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7585" cy="8890"/>
                    </a:xfrm>
                    <a:prstGeom prst="rect">
                      <a:avLst/>
                    </a:prstGeom>
                    <a:noFill/>
                  </pic:spPr>
                </pic:pic>
              </a:graphicData>
            </a:graphic>
          </wp:anchor>
        </w:drawing>
      </w:r>
    </w:p>
    <w:p>
      <w:pPr>
        <w:ind w:left="6160"/>
        <w:spacing w:after="0" w:line="238" w:lineRule="auto"/>
        <w:rPr>
          <w:sz w:val="20"/>
          <w:szCs w:val="20"/>
          <w:color w:val="auto"/>
        </w:rPr>
      </w:pPr>
      <w:r>
        <w:rPr>
          <w:rFonts w:ascii="Arial" w:cs="Arial" w:eastAsia="Arial" w:hAnsi="Arial"/>
          <w:sz w:val="22"/>
          <w:szCs w:val="22"/>
          <w:color w:val="auto"/>
        </w:rPr>
        <w:t>Michael J. Clarke, Executive Vice</w:t>
      </w:r>
    </w:p>
    <w:p>
      <w:pPr>
        <w:ind w:left="6160"/>
        <w:spacing w:after="0"/>
        <w:rPr>
          <w:sz w:val="20"/>
          <w:szCs w:val="20"/>
          <w:color w:val="auto"/>
        </w:rPr>
      </w:pPr>
      <w:r>
        <w:rPr>
          <w:rFonts w:ascii="Arial" w:cs="Arial" w:eastAsia="Arial" w:hAnsi="Arial"/>
          <w:sz w:val="22"/>
          <w:szCs w:val="22"/>
          <w:color w:val="auto"/>
        </w:rPr>
        <w:t>President and Chief Financial Officer</w:t>
      </w:r>
    </w:p>
    <w:p>
      <w:pPr>
        <w:spacing w:after="0" w:line="200" w:lineRule="exact"/>
        <w:rPr>
          <w:sz w:val="20"/>
          <w:szCs w:val="20"/>
          <w:color w:val="auto"/>
        </w:rPr>
      </w:pPr>
    </w:p>
    <w:p>
      <w:pPr>
        <w:spacing w:after="0" w:line="231"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A signed original of this written statement required by Section 906 has been provided to CPG Partners L.P. and will be retained by CPG Partners L.P. and furnished to the Securities and Exchange Commission or its staff upon request.</w:t>
      </w:r>
    </w:p>
    <w:sectPr>
      <w:pgSz w:w="11900" w:h="16838" w:orient="portrait"/>
      <w:cols w:equalWidth="0" w:num="1">
        <w:col w:w="11320"/>
      </w:cols>
      <w:pgMar w:left="2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2019-12-12T00:26:48Z</dcterms:created>
  <dcterms:modified xsi:type="dcterms:W3CDTF">2019-12-12T00:26:48Z</dcterms:modified>
</cp:coreProperties>
</file>