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232" w:lineRule="exact"/>
        <w:rPr>
          <w:sz w:val="24"/>
          <w:szCs w:val="24"/>
          <w:color w:val="auto"/>
        </w:rPr>
      </w:pPr>
    </w:p>
    <w:p>
      <w:pPr>
        <w:ind w:left="3600" w:right="2160" w:hanging="1177"/>
        <w:spacing w:after="0" w:line="274" w:lineRule="auto"/>
        <w:tabs>
          <w:tab w:leader="none" w:pos="2557" w:val="left"/>
        </w:tabs>
        <w:numPr>
          <w:ilvl w:val="0"/>
          <w:numId w:val="1"/>
        </w:numPr>
        <w:rPr>
          <w:rFonts w:ascii="Arial" w:cs="Arial" w:eastAsia="Arial" w:hAnsi="Arial"/>
          <w:sz w:val="21"/>
          <w:szCs w:val="21"/>
          <w:color w:val="auto"/>
        </w:rPr>
      </w:pPr>
      <w:r>
        <w:rPr>
          <w:rFonts w:ascii="Arial" w:cs="Arial" w:eastAsia="Arial" w:hAnsi="Arial"/>
          <w:sz w:val="21"/>
          <w:szCs w:val="21"/>
          <w:color w:val="auto"/>
        </w:rPr>
        <w:t>X ] QUARTERLY REPORT PURSUANT TO SECTION 13 OR 15(d) OF THE SECURITIES EXCHANGE ACT OF 1934</w:t>
      </w:r>
    </w:p>
    <w:p>
      <w:pPr>
        <w:spacing w:after="0" w:line="145"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 the quarterly period ended September 30, 2004</w:t>
      </w:r>
    </w:p>
    <w:p>
      <w:pPr>
        <w:spacing w:after="0" w:line="212"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or</w:t>
      </w:r>
    </w:p>
    <w:p>
      <w:pPr>
        <w:spacing w:after="0" w:line="206" w:lineRule="exact"/>
        <w:rPr>
          <w:sz w:val="24"/>
          <w:szCs w:val="24"/>
          <w:color w:val="auto"/>
        </w:rPr>
      </w:pPr>
    </w:p>
    <w:p>
      <w:pPr>
        <w:ind w:left="3600" w:right="2240" w:hanging="1083"/>
        <w:spacing w:after="0" w:line="274" w:lineRule="auto"/>
        <w:tabs>
          <w:tab w:leader="none" w:pos="2651" w:val="left"/>
        </w:tabs>
        <w:numPr>
          <w:ilvl w:val="0"/>
          <w:numId w:val="2"/>
        </w:numPr>
        <w:rPr>
          <w:rFonts w:ascii="Arial" w:cs="Arial" w:eastAsia="Arial" w:hAnsi="Arial"/>
          <w:sz w:val="21"/>
          <w:szCs w:val="21"/>
          <w:color w:val="auto"/>
        </w:rPr>
      </w:pPr>
      <w:r>
        <w:rPr>
          <w:rFonts w:ascii="Arial" w:cs="Arial" w:eastAsia="Arial" w:hAnsi="Arial"/>
          <w:sz w:val="21"/>
          <w:szCs w:val="21"/>
          <w:color w:val="auto"/>
        </w:rPr>
        <w:t>] TRANSITION REPORT PURSUANT TO SECTION 13 OR 15(d) OF THE SECURITIES EXCHANGE ACT OF 1934</w:t>
      </w:r>
    </w:p>
    <w:p>
      <w:pPr>
        <w:spacing w:after="0" w:line="151"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For the transition period from __________ to _______.</w:t>
      </w:r>
    </w:p>
    <w:p>
      <w:pPr>
        <w:spacing w:after="0" w:line="200"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Commission File No. 33-98136</w:t>
      </w:r>
    </w:p>
    <w:p>
      <w:pPr>
        <w:spacing w:after="0" w:line="206"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178" w:lineRule="exact"/>
        <w:rPr>
          <w:sz w:val="24"/>
          <w:szCs w:val="24"/>
          <w:color w:val="auto"/>
        </w:rPr>
      </w:pPr>
    </w:p>
    <w:tbl>
      <w:tblPr>
        <w:tblLayout w:type="fixed"/>
        <w:tblInd w:w="1440" w:type="dxa"/>
        <w:tblCellMar>
          <w:top w:w="0" w:type="dxa"/>
          <w:left w:w="0" w:type="dxa"/>
          <w:bottom w:w="0" w:type="dxa"/>
          <w:right w:w="0" w:type="dxa"/>
        </w:tblCellMar>
      </w:tblPr>
      <w:tr>
        <w:trPr>
          <w:trHeight w:val="253"/>
        </w:trPr>
        <w:tc>
          <w:tcPr>
            <w:tcW w:w="4580" w:type="dxa"/>
            <w:vAlign w:val="bottom"/>
          </w:tcPr>
          <w:p>
            <w:pPr>
              <w:jc w:val="center"/>
              <w:ind w:right="1632"/>
              <w:spacing w:after="0"/>
              <w:rPr>
                <w:sz w:val="20"/>
                <w:szCs w:val="20"/>
                <w:color w:val="auto"/>
              </w:rPr>
            </w:pPr>
            <w:r>
              <w:rPr>
                <w:rFonts w:ascii="Arial" w:cs="Arial" w:eastAsia="Arial" w:hAnsi="Arial"/>
                <w:sz w:val="22"/>
                <w:szCs w:val="22"/>
                <w:b w:val="1"/>
                <w:bCs w:val="1"/>
                <w:color w:val="auto"/>
                <w:w w:val="91"/>
              </w:rPr>
              <w:t>Delaware</w:t>
            </w:r>
          </w:p>
        </w:tc>
        <w:tc>
          <w:tcPr>
            <w:tcW w:w="3360" w:type="dxa"/>
            <w:vAlign w:val="bottom"/>
          </w:tcPr>
          <w:p>
            <w:pPr>
              <w:jc w:val="center"/>
              <w:ind w:left="1632"/>
              <w:spacing w:after="0"/>
              <w:rPr>
                <w:sz w:val="20"/>
                <w:szCs w:val="20"/>
                <w:color w:val="auto"/>
              </w:rPr>
            </w:pPr>
            <w:r>
              <w:rPr>
                <w:rFonts w:ascii="Arial" w:cs="Arial" w:eastAsia="Arial" w:hAnsi="Arial"/>
                <w:sz w:val="22"/>
                <w:szCs w:val="22"/>
                <w:b w:val="1"/>
                <w:bCs w:val="1"/>
                <w:color w:val="auto"/>
                <w:w w:val="90"/>
              </w:rPr>
              <w:t>22-3258100</w:t>
            </w:r>
          </w:p>
        </w:tc>
      </w:tr>
      <w:tr>
        <w:trPr>
          <w:trHeight w:val="243"/>
        </w:trPr>
        <w:tc>
          <w:tcPr>
            <w:tcW w:w="4580" w:type="dxa"/>
            <w:vAlign w:val="bottom"/>
          </w:tcPr>
          <w:p>
            <w:pPr>
              <w:jc w:val="center"/>
              <w:ind w:right="1632"/>
              <w:spacing w:after="0" w:line="243" w:lineRule="exact"/>
              <w:rPr>
                <w:sz w:val="20"/>
                <w:szCs w:val="20"/>
                <w:color w:val="auto"/>
              </w:rPr>
            </w:pPr>
            <w:r>
              <w:rPr>
                <w:rFonts w:ascii="Arial" w:cs="Arial" w:eastAsia="Arial" w:hAnsi="Arial"/>
                <w:sz w:val="22"/>
                <w:szCs w:val="22"/>
                <w:color w:val="auto"/>
                <w:w w:val="90"/>
              </w:rPr>
              <w:t>(State or other jurisdiction</w:t>
            </w:r>
          </w:p>
        </w:tc>
        <w:tc>
          <w:tcPr>
            <w:tcW w:w="3360" w:type="dxa"/>
            <w:vAlign w:val="bottom"/>
          </w:tcPr>
          <w:p>
            <w:pPr>
              <w:jc w:val="center"/>
              <w:ind w:left="1632"/>
              <w:spacing w:after="0" w:line="243" w:lineRule="exact"/>
              <w:rPr>
                <w:sz w:val="20"/>
                <w:szCs w:val="20"/>
                <w:color w:val="auto"/>
              </w:rPr>
            </w:pPr>
            <w:r>
              <w:rPr>
                <w:rFonts w:ascii="Arial" w:cs="Arial" w:eastAsia="Arial" w:hAnsi="Arial"/>
                <w:sz w:val="22"/>
                <w:szCs w:val="22"/>
                <w:color w:val="auto"/>
                <w:w w:val="90"/>
              </w:rPr>
              <w:t>(I.R.S. Employer</w:t>
            </w:r>
          </w:p>
        </w:tc>
      </w:tr>
      <w:tr>
        <w:trPr>
          <w:trHeight w:val="275"/>
        </w:trPr>
        <w:tc>
          <w:tcPr>
            <w:tcW w:w="4580" w:type="dxa"/>
            <w:vAlign w:val="bottom"/>
          </w:tcPr>
          <w:p>
            <w:pPr>
              <w:jc w:val="center"/>
              <w:ind w:right="1632"/>
              <w:spacing w:after="0"/>
              <w:rPr>
                <w:sz w:val="20"/>
                <w:szCs w:val="20"/>
                <w:color w:val="auto"/>
              </w:rPr>
            </w:pPr>
            <w:r>
              <w:rPr>
                <w:rFonts w:ascii="Arial" w:cs="Arial" w:eastAsia="Arial" w:hAnsi="Arial"/>
                <w:sz w:val="22"/>
                <w:szCs w:val="22"/>
                <w:color w:val="auto"/>
                <w:w w:val="91"/>
              </w:rPr>
              <w:t>of incorporation or organization)</w:t>
            </w:r>
          </w:p>
        </w:tc>
        <w:tc>
          <w:tcPr>
            <w:tcW w:w="3360" w:type="dxa"/>
            <w:vAlign w:val="bottom"/>
          </w:tcPr>
          <w:p>
            <w:pPr>
              <w:jc w:val="center"/>
              <w:ind w:left="1632"/>
              <w:spacing w:after="0"/>
              <w:rPr>
                <w:sz w:val="20"/>
                <w:szCs w:val="20"/>
                <w:color w:val="auto"/>
              </w:rPr>
            </w:pPr>
            <w:r>
              <w:rPr>
                <w:rFonts w:ascii="Arial" w:cs="Arial" w:eastAsia="Arial" w:hAnsi="Arial"/>
                <w:sz w:val="22"/>
                <w:szCs w:val="22"/>
                <w:color w:val="auto"/>
                <w:w w:val="94"/>
              </w:rPr>
              <w:t>Identification No.)</w:t>
            </w:r>
          </w:p>
        </w:tc>
      </w:tr>
    </w:tbl>
    <w:p>
      <w:pPr>
        <w:spacing w:after="0" w:line="200" w:lineRule="exact"/>
        <w:rPr>
          <w:sz w:val="24"/>
          <w:szCs w:val="24"/>
          <w:color w:val="auto"/>
        </w:rPr>
      </w:pPr>
    </w:p>
    <w:p>
      <w:pPr>
        <w:spacing w:after="0" w:line="22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105 Eisenhower Parkway, Roseland, New Jersey 07068</w:t>
      </w:r>
    </w:p>
    <w:p>
      <w:pPr>
        <w:spacing w:after="0" w:line="14" w:lineRule="exact"/>
        <w:rPr>
          <w:sz w:val="24"/>
          <w:szCs w:val="24"/>
          <w:color w:val="auto"/>
        </w:rPr>
      </w:pPr>
    </w:p>
    <w:p>
      <w:pPr>
        <w:ind w:left="3580"/>
        <w:spacing w:after="0"/>
        <w:rPr>
          <w:sz w:val="20"/>
          <w:szCs w:val="20"/>
          <w:color w:val="auto"/>
        </w:rPr>
      </w:pPr>
      <w:r>
        <w:rPr>
          <w:rFonts w:ascii="Arial" w:cs="Arial" w:eastAsia="Arial" w:hAnsi="Arial"/>
          <w:sz w:val="22"/>
          <w:szCs w:val="22"/>
          <w:i w:val="1"/>
          <w:iCs w:val="1"/>
          <w:color w:val="auto"/>
        </w:rPr>
        <w:t>(Address of principal executive offices - zip code)</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(973) 228-6111</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188" w:lineRule="exact"/>
        <w:rPr>
          <w:sz w:val="24"/>
          <w:szCs w:val="24"/>
          <w:color w:val="auto"/>
        </w:rPr>
      </w:pPr>
    </w:p>
    <w:p>
      <w:pPr>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4678045</wp:posOffset>
            </wp:positionH>
            <wp:positionV relativeFrom="paragraph">
              <wp:posOffset>-43180</wp:posOffset>
            </wp:positionV>
            <wp:extent cx="133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35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-43180</wp:posOffset>
            </wp:positionV>
            <wp:extent cx="68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an accelerated filer.</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Yes___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647065</wp:posOffset>
            </wp:positionH>
            <wp:positionV relativeFrom="paragraph">
              <wp:posOffset>-29210</wp:posOffset>
            </wp:positionV>
            <wp:extent cx="23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220"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Arial" w:cs="Arial" w:eastAsia="Arial" w:hAnsi="Arial"/>
          <w:sz w:val="22"/>
          <w:szCs w:val="22"/>
          <w:color w:val="auto"/>
        </w:rPr>
        <w:t>There are no outstanding shares of Common Stock or voting securities.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00" w:type="dxa"/>
            <w:vAlign w:val="bottom"/>
          </w:tcPr>
          <w:p>
            <w:pPr>
              <w:jc w:val="center"/>
              <w:ind w:left="412"/>
              <w:spacing w:after="0"/>
              <w:rPr>
                <w:sz w:val="20"/>
                <w:szCs w:val="20"/>
                <w:color w:val="auto"/>
              </w:rPr>
            </w:pPr>
            <w:r>
              <w:rPr>
                <w:rFonts w:ascii="Arial" w:cs="Arial" w:eastAsia="Arial" w:hAnsi="Arial"/>
                <w:sz w:val="22"/>
                <w:szCs w:val="22"/>
                <w:b w:val="1"/>
                <w:bCs w:val="1"/>
                <w:color w:val="auto"/>
                <w:w w:val="90"/>
              </w:rPr>
              <w:t>CPG Partners, L.P.</w:t>
            </w:r>
          </w:p>
        </w:tc>
        <w:tc>
          <w:tcPr>
            <w:tcW w:w="194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00" w:type="dxa"/>
            <w:vAlign w:val="bottom"/>
          </w:tcPr>
          <w:p>
            <w:pPr>
              <w:jc w:val="center"/>
              <w:ind w:left="412"/>
              <w:spacing w:after="0"/>
              <w:rPr>
                <w:sz w:val="20"/>
                <w:szCs w:val="20"/>
                <w:color w:val="auto"/>
              </w:rPr>
            </w:pPr>
            <w:r>
              <w:rPr>
                <w:rFonts w:ascii="Arial" w:cs="Arial" w:eastAsia="Arial" w:hAnsi="Arial"/>
                <w:sz w:val="22"/>
                <w:szCs w:val="22"/>
                <w:b w:val="1"/>
                <w:bCs w:val="1"/>
                <w:color w:val="auto"/>
                <w:w w:val="93"/>
              </w:rPr>
              <w:t>Index</w:t>
            </w:r>
          </w:p>
        </w:tc>
        <w:tc>
          <w:tcPr>
            <w:tcW w:w="1940" w:type="dxa"/>
            <w:vAlign w:val="bottom"/>
          </w:tcPr>
          <w:p>
            <w:pPr>
              <w:spacing w:after="0"/>
              <w:rPr>
                <w:sz w:val="24"/>
                <w:szCs w:val="24"/>
                <w:color w:val="auto"/>
              </w:rPr>
            </w:pPr>
          </w:p>
        </w:tc>
      </w:tr>
      <w:tr>
        <w:trPr>
          <w:trHeight w:val="409"/>
        </w:trPr>
        <w:tc>
          <w:tcPr>
            <w:tcW w:w="8200" w:type="dxa"/>
            <w:vAlign w:val="bottom"/>
            <w:gridSpan w:val="3"/>
          </w:tcPr>
          <w:p>
            <w:pPr>
              <w:spacing w:after="0"/>
              <w:rPr>
                <w:sz w:val="20"/>
                <w:szCs w:val="20"/>
                <w:color w:val="auto"/>
              </w:rPr>
            </w:pPr>
            <w:r>
              <w:rPr>
                <w:rFonts w:ascii="Arial" w:cs="Arial" w:eastAsia="Arial" w:hAnsi="Arial"/>
                <w:sz w:val="22"/>
                <w:szCs w:val="22"/>
                <w:b w:val="1"/>
                <w:bCs w:val="1"/>
                <w:color w:val="auto"/>
              </w:rPr>
              <w:t>Part I. Financial Information</w:t>
            </w:r>
          </w:p>
        </w:tc>
        <w:tc>
          <w:tcPr>
            <w:tcW w:w="1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90"/>
        </w:trPr>
        <w:tc>
          <w:tcPr>
            <w:tcW w:w="660" w:type="dxa"/>
            <w:vAlign w:val="bottom"/>
          </w:tcPr>
          <w:p>
            <w:pPr>
              <w:spacing w:after="0"/>
              <w:rPr>
                <w:sz w:val="20"/>
                <w:szCs w:val="20"/>
                <w:color w:val="auto"/>
              </w:rPr>
            </w:pPr>
            <w:r>
              <w:rPr>
                <w:rFonts w:ascii="Arial" w:cs="Arial" w:eastAsia="Arial" w:hAnsi="Arial"/>
                <w:sz w:val="22"/>
                <w:szCs w:val="22"/>
                <w:color w:val="auto"/>
                <w:w w:val="95"/>
              </w:rPr>
              <w:t>Item 1.</w:t>
            </w:r>
          </w:p>
        </w:tc>
        <w:tc>
          <w:tcPr>
            <w:tcW w:w="7540" w:type="dxa"/>
            <w:vAlign w:val="bottom"/>
            <w:gridSpan w:val="2"/>
          </w:tcPr>
          <w:p>
            <w:pPr>
              <w:ind w:left="20"/>
              <w:spacing w:after="0"/>
              <w:rPr>
                <w:sz w:val="20"/>
                <w:szCs w:val="20"/>
                <w:color w:val="auto"/>
              </w:rPr>
            </w:pPr>
            <w:r>
              <w:rPr>
                <w:rFonts w:ascii="Arial" w:cs="Arial" w:eastAsia="Arial" w:hAnsi="Arial"/>
                <w:sz w:val="22"/>
                <w:szCs w:val="22"/>
                <w:color w:val="auto"/>
              </w:rPr>
              <w:t>Financial Statements (Unaudited)</w:t>
            </w:r>
          </w:p>
        </w:tc>
        <w:tc>
          <w:tcPr>
            <w:tcW w:w="1940" w:type="dxa"/>
            <w:vAlign w:val="bottom"/>
          </w:tcPr>
          <w:p>
            <w:pPr>
              <w:ind w:left="1520"/>
              <w:spacing w:after="0"/>
              <w:rPr>
                <w:sz w:val="20"/>
                <w:szCs w:val="20"/>
                <w:color w:val="auto"/>
              </w:rPr>
            </w:pPr>
            <w:r>
              <w:rPr>
                <w:rFonts w:ascii="Arial" w:cs="Arial" w:eastAsia="Arial" w:hAnsi="Arial"/>
                <w:sz w:val="22"/>
                <w:szCs w:val="22"/>
                <w:color w:val="auto"/>
                <w:w w:val="77"/>
              </w:rPr>
              <w:t>Page</w:t>
            </w:r>
          </w:p>
        </w:tc>
      </w:tr>
      <w:tr>
        <w:trPr>
          <w:trHeight w:val="455"/>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Consolidated Balance Sheets</w:t>
            </w:r>
          </w:p>
        </w:tc>
        <w:tc>
          <w:tcPr>
            <w:tcW w:w="1940" w:type="dxa"/>
            <w:vAlign w:val="bottom"/>
          </w:tcPr>
          <w:p>
            <w:pPr>
              <w:ind w:left="1520"/>
              <w:spacing w:after="0"/>
              <w:rPr>
                <w:sz w:val="20"/>
                <w:szCs w:val="20"/>
                <w:color w:val="auto"/>
              </w:rPr>
            </w:pPr>
            <w:r>
              <w:rPr>
                <w:rFonts w:ascii="Arial" w:cs="Arial" w:eastAsia="Arial" w:hAnsi="Arial"/>
                <w:sz w:val="22"/>
                <w:szCs w:val="22"/>
                <w:color w:val="auto"/>
              </w:rPr>
              <w:t>2</w:t>
            </w:r>
          </w:p>
        </w:tc>
      </w:tr>
      <w:tr>
        <w:trPr>
          <w:trHeight w:val="275"/>
        </w:trPr>
        <w:tc>
          <w:tcPr>
            <w:tcW w:w="660" w:type="dxa"/>
            <w:vAlign w:val="bottom"/>
          </w:tcPr>
          <w:p>
            <w:pPr>
              <w:spacing w:after="0"/>
              <w:rPr>
                <w:sz w:val="23"/>
                <w:szCs w:val="23"/>
                <w:color w:val="auto"/>
              </w:rPr>
            </w:pPr>
          </w:p>
        </w:tc>
        <w:tc>
          <w:tcPr>
            <w:tcW w:w="7540" w:type="dxa"/>
            <w:vAlign w:val="bottom"/>
            <w:gridSpan w:val="2"/>
          </w:tcPr>
          <w:p>
            <w:pPr>
              <w:ind w:left="200"/>
              <w:spacing w:after="0"/>
              <w:rPr>
                <w:sz w:val="20"/>
                <w:szCs w:val="20"/>
                <w:color w:val="auto"/>
              </w:rPr>
            </w:pPr>
            <w:r>
              <w:rPr>
                <w:rFonts w:ascii="Arial" w:cs="Arial" w:eastAsia="Arial" w:hAnsi="Arial"/>
                <w:sz w:val="22"/>
                <w:szCs w:val="22"/>
                <w:color w:val="auto"/>
              </w:rPr>
              <w:t>as of September 30, 2004, and December 31, 2003</w:t>
            </w:r>
          </w:p>
        </w:tc>
        <w:tc>
          <w:tcPr>
            <w:tcW w:w="1940" w:type="dxa"/>
            <w:vAlign w:val="bottom"/>
          </w:tcPr>
          <w:p>
            <w:pPr>
              <w:spacing w:after="0"/>
              <w:rPr>
                <w:sz w:val="23"/>
                <w:szCs w:val="23"/>
                <w:color w:val="auto"/>
              </w:rPr>
            </w:pPr>
          </w:p>
        </w:tc>
      </w:tr>
      <w:tr>
        <w:trPr>
          <w:trHeight w:val="455"/>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Consolidated Statements of Income</w:t>
            </w:r>
          </w:p>
        </w:tc>
        <w:tc>
          <w:tcPr>
            <w:tcW w:w="1940" w:type="dxa"/>
            <w:vAlign w:val="bottom"/>
          </w:tcPr>
          <w:p>
            <w:pPr>
              <w:ind w:left="1520"/>
              <w:spacing w:after="0"/>
              <w:rPr>
                <w:sz w:val="20"/>
                <w:szCs w:val="20"/>
                <w:color w:val="auto"/>
              </w:rPr>
            </w:pPr>
            <w:r>
              <w:rPr>
                <w:rFonts w:ascii="Arial" w:cs="Arial" w:eastAsia="Arial" w:hAnsi="Arial"/>
                <w:sz w:val="22"/>
                <w:szCs w:val="22"/>
                <w:color w:val="auto"/>
              </w:rPr>
              <w:t>3</w:t>
            </w:r>
          </w:p>
        </w:tc>
      </w:tr>
      <w:tr>
        <w:trPr>
          <w:trHeight w:val="275"/>
        </w:trPr>
        <w:tc>
          <w:tcPr>
            <w:tcW w:w="660" w:type="dxa"/>
            <w:vAlign w:val="bottom"/>
          </w:tcPr>
          <w:p>
            <w:pPr>
              <w:spacing w:after="0"/>
              <w:rPr>
                <w:sz w:val="23"/>
                <w:szCs w:val="23"/>
                <w:color w:val="auto"/>
              </w:rPr>
            </w:pPr>
          </w:p>
        </w:tc>
        <w:tc>
          <w:tcPr>
            <w:tcW w:w="7540" w:type="dxa"/>
            <w:vAlign w:val="bottom"/>
            <w:gridSpan w:val="2"/>
          </w:tcPr>
          <w:p>
            <w:pPr>
              <w:ind w:left="200"/>
              <w:spacing w:after="0"/>
              <w:rPr>
                <w:sz w:val="20"/>
                <w:szCs w:val="20"/>
                <w:color w:val="auto"/>
              </w:rPr>
            </w:pPr>
            <w:r>
              <w:rPr>
                <w:rFonts w:ascii="Arial" w:cs="Arial" w:eastAsia="Arial" w:hAnsi="Arial"/>
                <w:sz w:val="22"/>
                <w:szCs w:val="22"/>
                <w:color w:val="auto"/>
              </w:rPr>
              <w:t>for the three and nine months ended September 30, 2004, and 2003</w:t>
            </w:r>
          </w:p>
        </w:tc>
        <w:tc>
          <w:tcPr>
            <w:tcW w:w="1940" w:type="dxa"/>
            <w:vAlign w:val="bottom"/>
          </w:tcPr>
          <w:p>
            <w:pPr>
              <w:spacing w:after="0"/>
              <w:rPr>
                <w:sz w:val="23"/>
                <w:szCs w:val="23"/>
                <w:color w:val="auto"/>
              </w:rPr>
            </w:pPr>
          </w:p>
        </w:tc>
      </w:tr>
      <w:tr>
        <w:trPr>
          <w:trHeight w:val="455"/>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Consolidated Statements of Cash Flows</w:t>
            </w:r>
          </w:p>
        </w:tc>
        <w:tc>
          <w:tcPr>
            <w:tcW w:w="1940" w:type="dxa"/>
            <w:vAlign w:val="bottom"/>
          </w:tcPr>
          <w:p>
            <w:pPr>
              <w:ind w:left="1520"/>
              <w:spacing w:after="0"/>
              <w:rPr>
                <w:sz w:val="20"/>
                <w:szCs w:val="20"/>
                <w:color w:val="auto"/>
              </w:rPr>
            </w:pPr>
            <w:r>
              <w:rPr>
                <w:rFonts w:ascii="Arial" w:cs="Arial" w:eastAsia="Arial" w:hAnsi="Arial"/>
                <w:sz w:val="22"/>
                <w:szCs w:val="22"/>
                <w:color w:val="auto"/>
              </w:rPr>
              <w:t>4</w:t>
            </w:r>
          </w:p>
        </w:tc>
      </w:tr>
      <w:tr>
        <w:trPr>
          <w:trHeight w:val="275"/>
        </w:trPr>
        <w:tc>
          <w:tcPr>
            <w:tcW w:w="660" w:type="dxa"/>
            <w:vAlign w:val="bottom"/>
          </w:tcPr>
          <w:p>
            <w:pPr>
              <w:spacing w:after="0"/>
              <w:rPr>
                <w:sz w:val="23"/>
                <w:szCs w:val="23"/>
                <w:color w:val="auto"/>
              </w:rPr>
            </w:pPr>
          </w:p>
        </w:tc>
        <w:tc>
          <w:tcPr>
            <w:tcW w:w="7540" w:type="dxa"/>
            <w:vAlign w:val="bottom"/>
            <w:gridSpan w:val="2"/>
          </w:tcPr>
          <w:p>
            <w:pPr>
              <w:ind w:left="200"/>
              <w:spacing w:after="0"/>
              <w:rPr>
                <w:sz w:val="20"/>
                <w:szCs w:val="20"/>
                <w:color w:val="auto"/>
              </w:rPr>
            </w:pPr>
            <w:r>
              <w:rPr>
                <w:rFonts w:ascii="Arial" w:cs="Arial" w:eastAsia="Arial" w:hAnsi="Arial"/>
                <w:sz w:val="22"/>
                <w:szCs w:val="22"/>
                <w:color w:val="auto"/>
              </w:rPr>
              <w:t>for the nine months ended September 30, 2004, and 2003</w:t>
            </w:r>
          </w:p>
        </w:tc>
        <w:tc>
          <w:tcPr>
            <w:tcW w:w="1940" w:type="dxa"/>
            <w:vAlign w:val="bottom"/>
          </w:tcPr>
          <w:p>
            <w:pPr>
              <w:spacing w:after="0"/>
              <w:rPr>
                <w:sz w:val="23"/>
                <w:szCs w:val="23"/>
                <w:color w:val="auto"/>
              </w:rPr>
            </w:pPr>
          </w:p>
        </w:tc>
      </w:tr>
      <w:tr>
        <w:trPr>
          <w:trHeight w:val="486"/>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Notes to Consolidated Financial Statements</w:t>
            </w:r>
          </w:p>
        </w:tc>
        <w:tc>
          <w:tcPr>
            <w:tcW w:w="1940" w:type="dxa"/>
            <w:vAlign w:val="bottom"/>
          </w:tcPr>
          <w:p>
            <w:pPr>
              <w:ind w:left="1520"/>
              <w:spacing w:after="0"/>
              <w:rPr>
                <w:sz w:val="20"/>
                <w:szCs w:val="20"/>
                <w:color w:val="auto"/>
              </w:rPr>
            </w:pPr>
            <w:r>
              <w:rPr>
                <w:rFonts w:ascii="Arial" w:cs="Arial" w:eastAsia="Arial" w:hAnsi="Arial"/>
                <w:sz w:val="22"/>
                <w:szCs w:val="22"/>
                <w:color w:val="auto"/>
              </w:rPr>
              <w:t>5</w:t>
            </w:r>
          </w:p>
        </w:tc>
      </w:tr>
      <w:tr>
        <w:trPr>
          <w:trHeight w:val="455"/>
        </w:trPr>
        <w:tc>
          <w:tcPr>
            <w:tcW w:w="660" w:type="dxa"/>
            <w:vAlign w:val="bottom"/>
          </w:tcPr>
          <w:p>
            <w:pPr>
              <w:spacing w:after="0"/>
              <w:rPr>
                <w:sz w:val="20"/>
                <w:szCs w:val="20"/>
                <w:color w:val="auto"/>
              </w:rPr>
            </w:pPr>
            <w:r>
              <w:rPr>
                <w:rFonts w:ascii="Arial" w:cs="Arial" w:eastAsia="Arial" w:hAnsi="Arial"/>
                <w:sz w:val="22"/>
                <w:szCs w:val="22"/>
                <w:color w:val="auto"/>
                <w:w w:val="95"/>
              </w:rPr>
              <w:t>Item 2.</w:t>
            </w:r>
          </w:p>
        </w:tc>
        <w:tc>
          <w:tcPr>
            <w:tcW w:w="7540" w:type="dxa"/>
            <w:vAlign w:val="bottom"/>
            <w:gridSpan w:val="2"/>
          </w:tcPr>
          <w:p>
            <w:pPr>
              <w:ind w:left="20"/>
              <w:spacing w:after="0"/>
              <w:rPr>
                <w:sz w:val="20"/>
                <w:szCs w:val="20"/>
                <w:color w:val="auto"/>
              </w:rPr>
            </w:pPr>
            <w:r>
              <w:rPr>
                <w:rFonts w:ascii="Arial" w:cs="Arial" w:eastAsia="Arial" w:hAnsi="Arial"/>
                <w:sz w:val="22"/>
                <w:szCs w:val="22"/>
                <w:color w:val="auto"/>
              </w:rPr>
              <w:t>Management's Discussion and Analysis of Financial Condition</w:t>
            </w:r>
          </w:p>
        </w:tc>
        <w:tc>
          <w:tcPr>
            <w:tcW w:w="1940" w:type="dxa"/>
            <w:vAlign w:val="bottom"/>
          </w:tcPr>
          <w:p>
            <w:pPr>
              <w:ind w:left="1520"/>
              <w:spacing w:after="0"/>
              <w:rPr>
                <w:sz w:val="20"/>
                <w:szCs w:val="20"/>
                <w:color w:val="auto"/>
              </w:rPr>
            </w:pPr>
            <w:r>
              <w:rPr>
                <w:rFonts w:ascii="Arial" w:cs="Arial" w:eastAsia="Arial" w:hAnsi="Arial"/>
                <w:sz w:val="22"/>
                <w:szCs w:val="22"/>
                <w:color w:val="auto"/>
              </w:rPr>
              <w:t>20</w:t>
            </w:r>
          </w:p>
        </w:tc>
      </w:tr>
      <w:tr>
        <w:trPr>
          <w:trHeight w:val="275"/>
        </w:trPr>
        <w:tc>
          <w:tcPr>
            <w:tcW w:w="660" w:type="dxa"/>
            <w:vAlign w:val="bottom"/>
          </w:tcPr>
          <w:p>
            <w:pPr>
              <w:spacing w:after="0"/>
              <w:rPr>
                <w:sz w:val="23"/>
                <w:szCs w:val="23"/>
                <w:color w:val="auto"/>
              </w:rPr>
            </w:pPr>
          </w:p>
        </w:tc>
        <w:tc>
          <w:tcPr>
            <w:tcW w:w="7540" w:type="dxa"/>
            <w:vAlign w:val="bottom"/>
            <w:gridSpan w:val="2"/>
          </w:tcPr>
          <w:p>
            <w:pPr>
              <w:ind w:left="100"/>
              <w:spacing w:after="0"/>
              <w:rPr>
                <w:sz w:val="20"/>
                <w:szCs w:val="20"/>
                <w:color w:val="auto"/>
              </w:rPr>
            </w:pPr>
            <w:r>
              <w:rPr>
                <w:rFonts w:ascii="Arial" w:cs="Arial" w:eastAsia="Arial" w:hAnsi="Arial"/>
                <w:sz w:val="22"/>
                <w:szCs w:val="22"/>
                <w:color w:val="auto"/>
              </w:rPr>
              <w:t>and Results of Operations</w:t>
            </w:r>
          </w:p>
        </w:tc>
        <w:tc>
          <w:tcPr>
            <w:tcW w:w="1940" w:type="dxa"/>
            <w:vAlign w:val="bottom"/>
          </w:tcPr>
          <w:p>
            <w:pPr>
              <w:spacing w:after="0"/>
              <w:rPr>
                <w:sz w:val="23"/>
                <w:szCs w:val="23"/>
                <w:color w:val="auto"/>
              </w:rPr>
            </w:pPr>
          </w:p>
        </w:tc>
      </w:tr>
      <w:tr>
        <w:trPr>
          <w:trHeight w:val="486"/>
        </w:trPr>
        <w:tc>
          <w:tcPr>
            <w:tcW w:w="660" w:type="dxa"/>
            <w:vAlign w:val="bottom"/>
          </w:tcPr>
          <w:p>
            <w:pPr>
              <w:spacing w:after="0"/>
              <w:rPr>
                <w:sz w:val="20"/>
                <w:szCs w:val="20"/>
                <w:color w:val="auto"/>
              </w:rPr>
            </w:pPr>
            <w:r>
              <w:rPr>
                <w:rFonts w:ascii="Arial" w:cs="Arial" w:eastAsia="Arial" w:hAnsi="Arial"/>
                <w:sz w:val="22"/>
                <w:szCs w:val="22"/>
                <w:color w:val="auto"/>
                <w:w w:val="95"/>
              </w:rPr>
              <w:t>Item 3.</w:t>
            </w:r>
          </w:p>
        </w:tc>
        <w:tc>
          <w:tcPr>
            <w:tcW w:w="7540" w:type="dxa"/>
            <w:vAlign w:val="bottom"/>
            <w:gridSpan w:val="2"/>
          </w:tcPr>
          <w:p>
            <w:pPr>
              <w:ind w:left="20"/>
              <w:spacing w:after="0"/>
              <w:rPr>
                <w:sz w:val="20"/>
                <w:szCs w:val="20"/>
                <w:color w:val="auto"/>
              </w:rPr>
            </w:pPr>
            <w:r>
              <w:rPr>
                <w:rFonts w:ascii="Arial" w:cs="Arial" w:eastAsia="Arial" w:hAnsi="Arial"/>
                <w:sz w:val="22"/>
                <w:szCs w:val="22"/>
                <w:color w:val="auto"/>
              </w:rPr>
              <w:t>Quantitative and Qualitative Disclosures about Market Risk</w:t>
            </w:r>
          </w:p>
        </w:tc>
        <w:tc>
          <w:tcPr>
            <w:tcW w:w="1940" w:type="dxa"/>
            <w:vAlign w:val="bottom"/>
          </w:tcPr>
          <w:p>
            <w:pPr>
              <w:ind w:left="1520"/>
              <w:spacing w:after="0"/>
              <w:rPr>
                <w:sz w:val="20"/>
                <w:szCs w:val="20"/>
                <w:color w:val="auto"/>
              </w:rPr>
            </w:pPr>
            <w:r>
              <w:rPr>
                <w:rFonts w:ascii="Arial" w:cs="Arial" w:eastAsia="Arial" w:hAnsi="Arial"/>
                <w:sz w:val="22"/>
                <w:szCs w:val="22"/>
                <w:color w:val="auto"/>
              </w:rPr>
              <w:t>28</w:t>
            </w:r>
          </w:p>
        </w:tc>
      </w:tr>
    </w:tbl>
    <w:p>
      <w:pPr>
        <w:sectPr>
          <w:pgSz w:w="11900" w:h="16838" w:orient="portrait"/>
          <w:cols w:equalWidth="0" w:num="1">
            <w:col w:w="11160"/>
          </w:cols>
          <w:pgMar w:left="240" w:top="220" w:right="4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60" w:type="dxa"/>
            <w:vAlign w:val="bottom"/>
            <w:gridSpan w:val="3"/>
          </w:tcPr>
          <w:p>
            <w:pPr>
              <w:spacing w:after="0"/>
              <w:rPr>
                <w:sz w:val="20"/>
                <w:szCs w:val="20"/>
                <w:color w:val="auto"/>
              </w:rPr>
            </w:pPr>
            <w:r>
              <w:rPr>
                <w:rFonts w:ascii="Arial" w:cs="Arial" w:eastAsia="Arial" w:hAnsi="Arial"/>
                <w:sz w:val="22"/>
                <w:szCs w:val="22"/>
                <w:color w:val="auto"/>
              </w:rPr>
              <w:t>Item 4. Controls and Procedures</w:t>
            </w:r>
          </w:p>
        </w:tc>
        <w:tc>
          <w:tcPr>
            <w:tcW w:w="1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409"/>
        </w:trPr>
        <w:tc>
          <w:tcPr>
            <w:tcW w:w="4060" w:type="dxa"/>
            <w:vAlign w:val="bottom"/>
            <w:gridSpan w:val="3"/>
          </w:tcPr>
          <w:p>
            <w:pPr>
              <w:spacing w:after="0"/>
              <w:rPr>
                <w:sz w:val="20"/>
                <w:szCs w:val="20"/>
                <w:color w:val="auto"/>
              </w:rPr>
            </w:pPr>
            <w:r>
              <w:rPr>
                <w:rFonts w:ascii="Arial" w:cs="Arial" w:eastAsia="Arial" w:hAnsi="Arial"/>
                <w:sz w:val="22"/>
                <w:szCs w:val="22"/>
                <w:b w:val="1"/>
                <w:bCs w:val="1"/>
                <w:color w:val="auto"/>
              </w:rPr>
              <w:t>Part II. Other Information</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060" w:type="dxa"/>
            <w:vAlign w:val="bottom"/>
            <w:gridSpan w:val="3"/>
          </w:tcPr>
          <w:p>
            <w:pPr>
              <w:spacing w:after="0"/>
              <w:rPr>
                <w:sz w:val="20"/>
                <w:szCs w:val="20"/>
                <w:color w:val="auto"/>
              </w:rPr>
            </w:pPr>
            <w:r>
              <w:rPr>
                <w:rFonts w:ascii="Arial" w:cs="Arial" w:eastAsia="Arial" w:hAnsi="Arial"/>
                <w:sz w:val="22"/>
                <w:szCs w:val="22"/>
                <w:color w:val="auto"/>
              </w:rPr>
              <w:t>Item 1. Legal Proceedings</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486"/>
        </w:trPr>
        <w:tc>
          <w:tcPr>
            <w:tcW w:w="5980" w:type="dxa"/>
            <w:vAlign w:val="bottom"/>
            <w:gridSpan w:val="4"/>
          </w:tcPr>
          <w:p>
            <w:pPr>
              <w:spacing w:after="0"/>
              <w:rPr>
                <w:sz w:val="20"/>
                <w:szCs w:val="20"/>
                <w:color w:val="auto"/>
              </w:rPr>
            </w:pPr>
            <w:r>
              <w:rPr>
                <w:rFonts w:ascii="Arial" w:cs="Arial" w:eastAsia="Arial" w:hAnsi="Arial"/>
                <w:sz w:val="22"/>
                <w:szCs w:val="22"/>
                <w:color w:val="auto"/>
              </w:rPr>
              <w:t>Item 4. Submission of Matters to a Vote of Security Holders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486"/>
        </w:trPr>
        <w:tc>
          <w:tcPr>
            <w:tcW w:w="4060" w:type="dxa"/>
            <w:vAlign w:val="bottom"/>
            <w:gridSpan w:val="3"/>
          </w:tcPr>
          <w:p>
            <w:pPr>
              <w:spacing w:after="0"/>
              <w:rPr>
                <w:sz w:val="20"/>
                <w:szCs w:val="20"/>
                <w:color w:val="auto"/>
              </w:rPr>
            </w:pPr>
            <w:r>
              <w:rPr>
                <w:rFonts w:ascii="Arial" w:cs="Arial" w:eastAsia="Arial" w:hAnsi="Arial"/>
                <w:sz w:val="22"/>
                <w:szCs w:val="22"/>
                <w:color w:val="auto"/>
                <w:w w:val="99"/>
              </w:rPr>
              <w:t>Item 6. Exhibits and Reports on Form 8-K</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486"/>
        </w:trPr>
        <w:tc>
          <w:tcPr>
            <w:tcW w:w="4060" w:type="dxa"/>
            <w:vAlign w:val="bottom"/>
            <w:gridSpan w:val="3"/>
          </w:tcPr>
          <w:p>
            <w:pPr>
              <w:spacing w:after="0"/>
              <w:rPr>
                <w:sz w:val="20"/>
                <w:szCs w:val="20"/>
                <w:color w:val="auto"/>
              </w:rPr>
            </w:pPr>
            <w:r>
              <w:rPr>
                <w:rFonts w:ascii="Arial" w:cs="Arial" w:eastAsia="Arial" w:hAnsi="Arial"/>
                <w:sz w:val="22"/>
                <w:szCs w:val="22"/>
                <w:color w:val="auto"/>
              </w:rPr>
              <w:t>Signatures</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422"/>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80" w:type="dxa"/>
            <w:vAlign w:val="bottom"/>
            <w:gridSpan w:val="2"/>
          </w:tcPr>
          <w:p>
            <w:pPr>
              <w:jc w:val="center"/>
              <w:ind w:left="353"/>
              <w:spacing w:after="0"/>
              <w:rPr>
                <w:sz w:val="20"/>
                <w:szCs w:val="20"/>
                <w:color w:val="auto"/>
              </w:rPr>
            </w:pPr>
            <w:r>
              <w:rPr>
                <w:rFonts w:ascii="Arial" w:cs="Arial" w:eastAsia="Arial" w:hAnsi="Arial"/>
                <w:sz w:val="22"/>
                <w:szCs w:val="22"/>
                <w:b w:val="1"/>
                <w:bCs w:val="1"/>
                <w:color w:val="auto"/>
                <w:w w:val="90"/>
              </w:rPr>
              <w:t>CPG Partners, L.P.</w:t>
            </w:r>
          </w:p>
        </w:tc>
        <w:tc>
          <w:tcPr>
            <w:tcW w:w="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0" w:type="dxa"/>
            <w:vAlign w:val="bottom"/>
            <w:gridSpan w:val="3"/>
          </w:tcPr>
          <w:p>
            <w:pPr>
              <w:jc w:val="center"/>
              <w:ind w:right="220"/>
              <w:spacing w:after="0" w:line="243" w:lineRule="exact"/>
              <w:rPr>
                <w:sz w:val="20"/>
                <w:szCs w:val="20"/>
                <w:color w:val="auto"/>
              </w:rPr>
            </w:pPr>
            <w:r>
              <w:rPr>
                <w:rFonts w:ascii="Arial" w:cs="Arial" w:eastAsia="Arial" w:hAnsi="Arial"/>
                <w:sz w:val="22"/>
                <w:szCs w:val="22"/>
                <w:b w:val="1"/>
                <w:bCs w:val="1"/>
                <w:color w:val="auto"/>
                <w:w w:val="85"/>
              </w:rPr>
              <w:t>Consolidated Balance Sheets</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0" w:type="dxa"/>
            <w:vAlign w:val="bottom"/>
            <w:gridSpan w:val="3"/>
          </w:tcPr>
          <w:p>
            <w:pPr>
              <w:jc w:val="center"/>
              <w:ind w:right="240"/>
              <w:spacing w:after="0"/>
              <w:rPr>
                <w:sz w:val="20"/>
                <w:szCs w:val="20"/>
                <w:color w:val="auto"/>
              </w:rPr>
            </w:pPr>
            <w:r>
              <w:rPr>
                <w:rFonts w:ascii="Arial" w:cs="Arial" w:eastAsia="Arial" w:hAnsi="Arial"/>
                <w:sz w:val="22"/>
                <w:szCs w:val="22"/>
                <w:b w:val="1"/>
                <w:bCs w:val="1"/>
                <w:color w:val="auto"/>
                <w:w w:val="88"/>
              </w:rPr>
              <w:t>(In thousands, except per unit data)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b w:val="1"/>
                <w:bCs w:val="1"/>
                <w:color w:val="auto"/>
              </w:rPr>
              <w:t>September 30,</w:t>
            </w:r>
          </w:p>
        </w:tc>
        <w:tc>
          <w:tcPr>
            <w:tcW w:w="3000" w:type="dxa"/>
            <w:vAlign w:val="bottom"/>
            <w:gridSpan w:val="2"/>
          </w:tcPr>
          <w:p>
            <w:pPr>
              <w:jc w:val="right"/>
              <w:ind w:right="1832"/>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2004</w:t>
            </w:r>
          </w:p>
        </w:tc>
        <w:tc>
          <w:tcPr>
            <w:tcW w:w="720" w:type="dxa"/>
            <w:vAlign w:val="bottom"/>
          </w:tcPr>
          <w:p>
            <w:pPr>
              <w:spacing w:after="0"/>
              <w:rPr>
                <w:sz w:val="11"/>
                <w:szCs w:val="11"/>
                <w:color w:val="auto"/>
              </w:rPr>
            </w:pPr>
          </w:p>
        </w:tc>
        <w:tc>
          <w:tcPr>
            <w:tcW w:w="2280" w:type="dxa"/>
            <w:vAlign w:val="bottom"/>
          </w:tcPr>
          <w:p>
            <w:pPr>
              <w:jc w:val="right"/>
              <w:ind w:right="1912"/>
              <w:spacing w:after="0"/>
              <w:rPr>
                <w:sz w:val="20"/>
                <w:szCs w:val="20"/>
                <w:color w:val="auto"/>
              </w:rPr>
            </w:pPr>
            <w:r>
              <w:rPr>
                <w:rFonts w:ascii="Courier New" w:cs="Courier New" w:eastAsia="Courier New" w:hAnsi="Courier New"/>
                <w:sz w:val="12"/>
                <w:szCs w:val="12"/>
                <w:b w:val="1"/>
                <w:bCs w:val="1"/>
                <w:color w:val="auto"/>
                <w:w w:val="97"/>
              </w:rPr>
              <w:t>2003</w:t>
            </w:r>
          </w:p>
        </w:tc>
        <w:tc>
          <w:tcPr>
            <w:tcW w:w="0" w:type="dxa"/>
            <w:vAlign w:val="bottom"/>
          </w:tcPr>
          <w:p>
            <w:pPr>
              <w:spacing w:after="0"/>
              <w:rPr>
                <w:sz w:val="1"/>
                <w:szCs w:val="1"/>
                <w:color w:val="auto"/>
              </w:rPr>
            </w:pPr>
          </w:p>
        </w:tc>
      </w:tr>
      <w:tr>
        <w:trPr>
          <w:trHeight w:val="137"/>
        </w:trPr>
        <w:tc>
          <w:tcPr>
            <w:tcW w:w="4060" w:type="dxa"/>
            <w:vAlign w:val="bottom"/>
            <w:gridSpan w:val="3"/>
            <w:vMerge w:val="restart"/>
          </w:tcPr>
          <w:p>
            <w:pPr>
              <w:spacing w:after="0"/>
              <w:rPr>
                <w:sz w:val="20"/>
                <w:szCs w:val="20"/>
                <w:color w:val="auto"/>
              </w:rPr>
            </w:pPr>
            <w:r>
              <w:rPr>
                <w:rFonts w:ascii="Courier New" w:cs="Courier New" w:eastAsia="Courier New" w:hAnsi="Courier New"/>
                <w:sz w:val="12"/>
                <w:szCs w:val="12"/>
                <w:b w:val="1"/>
                <w:bCs w:val="1"/>
                <w:color w:val="auto"/>
              </w:rPr>
              <w:t>Assets:</w:t>
            </w:r>
          </w:p>
        </w:tc>
        <w:tc>
          <w:tcPr>
            <w:tcW w:w="2880" w:type="dxa"/>
            <w:vAlign w:val="bottom"/>
            <w:gridSpan w:val="2"/>
            <w:vMerge w:val="restart"/>
          </w:tcPr>
          <w:p>
            <w:pPr>
              <w:ind w:left="1560"/>
              <w:spacing w:after="0"/>
              <w:rPr>
                <w:sz w:val="20"/>
                <w:szCs w:val="20"/>
                <w:color w:val="auto"/>
              </w:rPr>
            </w:pPr>
            <w:r>
              <w:rPr>
                <w:rFonts w:ascii="Courier New" w:cs="Courier New" w:eastAsia="Courier New" w:hAnsi="Courier New"/>
                <w:sz w:val="10"/>
                <w:szCs w:val="10"/>
                <w:b w:val="1"/>
                <w:bCs w:val="1"/>
                <w:color w:val="auto"/>
                <w:w w:val="74"/>
              </w:rPr>
              <w:t>---------------</w:t>
            </w:r>
            <w:r>
              <w:rPr>
                <w:rFonts w:ascii="Courier New" w:cs="Courier New" w:eastAsia="Courier New" w:hAnsi="Courier New"/>
                <w:sz w:val="19"/>
                <w:szCs w:val="19"/>
                <w:b w:val="1"/>
                <w:bCs w:val="1"/>
                <w:i w:val="1"/>
                <w:iCs w:val="1"/>
                <w:color w:val="auto"/>
                <w:w w:val="74"/>
                <w:vertAlign w:val="subscript"/>
              </w:rPr>
              <w:t>(Unaudited)</w:t>
            </w:r>
          </w:p>
        </w:tc>
        <w:tc>
          <w:tcPr>
            <w:tcW w:w="3000" w:type="dxa"/>
            <w:vAlign w:val="bottom"/>
            <w:gridSpan w:val="2"/>
          </w:tcPr>
          <w:p>
            <w:pPr>
              <w:jc w:val="right"/>
              <w:ind w:right="1692"/>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4060" w:type="dxa"/>
            <w:vAlign w:val="bottom"/>
            <w:gridSpan w:val="3"/>
            <w:vMerge w:val="continue"/>
          </w:tcPr>
          <w:p>
            <w:pPr>
              <w:spacing w:after="0"/>
              <w:rPr>
                <w:sz w:val="11"/>
                <w:szCs w:val="11"/>
                <w:color w:val="auto"/>
              </w:rPr>
            </w:pPr>
          </w:p>
        </w:tc>
        <w:tc>
          <w:tcPr>
            <w:tcW w:w="288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3"/>
          </w:tcPr>
          <w:p>
            <w:pPr>
              <w:spacing w:after="0"/>
              <w:rPr>
                <w:sz w:val="20"/>
                <w:szCs w:val="20"/>
                <w:color w:val="auto"/>
              </w:rPr>
            </w:pPr>
            <w:r>
              <w:rPr>
                <w:rFonts w:ascii="Courier New" w:cs="Courier New" w:eastAsia="Courier New" w:hAnsi="Courier New"/>
                <w:sz w:val="12"/>
                <w:szCs w:val="12"/>
                <w:color w:val="auto"/>
              </w:rPr>
              <w:t>Rental properties:</w:t>
            </w:r>
          </w:p>
        </w:tc>
        <w:tc>
          <w:tcPr>
            <w:tcW w:w="1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3"/>
          </w:tcPr>
          <w:p>
            <w:pPr>
              <w:ind w:left="380"/>
              <w:spacing w:after="0"/>
              <w:rPr>
                <w:sz w:val="20"/>
                <w:szCs w:val="20"/>
                <w:color w:val="auto"/>
              </w:rPr>
            </w:pPr>
            <w:r>
              <w:rPr>
                <w:rFonts w:ascii="Courier New" w:cs="Courier New" w:eastAsia="Courier New" w:hAnsi="Courier New"/>
                <w:sz w:val="12"/>
                <w:szCs w:val="12"/>
                <w:color w:val="auto"/>
                <w:w w:val="72"/>
              </w:rPr>
              <w:t>Land..................................................................</w:t>
            </w:r>
          </w:p>
        </w:tc>
        <w:tc>
          <w:tcPr>
            <w:tcW w:w="1920" w:type="dxa"/>
            <w:vAlign w:val="bottom"/>
          </w:tcPr>
          <w:p>
            <w:pPr>
              <w:ind w:left="1860"/>
              <w:spacing w:after="0"/>
              <w:rPr>
                <w:sz w:val="20"/>
                <w:szCs w:val="20"/>
                <w:color w:val="auto"/>
              </w:rPr>
            </w:pPr>
            <w:r>
              <w:rPr>
                <w:rFonts w:ascii="Courier New" w:cs="Courier New" w:eastAsia="Courier New" w:hAnsi="Courier New"/>
                <w:sz w:val="9"/>
                <w:szCs w:val="9"/>
                <w:b w:val="1"/>
                <w:bCs w:val="1"/>
                <w:color w:val="auto"/>
                <w:w w:val="73"/>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335,541</w:t>
            </w:r>
          </w:p>
        </w:tc>
        <w:tc>
          <w:tcPr>
            <w:tcW w:w="720" w:type="dxa"/>
            <w:vAlign w:val="bottom"/>
          </w:tcPr>
          <w:p>
            <w:pPr>
              <w:ind w:left="660"/>
              <w:spacing w:after="0"/>
              <w:rPr>
                <w:sz w:val="20"/>
                <w:szCs w:val="20"/>
                <w:color w:val="auto"/>
              </w:rPr>
            </w:pPr>
            <w:r>
              <w:rPr>
                <w:rFonts w:ascii="Courier New" w:cs="Courier New" w:eastAsia="Courier New" w:hAnsi="Courier New"/>
                <w:sz w:val="9"/>
                <w:szCs w:val="9"/>
                <w:color w:val="auto"/>
                <w:w w:val="73"/>
              </w:rPr>
              <w:t>$</w:t>
            </w: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299,176</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Depreciable property..................................................</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1,900,571</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w w:val="98"/>
              </w:rPr>
              <w:t>1,773,607</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Total rental property......................................................</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2,236,112</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w w:val="98"/>
              </w:rPr>
              <w:t>2,072,783</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Accumulated depreciation...................................................</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(379,702)</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w w:val="98"/>
              </w:rPr>
              <w:t>(332,406)</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Rental properties, net.....................................................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1,856,410</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w w:val="98"/>
              </w:rPr>
              <w:t>1,740,377</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Cash and cash equivalents..................................................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17,133</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18,476</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Restricted cash-escrows....................................................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6,988</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6,456</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Tenant accounts receivable (net of allowance for doubtful</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4"/>
          </w:tcPr>
          <w:p>
            <w:pPr>
              <w:jc w:val="right"/>
              <w:ind w:right="433"/>
              <w:spacing w:after="0"/>
              <w:rPr>
                <w:sz w:val="20"/>
                <w:szCs w:val="20"/>
                <w:color w:val="auto"/>
              </w:rPr>
            </w:pPr>
            <w:r>
              <w:rPr>
                <w:rFonts w:ascii="Courier New" w:cs="Courier New" w:eastAsia="Courier New" w:hAnsi="Courier New"/>
                <w:sz w:val="12"/>
                <w:szCs w:val="12"/>
                <w:color w:val="auto"/>
              </w:rPr>
              <w:t>accounts of $2,063 in 2004 and $1,615 in 2003)...........................</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3,993</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11,631</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Deferred rent receivable...................................................</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28,958</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25,018</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Property held for sale.....................................................</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3,500</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3,500</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Investments in unconsolidated affiliates...................................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142,471</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107,068</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Notes receivable-related parties...........................................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13,630</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2,151</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Deferred costs, net........................................................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18,096</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22,989</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color w:val="auto"/>
              </w:rPr>
              <w:t>Other assets...............................................................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35,113</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32,748</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b w:val="1"/>
                <w:bCs w:val="1"/>
                <w:color w:val="auto"/>
              </w:rPr>
              <w:t>Total assets...............................................................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w w:val="99"/>
              </w:rPr>
              <w:t>$2,126,292</w:t>
            </w:r>
          </w:p>
        </w:tc>
        <w:tc>
          <w:tcPr>
            <w:tcW w:w="3000" w:type="dxa"/>
            <w:vAlign w:val="bottom"/>
            <w:gridSpan w:val="2"/>
          </w:tcPr>
          <w:p>
            <w:pPr>
              <w:jc w:val="right"/>
              <w:ind w:right="1552"/>
              <w:spacing w:after="0"/>
              <w:rPr>
                <w:sz w:val="20"/>
                <w:szCs w:val="20"/>
                <w:color w:val="auto"/>
              </w:rPr>
            </w:pPr>
            <w:r>
              <w:rPr>
                <w:rFonts w:ascii="Courier New" w:cs="Courier New" w:eastAsia="Courier New" w:hAnsi="Courier New"/>
                <w:sz w:val="12"/>
                <w:szCs w:val="12"/>
                <w:color w:val="auto"/>
              </w:rPr>
              <w:t>$1,970,414</w:t>
            </w: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06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Liabilities and partners' capital:</w:t>
            </w:r>
          </w:p>
        </w:tc>
        <w:tc>
          <w:tcPr>
            <w:tcW w:w="1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06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Liabilities:</w:t>
            </w:r>
          </w:p>
        </w:tc>
        <w:tc>
          <w:tcPr>
            <w:tcW w:w="1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3"/>
          </w:tcPr>
          <w:p>
            <w:pPr>
              <w:ind w:left="380"/>
              <w:spacing w:after="0"/>
              <w:rPr>
                <w:sz w:val="20"/>
                <w:szCs w:val="20"/>
                <w:color w:val="auto"/>
              </w:rPr>
            </w:pPr>
            <w:r>
              <w:rPr>
                <w:rFonts w:ascii="Courier New" w:cs="Courier New" w:eastAsia="Courier New" w:hAnsi="Courier New"/>
                <w:sz w:val="12"/>
                <w:szCs w:val="12"/>
                <w:color w:val="auto"/>
                <w:w w:val="72"/>
              </w:rPr>
              <w:t>Unsecured bank debt...................................................</w:t>
            </w:r>
          </w:p>
        </w:tc>
        <w:tc>
          <w:tcPr>
            <w:tcW w:w="1920" w:type="dxa"/>
            <w:vAlign w:val="bottom"/>
          </w:tcPr>
          <w:p>
            <w:pPr>
              <w:ind w:left="1860"/>
              <w:spacing w:after="0"/>
              <w:rPr>
                <w:sz w:val="20"/>
                <w:szCs w:val="20"/>
                <w:color w:val="auto"/>
              </w:rPr>
            </w:pPr>
            <w:r>
              <w:rPr>
                <w:rFonts w:ascii="Courier New" w:cs="Courier New" w:eastAsia="Courier New" w:hAnsi="Courier New"/>
                <w:sz w:val="9"/>
                <w:szCs w:val="9"/>
                <w:b w:val="1"/>
                <w:bCs w:val="1"/>
                <w:color w:val="auto"/>
                <w:w w:val="73"/>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288,237</w:t>
            </w:r>
          </w:p>
        </w:tc>
        <w:tc>
          <w:tcPr>
            <w:tcW w:w="720" w:type="dxa"/>
            <w:vAlign w:val="bottom"/>
          </w:tcPr>
          <w:p>
            <w:pPr>
              <w:ind w:left="580"/>
              <w:spacing w:after="0"/>
              <w:rPr>
                <w:sz w:val="20"/>
                <w:szCs w:val="20"/>
                <w:color w:val="auto"/>
              </w:rPr>
            </w:pPr>
            <w:r>
              <w:rPr>
                <w:rFonts w:ascii="Courier New" w:cs="Courier New" w:eastAsia="Courier New" w:hAnsi="Courier New"/>
                <w:sz w:val="12"/>
                <w:szCs w:val="12"/>
                <w:color w:val="auto"/>
              </w:rPr>
              <w:t>$</w:t>
            </w: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204,035</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Unsecured notes.......................................................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721,716</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621,803</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Mortgage debt.........................................................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318,384</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385,634</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Construction payables.................................................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7,481</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7,668</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Accounts payable and accrued expenses.................................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64,774</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59,738</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Accrued distribution payable..........................................</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31,525</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5,131</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Other liabilities.....................................................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17,356</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20,871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b w:val="1"/>
                <w:bCs w:val="1"/>
                <w:color w:val="auto"/>
              </w:rPr>
              <w:t>Total liabilities..........................................................</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1,449,473</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w w:val="98"/>
              </w:rPr>
              <w:t>1,304,880</w:t>
            </w: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406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Commitments and contingencies</w:t>
            </w:r>
          </w:p>
        </w:tc>
        <w:tc>
          <w:tcPr>
            <w:tcW w:w="1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06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Partners' capital:</w:t>
            </w:r>
          </w:p>
        </w:tc>
        <w:tc>
          <w:tcPr>
            <w:tcW w:w="1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060" w:type="dxa"/>
            <w:vAlign w:val="bottom"/>
            <w:gridSpan w:val="3"/>
          </w:tcPr>
          <w:p>
            <w:pPr>
              <w:ind w:left="380"/>
              <w:spacing w:after="0"/>
              <w:rPr>
                <w:sz w:val="20"/>
                <w:szCs w:val="20"/>
                <w:color w:val="auto"/>
              </w:rPr>
            </w:pPr>
            <w:r>
              <w:rPr>
                <w:rFonts w:ascii="Courier New" w:cs="Courier New" w:eastAsia="Courier New" w:hAnsi="Courier New"/>
                <w:sz w:val="12"/>
                <w:szCs w:val="12"/>
                <w:color w:val="auto"/>
              </w:rPr>
              <w:t>General partner units outstanding, 44,174 in 2004</w:t>
            </w:r>
          </w:p>
        </w:tc>
        <w:tc>
          <w:tcPr>
            <w:tcW w:w="1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4"/>
          </w:tcPr>
          <w:p>
            <w:pPr>
              <w:jc w:val="right"/>
              <w:ind w:right="433"/>
              <w:spacing w:after="0"/>
              <w:rPr>
                <w:sz w:val="20"/>
                <w:szCs w:val="20"/>
                <w:color w:val="auto"/>
              </w:rPr>
            </w:pPr>
            <w:r>
              <w:rPr>
                <w:rFonts w:ascii="Courier New" w:cs="Courier New" w:eastAsia="Courier New" w:hAnsi="Courier New"/>
                <w:sz w:val="12"/>
                <w:szCs w:val="12"/>
                <w:color w:val="auto"/>
              </w:rPr>
              <w:t>and 43,592 in 2003..................................................</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598,701</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524,295</w:t>
            </w:r>
          </w:p>
        </w:tc>
        <w:tc>
          <w:tcPr>
            <w:tcW w:w="0" w:type="dxa"/>
            <w:vAlign w:val="bottom"/>
          </w:tcPr>
          <w:p>
            <w:pPr>
              <w:spacing w:after="0"/>
              <w:rPr>
                <w:sz w:val="1"/>
                <w:szCs w:val="1"/>
                <w:color w:val="auto"/>
              </w:rPr>
            </w:pPr>
          </w:p>
        </w:tc>
      </w:tr>
      <w:tr>
        <w:trPr>
          <w:trHeight w:val="135"/>
        </w:trPr>
        <w:tc>
          <w:tcPr>
            <w:tcW w:w="4060" w:type="dxa"/>
            <w:vAlign w:val="bottom"/>
            <w:gridSpan w:val="3"/>
          </w:tcPr>
          <w:p>
            <w:pPr>
              <w:ind w:left="380"/>
              <w:spacing w:after="0"/>
              <w:rPr>
                <w:sz w:val="20"/>
                <w:szCs w:val="20"/>
                <w:color w:val="auto"/>
              </w:rPr>
            </w:pPr>
            <w:r>
              <w:rPr>
                <w:rFonts w:ascii="Courier New" w:cs="Courier New" w:eastAsia="Courier New" w:hAnsi="Courier New"/>
                <w:sz w:val="12"/>
                <w:szCs w:val="12"/>
                <w:color w:val="auto"/>
              </w:rPr>
              <w:t>Limited partners' units outstanding, 7,203 in 2004</w:t>
            </w:r>
          </w:p>
        </w:tc>
        <w:tc>
          <w:tcPr>
            <w:tcW w:w="1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4"/>
          </w:tcPr>
          <w:p>
            <w:pPr>
              <w:jc w:val="right"/>
              <w:ind w:right="433"/>
              <w:spacing w:after="0"/>
              <w:rPr>
                <w:sz w:val="20"/>
                <w:szCs w:val="20"/>
                <w:color w:val="auto"/>
              </w:rPr>
            </w:pPr>
            <w:r>
              <w:rPr>
                <w:rFonts w:ascii="Courier New" w:cs="Courier New" w:eastAsia="Courier New" w:hAnsi="Courier New"/>
                <w:sz w:val="12"/>
                <w:szCs w:val="12"/>
                <w:color w:val="auto"/>
              </w:rPr>
              <w:t>and 7,356 in 2003...................................................</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80,339</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81,934</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Preferred partner units outstanding, 1,300............................</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63,315</w:t>
            </w:r>
          </w:p>
        </w:tc>
        <w:tc>
          <w:tcPr>
            <w:tcW w:w="0" w:type="dxa"/>
            <w:vAlign w:val="bottom"/>
          </w:tcPr>
          <w:p>
            <w:pPr>
              <w:spacing w:after="0"/>
              <w:rPr>
                <w:sz w:val="1"/>
                <w:szCs w:val="1"/>
                <w:color w:val="auto"/>
              </w:rPr>
            </w:pPr>
          </w:p>
        </w:tc>
      </w:tr>
      <w:tr>
        <w:trPr>
          <w:trHeight w:val="135"/>
        </w:trPr>
        <w:tc>
          <w:tcPr>
            <w:tcW w:w="5980" w:type="dxa"/>
            <w:vAlign w:val="bottom"/>
            <w:gridSpan w:val="4"/>
          </w:tcPr>
          <w:p>
            <w:pPr>
              <w:ind w:left="380"/>
              <w:spacing w:after="0"/>
              <w:rPr>
                <w:sz w:val="20"/>
                <w:szCs w:val="20"/>
                <w:color w:val="auto"/>
              </w:rPr>
            </w:pPr>
            <w:r>
              <w:rPr>
                <w:rFonts w:ascii="Courier New" w:cs="Courier New" w:eastAsia="Courier New" w:hAnsi="Courier New"/>
                <w:sz w:val="12"/>
                <w:szCs w:val="12"/>
                <w:color w:val="auto"/>
              </w:rPr>
              <w:t>Accumulated other comprehensive loss .................................</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(2,221)</w:t>
            </w:r>
          </w:p>
        </w:tc>
        <w:tc>
          <w:tcPr>
            <w:tcW w:w="720" w:type="dxa"/>
            <w:vAlign w:val="bottom"/>
          </w:tcPr>
          <w:p>
            <w:pPr>
              <w:spacing w:after="0"/>
              <w:rPr>
                <w:sz w:val="11"/>
                <w:szCs w:val="11"/>
                <w:color w:val="auto"/>
              </w:rPr>
            </w:pPr>
          </w:p>
        </w:tc>
        <w:tc>
          <w:tcPr>
            <w:tcW w:w="2280" w:type="dxa"/>
            <w:vAlign w:val="bottom"/>
          </w:tcPr>
          <w:p>
            <w:pPr>
              <w:jc w:val="right"/>
              <w:ind w:right="1472"/>
              <w:spacing w:after="0"/>
              <w:rPr>
                <w:sz w:val="20"/>
                <w:szCs w:val="20"/>
                <w:color w:val="auto"/>
              </w:rPr>
            </w:pPr>
            <w:r>
              <w:rPr>
                <w:rFonts w:ascii="Courier New" w:cs="Courier New" w:eastAsia="Courier New" w:hAnsi="Courier New"/>
                <w:sz w:val="12"/>
                <w:szCs w:val="12"/>
                <w:color w:val="auto"/>
              </w:rPr>
              <w:t>(4,010)</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b w:val="1"/>
                <w:bCs w:val="1"/>
                <w:color w:val="auto"/>
              </w:rPr>
              <w:t>Total partners' capital....................................................</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676,819</w:t>
            </w:r>
          </w:p>
        </w:tc>
        <w:tc>
          <w:tcPr>
            <w:tcW w:w="720" w:type="dxa"/>
            <w:vAlign w:val="bottom"/>
          </w:tcPr>
          <w:p>
            <w:pPr>
              <w:spacing w:after="0"/>
              <w:rPr>
                <w:sz w:val="11"/>
                <w:szCs w:val="11"/>
                <w:color w:val="auto"/>
              </w:rPr>
            </w:pPr>
          </w:p>
        </w:tc>
        <w:tc>
          <w:tcPr>
            <w:tcW w:w="2280" w:type="dxa"/>
            <w:vAlign w:val="bottom"/>
          </w:tcPr>
          <w:p>
            <w:pPr>
              <w:jc w:val="right"/>
              <w:ind w:right="1552"/>
              <w:spacing w:after="0"/>
              <w:rPr>
                <w:sz w:val="20"/>
                <w:szCs w:val="20"/>
                <w:color w:val="auto"/>
              </w:rPr>
            </w:pPr>
            <w:r>
              <w:rPr>
                <w:rFonts w:ascii="Courier New" w:cs="Courier New" w:eastAsia="Courier New" w:hAnsi="Courier New"/>
                <w:sz w:val="12"/>
                <w:szCs w:val="12"/>
                <w:color w:val="auto"/>
              </w:rPr>
              <w:t>665,534</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980" w:type="dxa"/>
            <w:vAlign w:val="bottom"/>
            <w:gridSpan w:val="4"/>
          </w:tcPr>
          <w:p>
            <w:pPr>
              <w:spacing w:after="0"/>
              <w:rPr>
                <w:sz w:val="20"/>
                <w:szCs w:val="20"/>
                <w:color w:val="auto"/>
              </w:rPr>
            </w:pPr>
            <w:r>
              <w:rPr>
                <w:rFonts w:ascii="Courier New" w:cs="Courier New" w:eastAsia="Courier New" w:hAnsi="Courier New"/>
                <w:sz w:val="12"/>
                <w:szCs w:val="12"/>
                <w:b w:val="1"/>
                <w:bCs w:val="1"/>
                <w:color w:val="auto"/>
              </w:rPr>
              <w:t>Total liabilities and partners' capital....................................</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w w:val="99"/>
              </w:rPr>
              <w:t>$2,126,292</w:t>
            </w:r>
          </w:p>
        </w:tc>
        <w:tc>
          <w:tcPr>
            <w:tcW w:w="3000" w:type="dxa"/>
            <w:vAlign w:val="bottom"/>
            <w:gridSpan w:val="2"/>
          </w:tcPr>
          <w:p>
            <w:pPr>
              <w:jc w:val="right"/>
              <w:ind w:right="1552"/>
              <w:spacing w:after="0"/>
              <w:rPr>
                <w:sz w:val="20"/>
                <w:szCs w:val="20"/>
                <w:color w:val="auto"/>
              </w:rPr>
            </w:pPr>
            <w:r>
              <w:rPr>
                <w:rFonts w:ascii="Courier New" w:cs="Courier New" w:eastAsia="Courier New" w:hAnsi="Courier New"/>
                <w:sz w:val="12"/>
                <w:szCs w:val="12"/>
                <w:color w:val="auto"/>
              </w:rPr>
              <w:t>$1,970,414</w:t>
            </w: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80" w:type="dxa"/>
            <w:vAlign w:val="bottom"/>
            <w:gridSpan w:val="2"/>
          </w:tcPr>
          <w:p>
            <w:pPr>
              <w:ind w:left="1560"/>
              <w:spacing w:after="0"/>
              <w:rPr>
                <w:sz w:val="20"/>
                <w:szCs w:val="20"/>
                <w:color w:val="auto"/>
              </w:rPr>
            </w:pPr>
            <w:r>
              <w:rPr>
                <w:rFonts w:ascii="Courier New" w:cs="Courier New" w:eastAsia="Courier New" w:hAnsi="Courier New"/>
                <w:sz w:val="12"/>
                <w:szCs w:val="12"/>
                <w:color w:val="auto"/>
              </w:rPr>
              <w:t>=================</w:t>
            </w:r>
          </w:p>
        </w:tc>
        <w:tc>
          <w:tcPr>
            <w:tcW w:w="300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2540" w:type="dxa"/>
            <w:vAlign w:val="bottom"/>
          </w:tcPr>
          <w:p>
            <w:pPr>
              <w:spacing w:after="0"/>
              <w:rPr>
                <w:sz w:val="21"/>
                <w:szCs w:val="21"/>
                <w:color w:val="auto"/>
              </w:rPr>
            </w:pPr>
          </w:p>
        </w:tc>
        <w:tc>
          <w:tcPr>
            <w:tcW w:w="3900" w:type="dxa"/>
            <w:vAlign w:val="bottom"/>
            <w:gridSpan w:val="2"/>
          </w:tcPr>
          <w:p>
            <w:pPr>
              <w:jc w:val="center"/>
              <w:ind w:left="1609"/>
              <w:spacing w:after="0"/>
              <w:rPr>
                <w:sz w:val="20"/>
                <w:szCs w:val="20"/>
                <w:color w:val="auto"/>
              </w:rPr>
            </w:pPr>
            <w:r>
              <w:rPr>
                <w:rFonts w:ascii="Arial" w:cs="Arial" w:eastAsia="Arial" w:hAnsi="Arial"/>
                <w:sz w:val="22"/>
                <w:szCs w:val="22"/>
                <w:b w:val="1"/>
                <w:bCs w:val="1"/>
                <w:color w:val="auto"/>
                <w:w w:val="90"/>
              </w:rPr>
              <w:t>CPG Partners, L.P.</w:t>
            </w: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4960" w:type="dxa"/>
            <w:vAlign w:val="bottom"/>
            <w:gridSpan w:val="3"/>
          </w:tcPr>
          <w:p>
            <w:pPr>
              <w:jc w:val="center"/>
              <w:ind w:left="549"/>
              <w:spacing w:after="0" w:line="243" w:lineRule="exact"/>
              <w:rPr>
                <w:sz w:val="20"/>
                <w:szCs w:val="20"/>
                <w:color w:val="auto"/>
              </w:rPr>
            </w:pPr>
            <w:r>
              <w:rPr>
                <w:rFonts w:ascii="Arial" w:cs="Arial" w:eastAsia="Arial" w:hAnsi="Arial"/>
                <w:sz w:val="22"/>
                <w:szCs w:val="22"/>
                <w:b w:val="1"/>
                <w:bCs w:val="1"/>
                <w:color w:val="auto"/>
                <w:w w:val="87"/>
              </w:rPr>
              <w:t>Consolidated Statements of Income</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5980" w:type="dxa"/>
            <w:vAlign w:val="bottom"/>
            <w:gridSpan w:val="4"/>
          </w:tcPr>
          <w:p>
            <w:pPr>
              <w:jc w:val="center"/>
              <w:ind w:right="319"/>
              <w:spacing w:after="0" w:line="243" w:lineRule="exact"/>
              <w:rPr>
                <w:sz w:val="20"/>
                <w:szCs w:val="20"/>
                <w:color w:val="auto"/>
              </w:rPr>
            </w:pPr>
            <w:r>
              <w:rPr>
                <w:rFonts w:ascii="Arial" w:cs="Arial" w:eastAsia="Arial" w:hAnsi="Arial"/>
                <w:sz w:val="22"/>
                <w:szCs w:val="22"/>
                <w:b w:val="1"/>
                <w:bCs w:val="1"/>
                <w:color w:val="auto"/>
                <w:w w:val="89"/>
              </w:rPr>
              <w:t>Three and Nine Months Ended September 30, 2004 and 2003</w:t>
            </w:r>
          </w:p>
        </w:tc>
        <w:tc>
          <w:tcPr>
            <w:tcW w:w="0" w:type="dxa"/>
            <w:vAlign w:val="bottom"/>
          </w:tcPr>
          <w:p>
            <w:pPr>
              <w:spacing w:after="0"/>
              <w:rPr>
                <w:sz w:val="1"/>
                <w:szCs w:val="1"/>
                <w:color w:val="auto"/>
              </w:rPr>
            </w:pPr>
          </w:p>
        </w:tc>
      </w:tr>
      <w:tr>
        <w:trPr>
          <w:trHeight w:val="249"/>
        </w:trPr>
        <w:tc>
          <w:tcPr>
            <w:tcW w:w="2540" w:type="dxa"/>
            <w:vAlign w:val="bottom"/>
          </w:tcPr>
          <w:p>
            <w:pPr>
              <w:spacing w:after="0"/>
              <w:rPr>
                <w:sz w:val="21"/>
                <w:szCs w:val="21"/>
                <w:color w:val="auto"/>
              </w:rPr>
            </w:pPr>
          </w:p>
        </w:tc>
        <w:tc>
          <w:tcPr>
            <w:tcW w:w="3900" w:type="dxa"/>
            <w:vAlign w:val="bottom"/>
            <w:gridSpan w:val="2"/>
          </w:tcPr>
          <w:p>
            <w:pPr>
              <w:jc w:val="center"/>
              <w:ind w:left="1629"/>
              <w:spacing w:after="0" w:line="249" w:lineRule="exact"/>
              <w:rPr>
                <w:sz w:val="20"/>
                <w:szCs w:val="20"/>
                <w:color w:val="auto"/>
              </w:rPr>
            </w:pPr>
            <w:r>
              <w:rPr>
                <w:rFonts w:ascii="Arial" w:cs="Arial" w:eastAsia="Arial" w:hAnsi="Arial"/>
                <w:sz w:val="22"/>
                <w:szCs w:val="22"/>
                <w:b w:val="1"/>
                <w:bCs w:val="1"/>
                <w:color w:val="auto"/>
                <w:w w:val="91"/>
              </w:rPr>
              <w:t>(Unaudited)</w:t>
            </w: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540" w:type="dxa"/>
            <w:vAlign w:val="bottom"/>
          </w:tcPr>
          <w:p>
            <w:pPr>
              <w:spacing w:after="0"/>
              <w:rPr>
                <w:sz w:val="23"/>
                <w:szCs w:val="23"/>
                <w:color w:val="auto"/>
              </w:rPr>
            </w:pPr>
          </w:p>
        </w:tc>
        <w:tc>
          <w:tcPr>
            <w:tcW w:w="4960" w:type="dxa"/>
            <w:vAlign w:val="bottom"/>
            <w:gridSpan w:val="3"/>
          </w:tcPr>
          <w:p>
            <w:pPr>
              <w:jc w:val="center"/>
              <w:ind w:left="569"/>
              <w:spacing w:after="0"/>
              <w:rPr>
                <w:sz w:val="20"/>
                <w:szCs w:val="20"/>
                <w:color w:val="auto"/>
              </w:rPr>
            </w:pPr>
            <w:r>
              <w:rPr>
                <w:rFonts w:ascii="Arial" w:cs="Arial" w:eastAsia="Arial" w:hAnsi="Arial"/>
                <w:sz w:val="22"/>
                <w:szCs w:val="22"/>
                <w:i w:val="1"/>
                <w:iCs w:val="1"/>
                <w:color w:val="auto"/>
                <w:w w:val="88"/>
              </w:rPr>
              <w:t>(In thousands, except per unit data)</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2540" w:type="dxa"/>
            <w:vAlign w:val="bottom"/>
          </w:tcPr>
          <w:p>
            <w:pPr>
              <w:spacing w:after="0"/>
              <w:rPr>
                <w:sz w:val="24"/>
                <w:szCs w:val="24"/>
                <w:color w:val="auto"/>
              </w:rPr>
            </w:pPr>
          </w:p>
        </w:tc>
        <w:tc>
          <w:tcPr>
            <w:tcW w:w="3900" w:type="dxa"/>
            <w:vAlign w:val="bottom"/>
            <w:gridSpan w:val="2"/>
          </w:tcPr>
          <w:p>
            <w:pPr>
              <w:jc w:val="right"/>
              <w:ind w:right="699"/>
              <w:spacing w:after="0"/>
              <w:rPr>
                <w:sz w:val="20"/>
                <w:szCs w:val="20"/>
                <w:color w:val="auto"/>
              </w:rPr>
            </w:pPr>
            <w:r>
              <w:rPr>
                <w:rFonts w:ascii="Courier New" w:cs="Courier New" w:eastAsia="Courier New" w:hAnsi="Courier New"/>
                <w:sz w:val="12"/>
                <w:szCs w:val="12"/>
                <w:b w:val="1"/>
                <w:bCs w:val="1"/>
                <w:color w:val="auto"/>
              </w:rPr>
              <w:t>Three Months</w:t>
            </w:r>
          </w:p>
        </w:tc>
        <w:tc>
          <w:tcPr>
            <w:tcW w:w="2080" w:type="dxa"/>
            <w:vAlign w:val="bottom"/>
            <w:gridSpan w:val="2"/>
          </w:tcPr>
          <w:p>
            <w:pPr>
              <w:jc w:val="right"/>
              <w:ind w:right="599"/>
              <w:spacing w:after="0"/>
              <w:rPr>
                <w:sz w:val="20"/>
                <w:szCs w:val="20"/>
                <w:color w:val="auto"/>
              </w:rPr>
            </w:pPr>
            <w:r>
              <w:rPr>
                <w:rFonts w:ascii="Courier New" w:cs="Courier New" w:eastAsia="Courier New" w:hAnsi="Courier New"/>
                <w:sz w:val="12"/>
                <w:szCs w:val="12"/>
                <w:b w:val="1"/>
                <w:bCs w:val="1"/>
                <w:color w:val="auto"/>
              </w:rPr>
              <w:t>Nine Months</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3900" w:type="dxa"/>
            <w:vAlign w:val="bottom"/>
            <w:gridSpan w:val="2"/>
          </w:tcPr>
          <w:p>
            <w:pPr>
              <w:jc w:val="center"/>
              <w:ind w:left="1589"/>
              <w:spacing w:after="0"/>
              <w:rPr>
                <w:sz w:val="20"/>
                <w:szCs w:val="20"/>
                <w:color w:val="auto"/>
              </w:rPr>
            </w:pPr>
            <w:r>
              <w:rPr>
                <w:rFonts w:ascii="Courier New" w:cs="Courier New" w:eastAsia="Courier New" w:hAnsi="Courier New"/>
                <w:sz w:val="12"/>
                <w:szCs w:val="12"/>
                <w:b w:val="1"/>
                <w:bCs w:val="1"/>
                <w:color w:val="auto"/>
              </w:rPr>
              <w:t>Ended September 30</w:t>
            </w:r>
          </w:p>
        </w:tc>
        <w:tc>
          <w:tcPr>
            <w:tcW w:w="2080" w:type="dxa"/>
            <w:vAlign w:val="bottom"/>
            <w:gridSpan w:val="2"/>
          </w:tcPr>
          <w:p>
            <w:pPr>
              <w:ind w:left="400"/>
              <w:spacing w:after="0"/>
              <w:rPr>
                <w:sz w:val="20"/>
                <w:szCs w:val="20"/>
                <w:color w:val="auto"/>
              </w:rPr>
            </w:pPr>
            <w:r>
              <w:rPr>
                <w:rFonts w:ascii="Courier New" w:cs="Courier New" w:eastAsia="Courier New" w:hAnsi="Courier New"/>
                <w:sz w:val="12"/>
                <w:szCs w:val="12"/>
                <w:b w:val="1"/>
                <w:bCs w:val="1"/>
                <w:color w:val="auto"/>
              </w:rPr>
              <w:t>Ended September 30</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740" w:type="dxa"/>
            <w:vAlign w:val="bottom"/>
          </w:tcPr>
          <w:p>
            <w:pPr>
              <w:jc w:val="right"/>
              <w:ind w:right="249"/>
              <w:spacing w:after="0"/>
              <w:rPr>
                <w:sz w:val="20"/>
                <w:szCs w:val="20"/>
                <w:color w:val="auto"/>
              </w:rPr>
            </w:pPr>
            <w:r>
              <w:rPr>
                <w:rFonts w:ascii="Courier New" w:cs="Courier New" w:eastAsia="Courier New" w:hAnsi="Courier New"/>
                <w:sz w:val="12"/>
                <w:szCs w:val="12"/>
                <w:b w:val="1"/>
                <w:bCs w:val="1"/>
                <w:color w:val="auto"/>
              </w:rPr>
              <w:t>2004</w:t>
            </w:r>
          </w:p>
        </w:tc>
        <w:tc>
          <w:tcPr>
            <w:tcW w:w="116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2003</w:t>
            </w:r>
          </w:p>
        </w:tc>
        <w:tc>
          <w:tcPr>
            <w:tcW w:w="1060" w:type="dxa"/>
            <w:vAlign w:val="bottom"/>
          </w:tcPr>
          <w:p>
            <w:pPr>
              <w:ind w:left="400"/>
              <w:spacing w:after="0"/>
              <w:rPr>
                <w:sz w:val="20"/>
                <w:szCs w:val="20"/>
                <w:color w:val="auto"/>
              </w:rPr>
            </w:pPr>
            <w:r>
              <w:rPr>
                <w:rFonts w:ascii="Courier New" w:cs="Courier New" w:eastAsia="Courier New" w:hAnsi="Courier New"/>
                <w:sz w:val="12"/>
                <w:szCs w:val="12"/>
                <w:b w:val="1"/>
                <w:bCs w:val="1"/>
                <w:color w:val="auto"/>
              </w:rPr>
              <w:t>2004</w:t>
            </w:r>
          </w:p>
        </w:tc>
        <w:tc>
          <w:tcPr>
            <w:tcW w:w="10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2003</w:t>
            </w:r>
          </w:p>
        </w:tc>
        <w:tc>
          <w:tcPr>
            <w:tcW w:w="0" w:type="dxa"/>
            <w:vAlign w:val="bottom"/>
          </w:tcPr>
          <w:p>
            <w:pPr>
              <w:spacing w:after="0"/>
              <w:rPr>
                <w:sz w:val="1"/>
                <w:szCs w:val="1"/>
                <w:color w:val="auto"/>
              </w:rPr>
            </w:pPr>
          </w:p>
        </w:tc>
      </w:tr>
      <w:tr>
        <w:trPr>
          <w:trHeight w:val="137"/>
        </w:trPr>
        <w:tc>
          <w:tcPr>
            <w:tcW w:w="2540" w:type="dxa"/>
            <w:vAlign w:val="bottom"/>
            <w:vMerge w:val="restart"/>
          </w:tcPr>
          <w:p>
            <w:pPr>
              <w:jc w:val="right"/>
              <w:ind w:right="1843"/>
              <w:spacing w:after="0"/>
              <w:rPr>
                <w:sz w:val="20"/>
                <w:szCs w:val="20"/>
                <w:color w:val="auto"/>
              </w:rPr>
            </w:pPr>
            <w:r>
              <w:rPr>
                <w:rFonts w:ascii="Courier New" w:cs="Courier New" w:eastAsia="Courier New" w:hAnsi="Courier New"/>
                <w:sz w:val="12"/>
                <w:szCs w:val="12"/>
                <w:b w:val="1"/>
                <w:bCs w:val="1"/>
                <w:color w:val="auto"/>
                <w:w w:val="95"/>
              </w:rPr>
              <w:t>Revenues:</w:t>
            </w:r>
          </w:p>
        </w:tc>
        <w:tc>
          <w:tcPr>
            <w:tcW w:w="2740" w:type="dxa"/>
            <w:vAlign w:val="bottom"/>
          </w:tcPr>
          <w:p>
            <w:pPr>
              <w:jc w:val="right"/>
              <w:ind w:right="2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2540" w:type="dxa"/>
            <w:vAlign w:val="bottom"/>
            <w:vMerge w:val="continue"/>
          </w:tcPr>
          <w:p>
            <w:pPr>
              <w:spacing w:after="0"/>
              <w:rPr>
                <w:sz w:val="11"/>
                <w:szCs w:val="11"/>
                <w:color w:val="auto"/>
              </w:rPr>
            </w:pPr>
          </w:p>
        </w:tc>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Base rent.........................................</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$ 67,378</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  63,645</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$199,914</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$182,265</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Percentage rent...................................</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7,814</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6,659</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18,328</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15,695</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Expense reimbursements............................</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23,031</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19,992</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65,502</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58,980</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Other income......................................</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2,529</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1,907</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6,872</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5,155</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740" w:type="dxa"/>
            <w:vAlign w:val="bottom"/>
          </w:tcPr>
          <w:p>
            <w:pPr>
              <w:jc w:val="right"/>
              <w:ind w:right="2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b w:val="1"/>
                <w:bCs w:val="1"/>
                <w:color w:val="auto"/>
                <w:w w:val="72"/>
              </w:rPr>
              <w:t>Total revenues.......................................</w:t>
            </w:r>
          </w:p>
        </w:tc>
        <w:tc>
          <w:tcPr>
            <w:tcW w:w="2740" w:type="dxa"/>
            <w:vAlign w:val="bottom"/>
          </w:tcPr>
          <w:p>
            <w:pPr>
              <w:jc w:val="right"/>
              <w:ind w:right="249"/>
              <w:spacing w:after="0"/>
              <w:rPr>
                <w:sz w:val="20"/>
                <w:szCs w:val="20"/>
                <w:color w:val="auto"/>
              </w:rPr>
            </w:pPr>
            <w:r>
              <w:rPr>
                <w:rFonts w:ascii="Courier New" w:cs="Courier New" w:eastAsia="Courier New" w:hAnsi="Courier New"/>
                <w:sz w:val="12"/>
                <w:szCs w:val="12"/>
                <w:b w:val="1"/>
                <w:bCs w:val="1"/>
                <w:color w:val="auto"/>
              </w:rPr>
              <w:t>100,752</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92,203</w:t>
            </w:r>
          </w:p>
        </w:tc>
        <w:tc>
          <w:tcPr>
            <w:tcW w:w="1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290,616</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262,095</w:t>
            </w:r>
          </w:p>
        </w:tc>
        <w:tc>
          <w:tcPr>
            <w:tcW w:w="0" w:type="dxa"/>
            <w:vAlign w:val="bottom"/>
          </w:tcPr>
          <w:p>
            <w:pPr>
              <w:spacing w:after="0"/>
              <w:rPr>
                <w:sz w:val="1"/>
                <w:szCs w:val="1"/>
                <w:color w:val="auto"/>
              </w:rPr>
            </w:pPr>
          </w:p>
        </w:tc>
      </w:tr>
      <w:tr>
        <w:trPr>
          <w:trHeight w:val="137"/>
        </w:trPr>
        <w:tc>
          <w:tcPr>
            <w:tcW w:w="2540" w:type="dxa"/>
            <w:vAlign w:val="bottom"/>
            <w:vMerge w:val="restart"/>
          </w:tcPr>
          <w:p>
            <w:pPr>
              <w:jc w:val="right"/>
              <w:ind w:right="1843"/>
              <w:spacing w:after="0"/>
              <w:rPr>
                <w:sz w:val="20"/>
                <w:szCs w:val="20"/>
                <w:color w:val="auto"/>
              </w:rPr>
            </w:pPr>
            <w:r>
              <w:rPr>
                <w:rFonts w:ascii="Courier New" w:cs="Courier New" w:eastAsia="Courier New" w:hAnsi="Courier New"/>
                <w:sz w:val="12"/>
                <w:szCs w:val="12"/>
                <w:b w:val="1"/>
                <w:bCs w:val="1"/>
                <w:color w:val="auto"/>
                <w:w w:val="95"/>
              </w:rPr>
              <w:t>Expenses:</w:t>
            </w:r>
          </w:p>
        </w:tc>
        <w:tc>
          <w:tcPr>
            <w:tcW w:w="2740" w:type="dxa"/>
            <w:vAlign w:val="bottom"/>
          </w:tcPr>
          <w:p>
            <w:pPr>
              <w:jc w:val="right"/>
              <w:ind w:right="2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2540" w:type="dxa"/>
            <w:vAlign w:val="bottom"/>
            <w:vMerge w:val="continue"/>
          </w:tcPr>
          <w:p>
            <w:pPr>
              <w:spacing w:after="0"/>
              <w:rPr>
                <w:sz w:val="11"/>
                <w:szCs w:val="11"/>
                <w:color w:val="auto"/>
              </w:rPr>
            </w:pPr>
          </w:p>
        </w:tc>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Operating and maintenance.........................</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26,786</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24,418</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77,624</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71,036</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Depreciation and amortization.....................</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18,396</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17,776</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54,150</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52,183</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General and administrative........................</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5,228</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2,560</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12,949</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7,230</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6"/>
              </w:rPr>
              <w:t>Other.............................................</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1,674</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1,958</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4,758</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6,597</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740" w:type="dxa"/>
            <w:vAlign w:val="bottom"/>
          </w:tcPr>
          <w:p>
            <w:pPr>
              <w:jc w:val="right"/>
              <w:ind w:right="2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540" w:type="dxa"/>
            <w:vAlign w:val="bottom"/>
          </w:tcPr>
          <w:p>
            <w:pPr>
              <w:jc w:val="right"/>
              <w:spacing w:after="0"/>
              <w:rPr>
                <w:sz w:val="20"/>
                <w:szCs w:val="20"/>
                <w:color w:val="auto"/>
              </w:rPr>
            </w:pPr>
            <w:r>
              <w:rPr>
                <w:rFonts w:ascii="Courier New" w:cs="Courier New" w:eastAsia="Courier New" w:hAnsi="Courier New"/>
                <w:sz w:val="11"/>
                <w:szCs w:val="11"/>
                <w:b w:val="1"/>
                <w:bCs w:val="1"/>
                <w:color w:val="auto"/>
                <w:w w:val="72"/>
              </w:rPr>
              <w:t>Total expenses.......................................</w:t>
            </w:r>
          </w:p>
        </w:tc>
        <w:tc>
          <w:tcPr>
            <w:tcW w:w="2740" w:type="dxa"/>
            <w:vAlign w:val="bottom"/>
          </w:tcPr>
          <w:p>
            <w:pPr>
              <w:jc w:val="right"/>
              <w:ind w:right="329"/>
              <w:spacing w:after="0"/>
              <w:rPr>
                <w:sz w:val="20"/>
                <w:szCs w:val="20"/>
                <w:color w:val="auto"/>
              </w:rPr>
            </w:pPr>
            <w:r>
              <w:rPr>
                <w:rFonts w:ascii="Courier New" w:cs="Courier New" w:eastAsia="Courier New" w:hAnsi="Courier New"/>
                <w:sz w:val="12"/>
                <w:szCs w:val="12"/>
                <w:b w:val="1"/>
                <w:bCs w:val="1"/>
                <w:color w:val="auto"/>
              </w:rPr>
              <w:t>52,084</w:t>
            </w:r>
          </w:p>
        </w:tc>
        <w:tc>
          <w:tcPr>
            <w:tcW w:w="11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46,712</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149,481</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137,046</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2740" w:type="dxa"/>
            <w:vAlign w:val="bottom"/>
          </w:tcPr>
          <w:p>
            <w:pPr>
              <w:jc w:val="right"/>
              <w:ind w:right="2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b w:val="1"/>
          <w:bCs w:val="1"/>
          <w:color w:val="auto"/>
        </w:rPr>
        <w:t>Income before unconsolidated investments, interest</w:t>
      </w:r>
    </w:p>
    <w:p>
      <w:pPr>
        <w:sectPr>
          <w:pgSz w:w="11900" w:h="16838" w:orient="portrait"/>
          <w:cols w:equalWidth="0" w:num="1">
            <w:col w:w="10219"/>
          </w:cols>
          <w:pgMar w:left="240" w:top="118"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7"/>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expense and discontinued operations....................</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48,668</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45,491</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141,135</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125,049</w:t>
            </w:r>
          </w:p>
        </w:tc>
      </w:tr>
      <w:tr>
        <w:trPr>
          <w:trHeight w:val="268"/>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Income from unconsolidated investments...............</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7,051</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3,125</w:t>
            </w:r>
          </w:p>
        </w:tc>
        <w:tc>
          <w:tcPr>
            <w:tcW w:w="320" w:type="dxa"/>
            <w:vAlign w:val="bottom"/>
          </w:tcPr>
          <w:p>
            <w:pPr>
              <w:spacing w:after="0"/>
              <w:rPr>
                <w:sz w:val="23"/>
                <w:szCs w:val="23"/>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17,398</w:t>
            </w:r>
          </w:p>
        </w:tc>
        <w:tc>
          <w:tcPr>
            <w:tcW w:w="34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7,071</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Interest expense.....................................</w:t>
            </w:r>
          </w:p>
        </w:tc>
        <w:tc>
          <w:tcPr>
            <w:tcW w:w="13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(19,613)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(17,884)</w:t>
            </w:r>
          </w:p>
        </w:tc>
        <w:tc>
          <w:tcPr>
            <w:tcW w:w="320" w:type="dxa"/>
            <w:vAlign w:val="bottom"/>
          </w:tcPr>
          <w:p>
            <w:pPr>
              <w:spacing w:after="0"/>
              <w:rPr>
                <w:sz w:val="11"/>
                <w:szCs w:val="11"/>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(57,550)</w:t>
            </w:r>
          </w:p>
        </w:tc>
        <w:tc>
          <w:tcPr>
            <w:tcW w:w="3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(51,352)</w:t>
            </w:r>
          </w:p>
        </w:tc>
      </w:tr>
      <w:tr>
        <w:trPr>
          <w:trHeight w:val="135"/>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Income from continuing operations .......................</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36,106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30,732</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100,983</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80,768</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Income from discontinued operations......................</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(72)</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608</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Gain on sale of discontinued operations..................</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908</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5,625</w:t>
            </w:r>
          </w:p>
        </w:tc>
      </w:tr>
      <w:tr>
        <w:trPr>
          <w:trHeight w:val="135"/>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Net income...........................................</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36,106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31,568</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100,983</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87,001</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Preferred unit requirement...........................</w:t>
            </w:r>
          </w:p>
        </w:tc>
        <w:tc>
          <w:tcPr>
            <w:tcW w:w="13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(3,722)</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(2,296)</w:t>
            </w:r>
          </w:p>
        </w:tc>
        <w:tc>
          <w:tcPr>
            <w:tcW w:w="320" w:type="dxa"/>
            <w:vAlign w:val="bottom"/>
          </w:tcPr>
          <w:p>
            <w:pPr>
              <w:spacing w:after="0"/>
              <w:rPr>
                <w:sz w:val="11"/>
                <w:szCs w:val="11"/>
                <w:color w:val="auto"/>
              </w:rPr>
            </w:pP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(8,314)</w:t>
            </w:r>
          </w:p>
        </w:tc>
        <w:tc>
          <w:tcPr>
            <w:tcW w:w="3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(6,888)</w:t>
            </w:r>
          </w:p>
        </w:tc>
      </w:tr>
      <w:tr>
        <w:trPr>
          <w:trHeight w:val="135"/>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Net income available to common unitholders...........</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$ 32,384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$ 29,272</w:t>
            </w:r>
          </w:p>
        </w:tc>
        <w:tc>
          <w:tcPr>
            <w:tcW w:w="3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92,669</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80,113</w:t>
            </w:r>
          </w:p>
        </w:tc>
      </w:tr>
      <w:tr>
        <w:trPr>
          <w:trHeight w:val="137"/>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3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to common unitholders:</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General partner..........................................</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$ 27,844</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$ 25,006</w:t>
            </w:r>
          </w:p>
        </w:tc>
        <w:tc>
          <w:tcPr>
            <w:tcW w:w="3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79,588</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68,124</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Limited partners.........................................</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4,540</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4,266</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13,081</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11,989</w:t>
            </w:r>
          </w:p>
        </w:tc>
      </w:tr>
      <w:tr>
        <w:trPr>
          <w:trHeight w:val="135"/>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Total ...............................................</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$ 32,384</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$ 29,272</w:t>
            </w:r>
          </w:p>
        </w:tc>
        <w:tc>
          <w:tcPr>
            <w:tcW w:w="3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92,669</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80,113</w:t>
            </w:r>
          </w:p>
        </w:tc>
      </w:tr>
      <w:tr>
        <w:trPr>
          <w:trHeight w:val="137"/>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3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per common unit: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General partner (including $0.02 and $0.13</w:t>
            </w: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4340" w:type="dxa"/>
            <w:vAlign w:val="bottom"/>
          </w:tcPr>
          <w:p>
            <w:pPr>
              <w:jc w:val="right"/>
              <w:ind w:right="839"/>
              <w:spacing w:after="0"/>
              <w:rPr>
                <w:sz w:val="20"/>
                <w:szCs w:val="20"/>
                <w:color w:val="auto"/>
              </w:rPr>
            </w:pPr>
            <w:r>
              <w:rPr>
                <w:rFonts w:ascii="Courier New" w:cs="Courier New" w:eastAsia="Courier New" w:hAnsi="Courier New"/>
                <w:sz w:val="12"/>
                <w:szCs w:val="12"/>
                <w:color w:val="auto"/>
              </w:rPr>
              <w:t>from discontinued operations for the three</w:t>
            </w: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7"/>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and nine months ended Sept. 30, 2003)................</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$0.63</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$0.58</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$1.81</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$1.61</w:t>
            </w:r>
          </w:p>
        </w:tc>
      </w:tr>
      <w:tr>
        <w:trPr>
          <w:trHeight w:val="268"/>
        </w:trPr>
        <w:tc>
          <w:tcPr>
            <w:tcW w:w="4340" w:type="dxa"/>
            <w:vAlign w:val="bottom"/>
          </w:tcPr>
          <w:p>
            <w:pPr>
              <w:ind w:left="220"/>
              <w:spacing w:after="0"/>
              <w:rPr>
                <w:sz w:val="20"/>
                <w:szCs w:val="20"/>
                <w:color w:val="auto"/>
              </w:rPr>
            </w:pPr>
            <w:r>
              <w:rPr>
                <w:rFonts w:ascii="Courier New" w:cs="Courier New" w:eastAsia="Courier New" w:hAnsi="Courier New"/>
                <w:sz w:val="12"/>
                <w:szCs w:val="12"/>
                <w:color w:val="auto"/>
              </w:rPr>
              <w:t>Limited partners (including $0.02 and $0.13 from</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4340" w:type="dxa"/>
            <w:vAlign w:val="bottom"/>
          </w:tcPr>
          <w:p>
            <w:pPr>
              <w:ind w:left="220"/>
              <w:spacing w:after="0"/>
              <w:rPr>
                <w:sz w:val="20"/>
                <w:szCs w:val="20"/>
                <w:color w:val="auto"/>
              </w:rPr>
            </w:pPr>
            <w:r>
              <w:rPr>
                <w:rFonts w:ascii="Courier New" w:cs="Courier New" w:eastAsia="Courier New" w:hAnsi="Courier New"/>
                <w:sz w:val="12"/>
                <w:szCs w:val="12"/>
                <w:color w:val="auto"/>
              </w:rPr>
              <w:t>discontinued operations for the three and nine months</w:t>
            </w: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7"/>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ended Sept. 30, 2003)..................................</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$0.63</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$0.58</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$1.81</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$1.61</w:t>
            </w:r>
          </w:p>
        </w:tc>
      </w:tr>
      <w:tr>
        <w:trPr>
          <w:trHeight w:val="268"/>
        </w:trPr>
        <w:tc>
          <w:tcPr>
            <w:tcW w:w="4340" w:type="dxa"/>
            <w:vAlign w:val="bottom"/>
          </w:tcPr>
          <w:p>
            <w:pPr>
              <w:spacing w:after="0"/>
              <w:rPr>
                <w:sz w:val="20"/>
                <w:szCs w:val="20"/>
                <w:color w:val="auto"/>
              </w:rPr>
            </w:pPr>
            <w:r>
              <w:rPr>
                <w:rFonts w:ascii="Courier New" w:cs="Courier New" w:eastAsia="Courier New" w:hAnsi="Courier New"/>
                <w:sz w:val="12"/>
                <w:szCs w:val="12"/>
                <w:b w:val="1"/>
                <w:bCs w:val="1"/>
                <w:color w:val="auto"/>
              </w:rPr>
              <w:t>Weighted average units outstanding:</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General partner..........................................</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44,157</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43,304</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44,016</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42,302</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Limited partners.........................................</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7,203</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7,389</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7,240</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7,464</w:t>
            </w:r>
          </w:p>
        </w:tc>
      </w:tr>
      <w:tr>
        <w:trPr>
          <w:trHeight w:val="135"/>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Total................................................</w:t>
            </w:r>
          </w:p>
        </w:tc>
        <w:tc>
          <w:tcPr>
            <w:tcW w:w="132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51,360</w:t>
            </w:r>
          </w:p>
        </w:tc>
        <w:tc>
          <w:tcPr>
            <w:tcW w:w="11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50,693</w:t>
            </w:r>
          </w:p>
        </w:tc>
        <w:tc>
          <w:tcPr>
            <w:tcW w:w="320" w:type="dxa"/>
            <w:vAlign w:val="bottom"/>
          </w:tcPr>
          <w:p>
            <w:pPr>
              <w:spacing w:after="0"/>
              <w:rPr>
                <w:sz w:val="11"/>
                <w:szCs w:val="11"/>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51,256</w:t>
            </w:r>
          </w:p>
        </w:tc>
        <w:tc>
          <w:tcPr>
            <w:tcW w:w="340" w:type="dxa"/>
            <w:vAlign w:val="bottom"/>
          </w:tcPr>
          <w:p>
            <w:pPr>
              <w:spacing w:after="0"/>
              <w:rPr>
                <w:sz w:val="11"/>
                <w:szCs w:val="11"/>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49,766</w:t>
            </w:r>
          </w:p>
        </w:tc>
      </w:tr>
      <w:tr>
        <w:trPr>
          <w:trHeight w:val="137"/>
        </w:trPr>
        <w:tc>
          <w:tcPr>
            <w:tcW w:w="4340" w:type="dxa"/>
            <w:vAlign w:val="bottom"/>
          </w:tcPr>
          <w:p>
            <w:pPr>
              <w:spacing w:after="0"/>
              <w:rPr>
                <w:sz w:val="11"/>
                <w:szCs w:val="11"/>
                <w:color w:val="auto"/>
              </w:rPr>
            </w:pPr>
          </w:p>
        </w:tc>
        <w:tc>
          <w:tcPr>
            <w:tcW w:w="13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3200" w:type="dxa"/>
            <w:vAlign w:val="bottom"/>
            <w:gridSpan w:val="3"/>
          </w:tcPr>
          <w:p>
            <w:pPr>
              <w:jc w:val="center"/>
              <w:ind w:right="1359"/>
              <w:spacing w:after="0"/>
              <w:rPr>
                <w:sz w:val="20"/>
                <w:szCs w:val="20"/>
                <w:color w:val="auto"/>
              </w:rPr>
            </w:pPr>
            <w:r>
              <w:rPr>
                <w:rFonts w:ascii="Arial" w:cs="Arial" w:eastAsia="Arial" w:hAnsi="Arial"/>
                <w:sz w:val="22"/>
                <w:szCs w:val="22"/>
                <w:b w:val="1"/>
                <w:bCs w:val="1"/>
                <w:color w:val="auto"/>
                <w:w w:val="90"/>
              </w:rPr>
              <w:t>CPG Partners, L.P.</w:t>
            </w:r>
          </w:p>
        </w:tc>
        <w:tc>
          <w:tcPr>
            <w:tcW w:w="0" w:type="dxa"/>
            <w:vAlign w:val="bottom"/>
          </w:tcPr>
          <w:p>
            <w:pPr>
              <w:spacing w:after="0"/>
              <w:rPr>
                <w:sz w:val="1"/>
                <w:szCs w:val="1"/>
                <w:color w:val="auto"/>
              </w:rPr>
            </w:pPr>
          </w:p>
        </w:tc>
      </w:tr>
      <w:tr>
        <w:trPr>
          <w:trHeight w:val="243"/>
        </w:trPr>
        <w:tc>
          <w:tcPr>
            <w:tcW w:w="8020" w:type="dxa"/>
            <w:vAlign w:val="bottom"/>
            <w:gridSpan w:val="4"/>
          </w:tcPr>
          <w:p>
            <w:pPr>
              <w:jc w:val="center"/>
              <w:ind w:left="3357"/>
              <w:spacing w:after="0" w:line="243" w:lineRule="exact"/>
              <w:rPr>
                <w:sz w:val="20"/>
                <w:szCs w:val="20"/>
                <w:color w:val="auto"/>
              </w:rPr>
            </w:pPr>
            <w:r>
              <w:rPr>
                <w:rFonts w:ascii="Arial" w:cs="Arial" w:eastAsia="Arial" w:hAnsi="Arial"/>
                <w:sz w:val="22"/>
                <w:szCs w:val="22"/>
                <w:b w:val="1"/>
                <w:bCs w:val="1"/>
                <w:color w:val="auto"/>
                <w:w w:val="86"/>
              </w:rPr>
              <w:t>Consolidated Statements of Cash Flows</w:t>
            </w:r>
          </w:p>
        </w:tc>
        <w:tc>
          <w:tcPr>
            <w:tcW w:w="0" w:type="dxa"/>
            <w:vAlign w:val="bottom"/>
          </w:tcPr>
          <w:p>
            <w:pPr>
              <w:spacing w:after="0"/>
              <w:rPr>
                <w:sz w:val="1"/>
                <w:szCs w:val="1"/>
                <w:color w:val="auto"/>
              </w:rPr>
            </w:pPr>
          </w:p>
        </w:tc>
      </w:tr>
      <w:tr>
        <w:trPr>
          <w:trHeight w:val="243"/>
        </w:trPr>
        <w:tc>
          <w:tcPr>
            <w:tcW w:w="8020" w:type="dxa"/>
            <w:vAlign w:val="bottom"/>
            <w:gridSpan w:val="4"/>
          </w:tcPr>
          <w:p>
            <w:pPr>
              <w:jc w:val="center"/>
              <w:ind w:left="3357"/>
              <w:spacing w:after="0" w:line="243" w:lineRule="exact"/>
              <w:rPr>
                <w:sz w:val="20"/>
                <w:szCs w:val="20"/>
                <w:color w:val="auto"/>
              </w:rPr>
            </w:pPr>
            <w:r>
              <w:rPr>
                <w:rFonts w:ascii="Arial" w:cs="Arial" w:eastAsia="Arial" w:hAnsi="Arial"/>
                <w:sz w:val="22"/>
                <w:szCs w:val="22"/>
                <w:b w:val="1"/>
                <w:bCs w:val="1"/>
                <w:color w:val="auto"/>
                <w:w w:val="88"/>
              </w:rPr>
              <w:t>Nine Months Ended September 30, 2004 and 2003</w:t>
            </w:r>
          </w:p>
        </w:tc>
        <w:tc>
          <w:tcPr>
            <w:tcW w:w="0" w:type="dxa"/>
            <w:vAlign w:val="bottom"/>
          </w:tcPr>
          <w:p>
            <w:pPr>
              <w:spacing w:after="0"/>
              <w:rPr>
                <w:sz w:val="1"/>
                <w:szCs w:val="1"/>
                <w:color w:val="auto"/>
              </w:rPr>
            </w:pPr>
          </w:p>
        </w:tc>
      </w:tr>
      <w:tr>
        <w:trPr>
          <w:trHeight w:val="249"/>
        </w:trPr>
        <w:tc>
          <w:tcPr>
            <w:tcW w:w="4820" w:type="dxa"/>
            <w:vAlign w:val="bottom"/>
          </w:tcPr>
          <w:p>
            <w:pPr>
              <w:spacing w:after="0"/>
              <w:rPr>
                <w:sz w:val="21"/>
                <w:szCs w:val="21"/>
                <w:color w:val="auto"/>
              </w:rPr>
            </w:pPr>
          </w:p>
        </w:tc>
        <w:tc>
          <w:tcPr>
            <w:tcW w:w="1600" w:type="dxa"/>
            <w:vAlign w:val="bottom"/>
            <w:gridSpan w:val="2"/>
          </w:tcPr>
          <w:p>
            <w:pPr>
              <w:jc w:val="center"/>
              <w:ind w:left="130"/>
              <w:spacing w:after="0" w:line="249" w:lineRule="exact"/>
              <w:rPr>
                <w:sz w:val="20"/>
                <w:szCs w:val="20"/>
                <w:color w:val="auto"/>
              </w:rPr>
            </w:pPr>
            <w:r>
              <w:rPr>
                <w:rFonts w:ascii="Arial" w:cs="Arial" w:eastAsia="Arial" w:hAnsi="Arial"/>
                <w:sz w:val="22"/>
                <w:szCs w:val="22"/>
                <w:b w:val="1"/>
                <w:bCs w:val="1"/>
                <w:color w:val="auto"/>
                <w:w w:val="91"/>
              </w:rPr>
              <w:t>(Unaudited)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20" w:type="dxa"/>
            <w:vAlign w:val="bottom"/>
          </w:tcPr>
          <w:p>
            <w:pPr>
              <w:spacing w:after="0"/>
              <w:rPr>
                <w:sz w:val="23"/>
                <w:szCs w:val="23"/>
                <w:color w:val="auto"/>
              </w:rPr>
            </w:pPr>
          </w:p>
        </w:tc>
        <w:tc>
          <w:tcPr>
            <w:tcW w:w="1600" w:type="dxa"/>
            <w:vAlign w:val="bottom"/>
            <w:gridSpan w:val="2"/>
          </w:tcPr>
          <w:p>
            <w:pPr>
              <w:jc w:val="center"/>
              <w:ind w:left="110"/>
              <w:spacing w:after="0"/>
              <w:rPr>
                <w:sz w:val="20"/>
                <w:szCs w:val="20"/>
                <w:color w:val="auto"/>
              </w:rPr>
            </w:pPr>
            <w:r>
              <w:rPr>
                <w:rFonts w:ascii="Arial" w:cs="Arial" w:eastAsia="Arial" w:hAnsi="Arial"/>
                <w:sz w:val="22"/>
                <w:szCs w:val="22"/>
                <w:i w:val="1"/>
                <w:iCs w:val="1"/>
                <w:color w:val="auto"/>
                <w:w w:val="89"/>
              </w:rPr>
              <w:t>(In thousands)</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4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center"/>
              <w:ind w:right="439"/>
              <w:spacing w:after="0"/>
              <w:rPr>
                <w:sz w:val="20"/>
                <w:szCs w:val="20"/>
                <w:color w:val="auto"/>
              </w:rPr>
            </w:pPr>
            <w:r>
              <w:rPr>
                <w:rFonts w:ascii="Courier New" w:cs="Courier New" w:eastAsia="Courier New" w:hAnsi="Courier New"/>
                <w:sz w:val="12"/>
                <w:szCs w:val="12"/>
                <w:b w:val="1"/>
                <w:bCs w:val="1"/>
                <w:color w:val="auto"/>
                <w:w w:val="97"/>
              </w:rPr>
              <w:t>2004</w:t>
            </w:r>
          </w:p>
        </w:tc>
        <w:tc>
          <w:tcPr>
            <w:tcW w:w="1600" w:type="dxa"/>
            <w:vAlign w:val="bottom"/>
          </w:tcPr>
          <w:p>
            <w:pPr>
              <w:jc w:val="right"/>
              <w:ind w:right="959"/>
              <w:spacing w:after="0"/>
              <w:rPr>
                <w:sz w:val="20"/>
                <w:szCs w:val="20"/>
                <w:color w:val="auto"/>
              </w:rPr>
            </w:pPr>
            <w:r>
              <w:rPr>
                <w:rFonts w:ascii="Courier New" w:cs="Courier New" w:eastAsia="Courier New" w:hAnsi="Courier New"/>
                <w:sz w:val="12"/>
                <w:szCs w:val="12"/>
                <w:b w:val="1"/>
                <w:bCs w:val="1"/>
                <w:color w:val="auto"/>
              </w:rPr>
              <w:t>2003</w:t>
            </w:r>
          </w:p>
        </w:tc>
        <w:tc>
          <w:tcPr>
            <w:tcW w:w="0" w:type="dxa"/>
            <w:vAlign w:val="bottom"/>
          </w:tcPr>
          <w:p>
            <w:pPr>
              <w:spacing w:after="0"/>
              <w:rPr>
                <w:sz w:val="1"/>
                <w:szCs w:val="1"/>
                <w:color w:val="auto"/>
              </w:rPr>
            </w:pPr>
          </w:p>
        </w:tc>
      </w:tr>
      <w:tr>
        <w:trPr>
          <w:trHeight w:val="137"/>
        </w:trPr>
        <w:tc>
          <w:tcPr>
            <w:tcW w:w="482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Cash flows from operating activities</w:t>
            </w: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48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Net income...........................................................</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w w:val="97"/>
              </w:rPr>
              <w:t>$100,983</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$ 87,001</w:t>
            </w:r>
          </w:p>
        </w:tc>
        <w:tc>
          <w:tcPr>
            <w:tcW w:w="0" w:type="dxa"/>
            <w:vAlign w:val="bottom"/>
          </w:tcPr>
          <w:p>
            <w:pPr>
              <w:spacing w:after="0"/>
              <w:rPr>
                <w:sz w:val="1"/>
                <w:szCs w:val="1"/>
                <w:color w:val="auto"/>
              </w:rPr>
            </w:pPr>
          </w:p>
        </w:tc>
      </w:tr>
      <w:tr>
        <w:trPr>
          <w:trHeight w:val="135"/>
        </w:trPr>
        <w:tc>
          <w:tcPr>
            <w:tcW w:w="4820" w:type="dxa"/>
            <w:vAlign w:val="bottom"/>
          </w:tcPr>
          <w:p>
            <w:pPr>
              <w:ind w:left="80"/>
              <w:spacing w:after="0"/>
              <w:rPr>
                <w:sz w:val="20"/>
                <w:szCs w:val="20"/>
                <w:color w:val="auto"/>
              </w:rPr>
            </w:pPr>
            <w:r>
              <w:rPr>
                <w:rFonts w:ascii="Courier New" w:cs="Courier New" w:eastAsia="Courier New" w:hAnsi="Courier New"/>
                <w:sz w:val="12"/>
                <w:szCs w:val="12"/>
                <w:color w:val="auto"/>
              </w:rPr>
              <w:t>Adjustments to reconcile net income to</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ind w:left="220"/>
              <w:spacing w:after="0"/>
              <w:rPr>
                <w:sz w:val="20"/>
                <w:szCs w:val="20"/>
                <w:color w:val="auto"/>
              </w:rPr>
            </w:pPr>
            <w:r>
              <w:rPr>
                <w:rFonts w:ascii="Courier New" w:cs="Courier New" w:eastAsia="Courier New" w:hAnsi="Courier New"/>
                <w:sz w:val="12"/>
                <w:szCs w:val="12"/>
                <w:color w:val="auto"/>
              </w:rPr>
              <w:t>net cash provided by operating activities:</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Depreciation and amortization...................................</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54,150</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52,981</w:t>
            </w:r>
          </w:p>
        </w:tc>
        <w:tc>
          <w:tcPr>
            <w:tcW w:w="0" w:type="dxa"/>
            <w:vAlign w:val="bottom"/>
          </w:tcPr>
          <w:p>
            <w:pPr>
              <w:spacing w:after="0"/>
              <w:rPr>
                <w:sz w:val="1"/>
                <w:szCs w:val="1"/>
                <w:color w:val="auto"/>
              </w:rPr>
            </w:pPr>
          </w:p>
        </w:tc>
      </w:tr>
      <w:tr>
        <w:trPr>
          <w:trHeight w:val="135"/>
        </w:trPr>
        <w:tc>
          <w:tcPr>
            <w:tcW w:w="4820" w:type="dxa"/>
            <w:vAlign w:val="bottom"/>
          </w:tcPr>
          <w:p>
            <w:pPr>
              <w:ind w:left="440"/>
              <w:spacing w:after="0"/>
              <w:rPr>
                <w:sz w:val="20"/>
                <w:szCs w:val="20"/>
                <w:color w:val="auto"/>
              </w:rPr>
            </w:pPr>
            <w:r>
              <w:rPr>
                <w:rFonts w:ascii="Courier New" w:cs="Courier New" w:eastAsia="Courier New" w:hAnsi="Courier New"/>
                <w:sz w:val="12"/>
                <w:szCs w:val="12"/>
                <w:color w:val="auto"/>
              </w:rPr>
              <w:t>Equity in earnings of unconsolidated investments</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in excess of distributions received.......................</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(3,899)</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(3,047)</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Loss on interest rate swap......................................</w:t>
            </w: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514</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Gain on sale of discontinued operations.........................</w:t>
            </w: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(5,625)</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Additions to deferred lease costs...............................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(1,278)</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(890)</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Other operating activities......................................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(1,382)</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1,597</w:t>
            </w:r>
          </w:p>
        </w:tc>
        <w:tc>
          <w:tcPr>
            <w:tcW w:w="0" w:type="dxa"/>
            <w:vAlign w:val="bottom"/>
          </w:tcPr>
          <w:p>
            <w:pPr>
              <w:spacing w:after="0"/>
              <w:rPr>
                <w:sz w:val="1"/>
                <w:szCs w:val="1"/>
                <w:color w:val="auto"/>
              </w:rPr>
            </w:pPr>
          </w:p>
        </w:tc>
      </w:tr>
      <w:tr>
        <w:trPr>
          <w:trHeight w:val="135"/>
        </w:trPr>
        <w:tc>
          <w:tcPr>
            <w:tcW w:w="4820" w:type="dxa"/>
            <w:vAlign w:val="bottom"/>
          </w:tcPr>
          <w:p>
            <w:pPr>
              <w:ind w:left="440"/>
              <w:spacing w:after="0"/>
              <w:rPr>
                <w:sz w:val="20"/>
                <w:szCs w:val="20"/>
                <w:color w:val="auto"/>
              </w:rPr>
            </w:pPr>
            <w:r>
              <w:rPr>
                <w:rFonts w:ascii="Courier New" w:cs="Courier New" w:eastAsia="Courier New" w:hAnsi="Courier New"/>
                <w:sz w:val="12"/>
                <w:szCs w:val="12"/>
                <w:color w:val="auto"/>
              </w:rPr>
              <w:t>Changes in assets and liabilities:</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Straight-line rent..............................................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(4,852)</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(5,485)</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Due to (from) affiliates........................................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2,693</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(676)</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Other assets....................................................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5,753</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(1,416)</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Accounts payable and other liabilities..........................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3,353</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4,969</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b w:val="1"/>
                <w:bCs w:val="1"/>
                <w:color w:val="auto"/>
              </w:rPr>
              <w:t>Net cash provided by operating activities............................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155,521</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129,923</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8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Cash flows from investing activities</w:t>
            </w: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Additions to rental properties.......................................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w w:val="98"/>
              </w:rPr>
              <w:t>(162,868)</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(165,631)</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Net proceeds from sale of center.....................................</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2,087</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12,334</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Additions to investments in unconsolidated affiliates................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(33,790)</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(33,954)</w:t>
            </w:r>
          </w:p>
        </w:tc>
        <w:tc>
          <w:tcPr>
            <w:tcW w:w="0" w:type="dxa"/>
            <w:vAlign w:val="bottom"/>
          </w:tcPr>
          <w:p>
            <w:pPr>
              <w:spacing w:after="0"/>
              <w:rPr>
                <w:sz w:val="1"/>
                <w:szCs w:val="1"/>
                <w:color w:val="auto"/>
              </w:rPr>
            </w:pPr>
          </w:p>
        </w:tc>
      </w:tr>
      <w:tr>
        <w:trPr>
          <w:trHeight w:val="137"/>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Payments from related parties........................................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3,665</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1,066</w:t>
            </w:r>
          </w:p>
        </w:tc>
        <w:tc>
          <w:tcPr>
            <w:tcW w:w="0" w:type="dxa"/>
            <w:vAlign w:val="bottom"/>
          </w:tcPr>
          <w:p>
            <w:pPr>
              <w:spacing w:after="0"/>
              <w:rPr>
                <w:sz w:val="1"/>
                <w:szCs w:val="1"/>
                <w:color w:val="auto"/>
              </w:rPr>
            </w:pPr>
          </w:p>
        </w:tc>
      </w:tr>
      <w:tr>
        <w:trPr>
          <w:trHeight w:val="268"/>
        </w:trPr>
        <w:tc>
          <w:tcPr>
            <w:tcW w:w="4820" w:type="dxa"/>
            <w:vAlign w:val="bottom"/>
          </w:tcPr>
          <w:p>
            <w:pPr>
              <w:ind w:left="80"/>
              <w:spacing w:after="0"/>
              <w:rPr>
                <w:sz w:val="20"/>
                <w:szCs w:val="20"/>
                <w:color w:val="auto"/>
              </w:rPr>
            </w:pPr>
            <w:r>
              <w:rPr>
                <w:rFonts w:ascii="Courier New" w:cs="Courier New" w:eastAsia="Courier New" w:hAnsi="Courier New"/>
                <w:sz w:val="12"/>
                <w:szCs w:val="12"/>
                <w:color w:val="auto"/>
              </w:rPr>
              <w:t>Distribution from unconsolidated investments in excess</w:t>
            </w: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of  earnings.........................................................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1,474</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Additions to deferred development costs..............................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(729)</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(737)</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b w:val="1"/>
                <w:bCs w:val="1"/>
                <w:color w:val="auto"/>
              </w:rPr>
              <w:t>Net cash used in investing activities................................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w w:val="98"/>
              </w:rPr>
              <w:t>(190,161)</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(186,922)</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8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Cash flows from financing activities</w:t>
            </w: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Debt proceeds........................................................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276,284</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100,000</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Debt repayments......................................................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w w:val="98"/>
              </w:rPr>
              <w:t>(176,420)</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(29,906)</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Net proceeds from sale of the OP's common units......................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7,669</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58,360</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Distributions........................................................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(72,633)</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(63,953)</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Net proceeds from sale of the OP's preferred units...................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64,805</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Redemption of preferred units........................................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(65,000)</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20" w:type="dxa"/>
            <w:vAlign w:val="bottom"/>
          </w:tcPr>
          <w:p>
            <w:pPr>
              <w:ind w:left="80"/>
              <w:spacing w:after="0"/>
              <w:rPr>
                <w:sz w:val="20"/>
                <w:szCs w:val="20"/>
                <w:color w:val="auto"/>
              </w:rPr>
            </w:pPr>
            <w:r>
              <w:rPr>
                <w:rFonts w:ascii="Courier New" w:cs="Courier New" w:eastAsia="Courier New" w:hAnsi="Courier New"/>
                <w:sz w:val="12"/>
                <w:szCs w:val="12"/>
                <w:color w:val="auto"/>
              </w:rPr>
              <w:t>Additions to deferred financing costs</w:t>
            </w:r>
          </w:p>
        </w:tc>
        <w:tc>
          <w:tcPr>
            <w:tcW w:w="660" w:type="dxa"/>
            <w:vAlign w:val="bottom"/>
          </w:tcPr>
          <w:p>
            <w:pPr>
              <w:spacing w:after="0"/>
              <w:rPr>
                <w:sz w:val="11"/>
                <w:szCs w:val="11"/>
                <w:color w:val="auto"/>
              </w:rPr>
            </w:pP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(1,408)</w:t>
            </w:r>
          </w:p>
        </w:tc>
        <w:tc>
          <w:tcPr>
            <w:tcW w:w="1600" w:type="dxa"/>
            <w:vAlign w:val="bottom"/>
          </w:tcPr>
          <w:p>
            <w:pPr>
              <w:jc w:val="right"/>
              <w:ind w:right="659"/>
              <w:spacing w:after="0"/>
              <w:rPr>
                <w:sz w:val="20"/>
                <w:szCs w:val="20"/>
                <w:color w:val="auto"/>
              </w:rPr>
            </w:pPr>
            <w:r>
              <w:rPr>
                <w:rFonts w:ascii="Courier New" w:cs="Courier New" w:eastAsia="Courier New" w:hAnsi="Courier New"/>
                <w:sz w:val="12"/>
                <w:szCs w:val="12"/>
                <w:color w:val="auto"/>
              </w:rPr>
              <w:t>(698)</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b w:val="1"/>
                <w:bCs w:val="1"/>
                <w:color w:val="auto"/>
              </w:rPr>
              <w:t>Net cash provided by financing activities............................</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33,297</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63,803</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Net (decrease) increase in cash and cash equivalents.................</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(1,343)</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6,804</w:t>
            </w:r>
          </w:p>
        </w:tc>
        <w:tc>
          <w:tcPr>
            <w:tcW w:w="0" w:type="dxa"/>
            <w:vAlign w:val="bottom"/>
          </w:tcPr>
          <w:p>
            <w:pPr>
              <w:spacing w:after="0"/>
              <w:rPr>
                <w:sz w:val="1"/>
                <w:szCs w:val="1"/>
                <w:color w:val="auto"/>
              </w:rPr>
            </w:pPr>
          </w:p>
        </w:tc>
      </w:tr>
      <w:tr>
        <w:trPr>
          <w:trHeight w:val="135"/>
        </w:trPr>
        <w:tc>
          <w:tcPr>
            <w:tcW w:w="5480" w:type="dxa"/>
            <w:vAlign w:val="bottom"/>
            <w:gridSpan w:val="2"/>
          </w:tcPr>
          <w:p>
            <w:pPr>
              <w:jc w:val="right"/>
              <w:ind w:right="290"/>
              <w:spacing w:after="0"/>
              <w:rPr>
                <w:sz w:val="20"/>
                <w:szCs w:val="20"/>
                <w:color w:val="auto"/>
              </w:rPr>
            </w:pPr>
            <w:r>
              <w:rPr>
                <w:rFonts w:ascii="Courier New" w:cs="Courier New" w:eastAsia="Courier New" w:hAnsi="Courier New"/>
                <w:sz w:val="12"/>
                <w:szCs w:val="12"/>
                <w:color w:val="auto"/>
              </w:rPr>
              <w:t>Cash and cash equivalents, beginning of period.......................</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18,476</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22,551</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20" w:type="dxa"/>
            <w:vAlign w:val="bottom"/>
          </w:tcPr>
          <w:p>
            <w:pPr>
              <w:ind w:left="80"/>
              <w:spacing w:after="0"/>
              <w:rPr>
                <w:sz w:val="20"/>
                <w:szCs w:val="20"/>
                <w:color w:val="auto"/>
              </w:rPr>
            </w:pPr>
            <w:r>
              <w:rPr>
                <w:rFonts w:ascii="Courier New" w:cs="Courier New" w:eastAsia="Courier New" w:hAnsi="Courier New"/>
                <w:sz w:val="12"/>
                <w:szCs w:val="12"/>
                <w:color w:val="auto"/>
                <w:w w:val="94"/>
              </w:rPr>
              <w:t>Cash and cash equivalents, end of period.............................</w:t>
            </w:r>
          </w:p>
        </w:tc>
        <w:tc>
          <w:tcPr>
            <w:tcW w:w="6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17,133</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$ 29,355</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48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Supplemental information:</w:t>
            </w: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820" w:type="dxa"/>
            <w:vAlign w:val="bottom"/>
          </w:tcPr>
          <w:p>
            <w:pPr>
              <w:ind w:left="220"/>
              <w:spacing w:after="0"/>
              <w:rPr>
                <w:sz w:val="20"/>
                <w:szCs w:val="20"/>
                <w:color w:val="auto"/>
              </w:rPr>
            </w:pPr>
            <w:r>
              <w:rPr>
                <w:rFonts w:ascii="Courier New" w:cs="Courier New" w:eastAsia="Courier New" w:hAnsi="Courier New"/>
                <w:sz w:val="12"/>
                <w:szCs w:val="12"/>
                <w:color w:val="auto"/>
              </w:rPr>
              <w:t>Non-cash financing activities:</w:t>
            </w: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820" w:type="dxa"/>
            <w:vAlign w:val="bottom"/>
          </w:tcPr>
          <w:p>
            <w:pPr>
              <w:ind w:left="220"/>
              <w:spacing w:after="0"/>
              <w:rPr>
                <w:sz w:val="20"/>
                <w:szCs w:val="20"/>
                <w:color w:val="auto"/>
              </w:rPr>
            </w:pPr>
            <w:r>
              <w:rPr>
                <w:rFonts w:ascii="Courier New" w:cs="Courier New" w:eastAsia="Courier New" w:hAnsi="Courier New"/>
                <w:sz w:val="12"/>
                <w:szCs w:val="12"/>
                <w:color w:val="auto"/>
                <w:w w:val="94"/>
              </w:rPr>
              <w:t>Assumption of mortgage debt .......................................</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$ 89,490</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4" w:right="1440" w:bottom="109"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 financial statements.</w:t>
      </w:r>
    </w:p>
    <w:p>
      <w:pPr>
        <w:sectPr>
          <w:pgSz w:w="11900" w:h="16838" w:orient="portrait"/>
          <w:cols w:equalWidth="0" w:num="1">
            <w:col w:w="10219"/>
          </w:cols>
          <w:pgMar w:left="240" w:top="134" w:right="1440" w:bottom="109"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ind w:right="7580" w:firstLine="8"/>
        <w:spacing w:after="0" w:line="438" w:lineRule="auto"/>
        <w:tabs>
          <w:tab w:leader="none" w:pos="21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Basis of Presentation Organization</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CPG Partners, L.P., a Delaware limited partnership, (the "Operating Partnership" or "OP") is 86% owned and managed by its sole general partner, Chelsea Property Group, Inc. (the "Company"), a self-administered and self-managed real estate investment trust ("REIT"). The OP specializes in owning, developing, leasing, marketing and managing upscale and fashion-oriented manufacturers’ outlet centers. As of September 30, 2004, the OP wholly or partially-owned 60 centers in 31 states and Japan containing approximately 16.9 million square feet of gross leasable area ("GLA"); the OP’s portfolio comprised 41 Domestic and International Outlet centers containing 14.3 million square feet of GLA (the "Outlets") and 19 other centers containing approximately 2.6 million square feet of GLA ("Other Retail") (collectively the "Properties"). The OP’s Outlets generated approximately 97% and 96% of the OP’s real estate net operating income for the nine months ended September 30, 2004, and 2003, respectively. The Outlets generally are located near metropolitan areas including New York City, Los Angeles, Chicago, Boston, Washington, D.C., San Francisco, Sacramento, Atlanta, Dallas, and Tokyo, Osaka and Fukuoka, Japan. Some Outlets are also located within 20 miles of major tourist destinations including Palm Springs, Napa Valley, Orlando, Las Vegas and Honolulu.</w:t>
      </w:r>
    </w:p>
    <w:p>
      <w:pPr>
        <w:spacing w:after="0" w:line="156" w:lineRule="exact"/>
        <w:rPr>
          <w:sz w:val="20"/>
          <w:szCs w:val="20"/>
          <w:color w:val="auto"/>
        </w:rPr>
      </w:pPr>
    </w:p>
    <w:p>
      <w:pPr>
        <w:jc w:val="both"/>
        <w:ind w:right="240"/>
        <w:spacing w:after="0" w:line="297" w:lineRule="auto"/>
        <w:rPr>
          <w:sz w:val="20"/>
          <w:szCs w:val="20"/>
          <w:color w:val="auto"/>
        </w:rPr>
      </w:pPr>
      <w:r>
        <w:rPr>
          <w:rFonts w:ascii="Arial" w:cs="Arial" w:eastAsia="Arial" w:hAnsi="Arial"/>
          <w:sz w:val="19"/>
          <w:szCs w:val="19"/>
          <w:color w:val="auto"/>
        </w:rPr>
        <w:t>The financial statements contain the accounts of the Operating Partnership and its majority owned subsidiaries. Such subsidiaries represent partnerships in which the OP has greater than a 50% ownership interest and the ability to maintain operational control. All significant intercompany transactions and accounts have been eliminated in consolidation.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Common ownership of the OP as of September 30, 2004, was approximately as follows: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2480" w:type="dxa"/>
            <w:vAlign w:val="bottom"/>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w w:val="88"/>
              </w:rPr>
              <w:t>Number of units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0"/>
              </w:rPr>
              <w:t>% of total units</w:t>
            </w:r>
          </w:p>
        </w:tc>
        <w:tc>
          <w:tcPr>
            <w:tcW w:w="0" w:type="dxa"/>
            <w:vAlign w:val="bottom"/>
          </w:tcPr>
          <w:p>
            <w:pPr>
              <w:spacing w:after="0"/>
              <w:rPr>
                <w:sz w:val="1"/>
                <w:szCs w:val="1"/>
                <w:color w:val="auto"/>
              </w:rPr>
            </w:pPr>
          </w:p>
        </w:tc>
      </w:tr>
      <w:tr>
        <w:trPr>
          <w:trHeight w:val="485"/>
        </w:trPr>
        <w:tc>
          <w:tcPr>
            <w:tcW w:w="2480" w:type="dxa"/>
            <w:vAlign w:val="bottom"/>
          </w:tcPr>
          <w:p>
            <w:pPr>
              <w:spacing w:after="0"/>
              <w:rPr>
                <w:sz w:val="20"/>
                <w:szCs w:val="20"/>
                <w:color w:val="auto"/>
              </w:rPr>
            </w:pPr>
            <w:r>
              <w:rPr>
                <w:rFonts w:ascii="Arial" w:cs="Arial" w:eastAsia="Arial" w:hAnsi="Arial"/>
                <w:sz w:val="22"/>
                <w:szCs w:val="22"/>
                <w:color w:val="auto"/>
              </w:rPr>
              <w:t>General Partner</w:t>
            </w: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44,174,000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center"/>
              <w:ind w:left="792"/>
              <w:spacing w:after="0"/>
              <w:rPr>
                <w:sz w:val="20"/>
                <w:szCs w:val="20"/>
                <w:color w:val="auto"/>
              </w:rPr>
            </w:pPr>
            <w:r>
              <w:rPr>
                <w:rFonts w:ascii="Arial" w:cs="Arial" w:eastAsia="Arial" w:hAnsi="Arial"/>
                <w:sz w:val="22"/>
                <w:szCs w:val="22"/>
                <w:color w:val="auto"/>
                <w:w w:val="89"/>
              </w:rPr>
              <w:t>86.0%</w:t>
            </w:r>
          </w:p>
        </w:tc>
        <w:tc>
          <w:tcPr>
            <w:tcW w:w="0" w:type="dxa"/>
            <w:vAlign w:val="bottom"/>
          </w:tcPr>
          <w:p>
            <w:pPr>
              <w:spacing w:after="0"/>
              <w:rPr>
                <w:sz w:val="1"/>
                <w:szCs w:val="1"/>
                <w:color w:val="auto"/>
              </w:rPr>
            </w:pPr>
          </w:p>
        </w:tc>
      </w:tr>
      <w:tr>
        <w:trPr>
          <w:trHeight w:val="224"/>
        </w:trPr>
        <w:tc>
          <w:tcPr>
            <w:tcW w:w="2480" w:type="dxa"/>
            <w:vAlign w:val="bottom"/>
          </w:tcPr>
          <w:p>
            <w:pPr>
              <w:spacing w:after="0" w:line="224" w:lineRule="exact"/>
              <w:rPr>
                <w:sz w:val="20"/>
                <w:szCs w:val="20"/>
                <w:color w:val="auto"/>
              </w:rPr>
            </w:pPr>
            <w:r>
              <w:rPr>
                <w:rFonts w:ascii="Arial" w:cs="Arial" w:eastAsia="Arial" w:hAnsi="Arial"/>
                <w:sz w:val="22"/>
                <w:szCs w:val="22"/>
                <w:color w:val="auto"/>
              </w:rPr>
              <w:t>Limited Partners</w:t>
            </w:r>
          </w:p>
        </w:tc>
        <w:tc>
          <w:tcPr>
            <w:tcW w:w="480" w:type="dxa"/>
            <w:vAlign w:val="bottom"/>
          </w:tcPr>
          <w:p>
            <w:pPr>
              <w:spacing w:after="0"/>
              <w:rPr>
                <w:sz w:val="19"/>
                <w:szCs w:val="19"/>
                <w:color w:val="auto"/>
              </w:rPr>
            </w:pPr>
          </w:p>
        </w:tc>
        <w:tc>
          <w:tcPr>
            <w:tcW w:w="980" w:type="dxa"/>
            <w:vAlign w:val="bottom"/>
          </w:tcPr>
          <w:p>
            <w:pPr>
              <w:jc w:val="right"/>
              <w:spacing w:after="0" w:line="224" w:lineRule="exact"/>
              <w:rPr>
                <w:sz w:val="20"/>
                <w:szCs w:val="20"/>
                <w:color w:val="auto"/>
              </w:rPr>
            </w:pPr>
            <w:r>
              <w:rPr>
                <w:rFonts w:ascii="Arial" w:cs="Arial" w:eastAsia="Arial" w:hAnsi="Arial"/>
                <w:sz w:val="22"/>
                <w:szCs w:val="22"/>
                <w:color w:val="auto"/>
                <w:w w:val="98"/>
              </w:rPr>
              <w:t>7,203,000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680" w:type="dxa"/>
            <w:vAlign w:val="bottom"/>
            <w:gridSpan w:val="2"/>
          </w:tcPr>
          <w:p>
            <w:pPr>
              <w:jc w:val="center"/>
              <w:spacing w:after="0" w:line="224" w:lineRule="exact"/>
              <w:rPr>
                <w:sz w:val="20"/>
                <w:szCs w:val="20"/>
                <w:color w:val="auto"/>
              </w:rPr>
            </w:pPr>
            <w:r>
              <w:rPr>
                <w:rFonts w:ascii="Arial" w:cs="Arial" w:eastAsia="Arial" w:hAnsi="Arial"/>
                <w:sz w:val="22"/>
                <w:szCs w:val="22"/>
                <w:color w:val="auto"/>
                <w:w w:val="89"/>
              </w:rPr>
              <w:t>14.0%</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22"/>
                <w:szCs w:val="22"/>
                <w:b w:val="1"/>
                <w:bCs w:val="1"/>
                <w:color w:val="auto"/>
              </w:rPr>
              <w:t>Total</w:t>
            </w: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48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22"/>
                <w:szCs w:val="22"/>
                <w:color w:val="auto"/>
                <w:w w:val="92"/>
              </w:rPr>
              <w:t>51,377,000</w:t>
            </w:r>
          </w:p>
        </w:tc>
        <w:tc>
          <w:tcPr>
            <w:tcW w:w="1580" w:type="dxa"/>
            <w:vAlign w:val="bottom"/>
            <w:gridSpan w:val="4"/>
          </w:tcPr>
          <w:p>
            <w:pPr>
              <w:jc w:val="center"/>
              <w:ind w:left="792"/>
              <w:spacing w:after="0"/>
              <w:rPr>
                <w:sz w:val="20"/>
                <w:szCs w:val="20"/>
                <w:color w:val="auto"/>
              </w:rPr>
            </w:pPr>
            <w:r>
              <w:rPr>
                <w:rFonts w:ascii="Arial" w:cs="Arial" w:eastAsia="Arial" w:hAnsi="Arial"/>
                <w:sz w:val="22"/>
                <w:szCs w:val="22"/>
                <w:color w:val="auto"/>
                <w:w w:val="91"/>
              </w:rPr>
              <w:t>100.0%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fair presentation have been included. Operating results for the nine months ended September 30, 2004, are not necessarily indicative of the results that may be expected for the year ending December 31, 2004. The balance sheet at December 31, 2003 has been derived from the audited financial statements at that date but does not include all of the information and footnotes required by accounting principles generally accepted in the United States for complete financial statements. These financial statements should be read in conjunction with the consolidated financial statements and accompanying notes included in the Company’s Annual Report on Form 10-K for the year ended December 31, 2003.</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Certain amounts in the prior year financial statements have been reclassified to conform to current year presentation.</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ind w:right="7600" w:firstLine="8"/>
        <w:spacing w:after="0" w:line="438" w:lineRule="auto"/>
        <w:tabs>
          <w:tab w:leader="none" w:pos="216"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Mergers, Acquisitions and Dispositions Mergers</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On June 21, 2004, Simon Property Group, Inc. ("Simon") and the Company announced a merger agreement (the "Merger Agreement") whereby Simon would acquire all of the outstanding common stock of the Company and operating partnership units of the OP in a transaction valued at approximately $5.1 billion, including the assumption of debt. The merger was approved by the Company shareholders and closed on October 14, 2004.</w:t>
      </w:r>
    </w:p>
    <w:p>
      <w:pPr>
        <w:spacing w:after="0" w:line="18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Company's common shareholders received consideration of $36.00 per share for each share of common stock in cash, a fractional share of 0.2936 of Simon common stock, and a fractional share of 0.3000 of Simon 6% Series I convertible perpetual preferred stock. The holders of OP limited partnership common units exchanged their units for common and convertible preferred units of the Simon Operating Partnership.</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CPG Partners, L.P. became a wholly-owned subsidiary of Simon Property Group, L.P. on October 14, 2004. The OP incurred costs of approximately $20 million in the fourth quarter 2004 in conjunction with the merger.</w:t>
      </w:r>
    </w:p>
    <w:p>
      <w:pPr>
        <w:spacing w:after="0" w:line="173"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The class-action suit that was filed against the Company and its Board of Directors related to the merger was settled and is discussed more completely in Part II, Item 1.</w:t>
      </w:r>
    </w:p>
    <w:p>
      <w:pPr>
        <w:sectPr>
          <w:pgSz w:w="11900" w:h="16838" w:orient="portrait"/>
          <w:cols w:equalWidth="0" w:num="1">
            <w:col w:w="11420"/>
          </w:cols>
          <w:pgMar w:left="240" w:top="112"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Acquisitions</w:t>
      </w:r>
    </w:p>
    <w:p>
      <w:pPr>
        <w:spacing w:after="0" w:line="21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In September 2004, the OP completed an all-cash acquisition of Carlsbad Company Stores, a 290,000 square foot shopping center located in Carlsbad, California for $102.9 million. The OP exercised its option, which was granted prior to development of the center, to acquire the shopping center from a privately held company. The OP entered into a $100 million term loan to fund the acquisition. The term loan was repaid on October 14, 2004 in conjunction with the OP’s merger with Simon.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OP sold two non-core centers in April and May 2004: Factory Stores of America in Lake George, New York and in Iowa, Louisiana. Net proceeds from the sales of the two centers were $1.6 million and the combined net book value was $2.5 million. Accordingly, the OP recognized a $0.9 million impairment loss in the first quarter 2004, which was included in other expense in the accompanying financial statements.</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OP sold a 64,000 square-foot non-core center, Factory Stores of America in Hempstead, Texas in September 2004, generating net proceeds of approximately $0.5 million, which approximated the net book value.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w:t>
      </w:r>
    </w:p>
    <w:p>
      <w:pPr>
        <w:spacing w:after="0" w:line="21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OP holds interests in several domestic and international joint ventures. Non-controlling investments are accounted for under the equity method. Equity in earnings or losses of these affiliates, and related management, advisory, license, leasing and guarantee fees earned, are included in income from unconsolidated investments in the accompanying financial statements.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of September 30, 2004, the OP’s interests in joint ventures included a 50% interest in Las Vegas Premium Outlets ("Simon-Las Vegas") and a 50% interest in Chicago Premium Outlets ("Simon-Chicago") with Simon Property Group, Inc. (collectively "Simon-Ventures"); a 40% interest in Chelsea Japan Co., Ltd. ("Chelsea Japan"); a 50% interest in a strategic alliance with Sordo Madaleno y Asociados and affiliates ("Chelsea Mexico") and minority interests in various outlet centers and development projects in Europe operated by Value Retail PLC ("Value Retail").</w:t>
      </w:r>
    </w:p>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In March 2004, Chelsea Japan opened its fourth project, the 187,000 square-foot first phase of Tosu Premium Outlets located approximately 20 miles south of Fukuoka, Japan. Chelsea Japan owns and operates three other centers: Gotemba Premium Outlets, a 390,000 square-foot property located 60 miles west of Tokyo; Rinku Premium Outlets, a 250,000 square-foot property located near Osaka, scheduled to expand by an additional 70,000 square feet in late 2004; and Sano Premium Outlets, a 229,000 square-foot property including a 51,000 square foot expansion that opened in July 2004. Sano is located 40 miles north of Tokyo.</w:t>
      </w:r>
    </w:p>
    <w:p>
      <w:pPr>
        <w:spacing w:after="0" w:line="148"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In August 2002, the OP and Simon entered into a 50/50 joint venture to develop and operate Chicago Premium Outlets, a 438,000 square-foot single-phase Premium Outlet center located in Aurora, Illinois, near Chicago, which opened in May 2004.</w:t>
      </w:r>
    </w:p>
    <w:p>
      <w:pPr>
        <w:spacing w:after="0" w:line="105"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In June 2002, the OP and Simon entered into a 50/50 joint venture to develop and operate Las Vegas Premium Outlets, a 435,000 square-foot single-phase outlet center located in Las Vegas, Nevada, which opened on August 1, 2003.</w:t>
      </w:r>
    </w:p>
    <w:p>
      <w:pPr>
        <w:spacing w:after="0" w:line="151"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In May 2002, the OP entered into a 50/50 joint venture agreement with Sordo Madaleno y Asociados and affiliates to jointly develop Premium Outlet centers in Mexico. Construction on the 230,000 square-foot first phase of Premium Outlets Punta Norte commenced in July 2003; the center is scheduled to open in late 2004. The OP is responsible for financing its 50% share of project costs or approximately $16.0 million. As of September 30, 2004, the OP had contributed $13.5 million toward project costs and capitalized professional and other costs of $4.2 million. In January 2004, an affiliate of the OP entered into a 180.0 million peso-denominated credit facility to fund its share of construction costs for the Premium Outlets Punta Norte. The credit facility is guaranteed by the Company and the OP.</w:t>
      </w:r>
    </w:p>
    <w:p>
      <w:pPr>
        <w:spacing w:after="0" w:line="178"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The OP has minority interests ranging from 3% to 8% in several outlet centers and outlet development projects in Europe. The OP’s total investment in Europe as of September 30, 2004 was $3.6 million.</w:t>
      </w:r>
    </w:p>
    <w:p>
      <w:pPr>
        <w:spacing w:after="0" w:line="173"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On February 17, 2004, the OP announced a joint venture between Chelsea Interactive and a publicly traded third party, GSI Commerce, Inc. Under the terms of the agreement, Chelsea Interactive would no longer operate its e-commerce technology platform, but would retain a minority interest in GSI-Chelsea Solutions. Chelsea Interactive’s largest clients entered into service agreements with GSI-Chelsea Solutions and transitioned e-commerce activities to the GSI-Chelsea platform in May 2004. A gain of approximately $1.0 million was recognized from the wind-down of operations of Chelsea Interactive during the second quarter 2004 and is included in other expense in the accompanying financial statements. The OP owns 100% of the non-voting preferred stock of Chelsea Interactive and 50% of the non-voting common stock representing 40% of the total common stock of Chelsea Interactive.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400"/>
          </w:cols>
          <w:pgMar w:left="240" w:top="112" w:right="259" w:bottom="2"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investments in and amounts due from affiliates at September 30, 2004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80" w:type="dxa"/>
            <w:vAlign w:val="bottom"/>
          </w:tcPr>
          <w:p>
            <w:pPr>
              <w:spacing w:after="0"/>
              <w:rPr>
                <w:sz w:val="11"/>
                <w:szCs w:val="11"/>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Chelsea</w:t>
            </w:r>
          </w:p>
        </w:tc>
        <w:tc>
          <w:tcPr>
            <w:tcW w:w="116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Simon</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Chelsea</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Japan</w:t>
            </w:r>
          </w:p>
        </w:tc>
        <w:tc>
          <w:tcPr>
            <w:tcW w:w="116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Ventures</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Mexico</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Other</w:t>
            </w:r>
          </w:p>
        </w:tc>
        <w:tc>
          <w:tcPr>
            <w:tcW w:w="102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180" w:type="dxa"/>
            <w:vAlign w:val="bottom"/>
          </w:tcPr>
          <w:p>
            <w:pPr>
              <w:spacing w:after="0"/>
              <w:rPr>
                <w:sz w:val="11"/>
                <w:szCs w:val="11"/>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Balance December 31, 2003</w:t>
            </w: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$19,461</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$77,739</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$6,212</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$3,656</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$107,068</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Additional investment...............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3,413</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19,600</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11,881</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34,894</w:t>
            </w:r>
          </w:p>
        </w:tc>
      </w:tr>
      <w:tr>
        <w:trPr>
          <w:trHeight w:val="268"/>
        </w:trPr>
        <w:tc>
          <w:tcPr>
            <w:tcW w:w="31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Income from unconsolidated</w:t>
            </w:r>
          </w:p>
        </w:tc>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7"/>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investments........................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8,893</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8,505</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17,398</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Distributions and fees..............</w:t>
            </w: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(5,448)</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(9,980)</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(15,428)</w:t>
            </w:r>
          </w:p>
        </w:tc>
      </w:tr>
      <w:tr>
        <w:trPr>
          <w:trHeight w:val="405"/>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Foreign exchange....................</w:t>
            </w: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(247)</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(314)</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(561)</w:t>
            </w:r>
          </w:p>
        </w:tc>
      </w:tr>
      <w:tr>
        <w:trPr>
          <w:trHeight w:val="268"/>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Advances (net) .....................</w:t>
            </w: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(3,218)</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2,272</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46</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(900)</w:t>
            </w:r>
          </w:p>
        </w:tc>
      </w:tr>
      <w:tr>
        <w:trPr>
          <w:trHeight w:val="137"/>
        </w:trPr>
        <w:tc>
          <w:tcPr>
            <w:tcW w:w="3180" w:type="dxa"/>
            <w:vAlign w:val="bottom"/>
          </w:tcPr>
          <w:p>
            <w:pPr>
              <w:spacing w:after="0"/>
              <w:rPr>
                <w:sz w:val="11"/>
                <w:szCs w:val="11"/>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r>
      <w:tr>
        <w:trPr>
          <w:trHeight w:val="268"/>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Balance September 30, 2004.............</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$22,854</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$98,136</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$17,779</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$3,702</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$142,471</w:t>
            </w:r>
          </w:p>
        </w:tc>
      </w:tr>
      <w:tr>
        <w:trPr>
          <w:trHeight w:val="137"/>
        </w:trPr>
        <w:tc>
          <w:tcPr>
            <w:tcW w:w="3180" w:type="dxa"/>
            <w:vAlign w:val="bottom"/>
          </w:tcPr>
          <w:p>
            <w:pPr>
              <w:spacing w:after="0"/>
              <w:rPr>
                <w:sz w:val="11"/>
                <w:szCs w:val="11"/>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2"/>
                <w:szCs w:val="12"/>
                <w:color w:val="auto"/>
                <w:w w:val="98"/>
              </w:rPr>
              <w:t>===========</w:t>
            </w:r>
          </w:p>
        </w:tc>
      </w:tr>
    </w:tbl>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OP’s share of income (loss) before depreciation, depreciation expense, and income (loss) from unconsolidated investments for the three and nine months ended September 30, 2004 and 2003, is as follows (in thousands):</w:t>
      </w:r>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0" w:type="dxa"/>
            <w:vAlign w:val="bottom"/>
            <w:gridSpan w:val="2"/>
          </w:tcPr>
          <w:p>
            <w:pPr>
              <w:jc w:val="right"/>
              <w:ind w:right="599"/>
              <w:spacing w:after="0"/>
              <w:rPr>
                <w:sz w:val="20"/>
                <w:szCs w:val="20"/>
                <w:color w:val="auto"/>
              </w:rPr>
            </w:pPr>
            <w:r>
              <w:rPr>
                <w:rFonts w:ascii="Courier New" w:cs="Courier New" w:eastAsia="Courier New" w:hAnsi="Courier New"/>
                <w:sz w:val="12"/>
                <w:szCs w:val="12"/>
                <w:b w:val="1"/>
                <w:bCs w:val="1"/>
                <w:color w:val="auto"/>
              </w:rPr>
              <w:t>Three Months Ended September 30,</w:t>
            </w:r>
          </w:p>
        </w:tc>
        <w:tc>
          <w:tcPr>
            <w:tcW w:w="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300" w:type="dxa"/>
            <w:vAlign w:val="bottom"/>
            <w:gridSpan w:val="6"/>
          </w:tcPr>
          <w:p>
            <w:pPr>
              <w:ind w:left="80"/>
              <w:spacing w:after="0"/>
              <w:rPr>
                <w:sz w:val="20"/>
                <w:szCs w:val="20"/>
                <w:color w:val="auto"/>
              </w:rPr>
            </w:pPr>
            <w:r>
              <w:rPr>
                <w:rFonts w:ascii="Courier New" w:cs="Courier New" w:eastAsia="Courier New" w:hAnsi="Courier New"/>
                <w:sz w:val="12"/>
                <w:szCs w:val="12"/>
                <w:b w:val="1"/>
                <w:bCs w:val="1"/>
                <w:color w:val="auto"/>
              </w:rPr>
              <w:t>-------------------------------------------------- -----------------------------------------------</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2004</w:t>
            </w:r>
          </w:p>
        </w:tc>
        <w:tc>
          <w:tcPr>
            <w:tcW w:w="1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2003</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300" w:type="dxa"/>
            <w:vAlign w:val="bottom"/>
            <w:gridSpan w:val="6"/>
          </w:tcPr>
          <w:p>
            <w:pPr>
              <w:ind w:left="80"/>
              <w:spacing w:after="0"/>
              <w:rPr>
                <w:sz w:val="20"/>
                <w:szCs w:val="20"/>
                <w:color w:val="auto"/>
              </w:rPr>
            </w:pPr>
            <w:r>
              <w:rPr>
                <w:rFonts w:ascii="Courier New" w:cs="Courier New" w:eastAsia="Courier New" w:hAnsi="Courier New"/>
                <w:sz w:val="12"/>
                <w:szCs w:val="12"/>
                <w:b w:val="1"/>
                <w:bCs w:val="1"/>
                <w:color w:val="auto"/>
              </w:rPr>
              <w:t>-------------------------------------------------- -----------------------------------------------</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Income</w:t>
            </w: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jc w:val="right"/>
              <w:ind w:right="679"/>
              <w:spacing w:after="0"/>
              <w:rPr>
                <w:sz w:val="20"/>
                <w:szCs w:val="20"/>
                <w:color w:val="auto"/>
              </w:rPr>
            </w:pPr>
            <w:r>
              <w:rPr>
                <w:rFonts w:ascii="Courier New" w:cs="Courier New" w:eastAsia="Courier New" w:hAnsi="Courier New"/>
                <w:sz w:val="12"/>
                <w:szCs w:val="12"/>
                <w:b w:val="1"/>
                <w:bCs w:val="1"/>
                <w:color w:val="auto"/>
              </w:rPr>
              <w:t>Income</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ind w:left="500"/>
              <w:spacing w:after="0"/>
              <w:rPr>
                <w:sz w:val="20"/>
                <w:szCs w:val="20"/>
                <w:color w:val="auto"/>
              </w:rPr>
            </w:pPr>
            <w:r>
              <w:rPr>
                <w:rFonts w:ascii="Courier New" w:cs="Courier New" w:eastAsia="Courier New" w:hAnsi="Courier New"/>
                <w:sz w:val="12"/>
                <w:szCs w:val="12"/>
                <w:b w:val="1"/>
                <w:bCs w:val="1"/>
                <w:color w:val="auto"/>
              </w:rPr>
              <w:t>Income</w:t>
            </w:r>
          </w:p>
        </w:tc>
        <w:tc>
          <w:tcPr>
            <w:tcW w:w="800" w:type="dxa"/>
            <w:vAlign w:val="bottom"/>
          </w:tcPr>
          <w:p>
            <w:pPr>
              <w:spacing w:after="0"/>
              <w:rPr>
                <w:sz w:val="11"/>
                <w:szCs w:val="11"/>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7"/>
              </w:rPr>
              <w:t>from</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b w:val="1"/>
                <w:bCs w:val="1"/>
                <w:color w:val="auto"/>
              </w:rPr>
              <w:t>Income</w:t>
            </w:r>
          </w:p>
        </w:tc>
        <w:tc>
          <w:tcPr>
            <w:tcW w:w="800" w:type="dxa"/>
            <w:vAlign w:val="bottom"/>
          </w:tcPr>
          <w:p>
            <w:pPr>
              <w:spacing w:after="0"/>
              <w:rPr>
                <w:sz w:val="11"/>
                <w:szCs w:val="11"/>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(loss) from</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ind w:left="500"/>
              <w:spacing w:after="0"/>
              <w:rPr>
                <w:sz w:val="20"/>
                <w:szCs w:val="20"/>
                <w:color w:val="auto"/>
              </w:rPr>
            </w:pPr>
            <w:r>
              <w:rPr>
                <w:rFonts w:ascii="Courier New" w:cs="Courier New" w:eastAsia="Courier New" w:hAnsi="Courier New"/>
                <w:sz w:val="12"/>
                <w:szCs w:val="12"/>
                <w:b w:val="1"/>
                <w:bCs w:val="1"/>
                <w:color w:val="auto"/>
              </w:rPr>
              <w:t>before</w:t>
            </w:r>
          </w:p>
        </w:tc>
        <w:tc>
          <w:tcPr>
            <w:tcW w:w="800" w:type="dxa"/>
            <w:vAlign w:val="bottom"/>
          </w:tcPr>
          <w:p>
            <w:pPr>
              <w:spacing w:after="0"/>
              <w:rPr>
                <w:sz w:val="11"/>
                <w:szCs w:val="11"/>
                <w:color w:val="auto"/>
              </w:rPr>
            </w:pPr>
          </w:p>
        </w:tc>
        <w:tc>
          <w:tcPr>
            <w:tcW w:w="1760" w:type="dxa"/>
            <w:vAlign w:val="bottom"/>
          </w:tcPr>
          <w:p>
            <w:pPr>
              <w:ind w:left="520"/>
              <w:spacing w:after="0"/>
              <w:rPr>
                <w:sz w:val="20"/>
                <w:szCs w:val="20"/>
                <w:color w:val="auto"/>
              </w:rPr>
            </w:pPr>
            <w:r>
              <w:rPr>
                <w:rFonts w:ascii="Courier New" w:cs="Courier New" w:eastAsia="Courier New" w:hAnsi="Courier New"/>
                <w:sz w:val="12"/>
                <w:szCs w:val="12"/>
                <w:b w:val="1"/>
                <w:bCs w:val="1"/>
                <w:color w:val="auto"/>
              </w:rPr>
              <w:t>unconsolidated</w:t>
            </w:r>
          </w:p>
        </w:tc>
        <w:tc>
          <w:tcPr>
            <w:tcW w:w="1240" w:type="dxa"/>
            <w:vAlign w:val="bottom"/>
          </w:tcPr>
          <w:p>
            <w:pPr>
              <w:jc w:val="center"/>
              <w:ind w:left="219"/>
              <w:spacing w:after="0"/>
              <w:rPr>
                <w:sz w:val="20"/>
                <w:szCs w:val="20"/>
                <w:color w:val="auto"/>
              </w:rPr>
            </w:pPr>
            <w:r>
              <w:rPr>
                <w:rFonts w:ascii="Courier New" w:cs="Courier New" w:eastAsia="Courier New" w:hAnsi="Courier New"/>
                <w:sz w:val="12"/>
                <w:szCs w:val="12"/>
                <w:b w:val="1"/>
                <w:bCs w:val="1"/>
                <w:color w:val="auto"/>
              </w:rPr>
              <w:t>(loss) before</w:t>
            </w:r>
          </w:p>
        </w:tc>
        <w:tc>
          <w:tcPr>
            <w:tcW w:w="800" w:type="dxa"/>
            <w:vAlign w:val="bottom"/>
          </w:tcPr>
          <w:p>
            <w:pPr>
              <w:spacing w:after="0"/>
              <w:rPr>
                <w:sz w:val="11"/>
                <w:szCs w:val="11"/>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unconsolidated</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ind w:left="500"/>
              <w:spacing w:after="0"/>
              <w:rPr>
                <w:sz w:val="20"/>
                <w:szCs w:val="20"/>
                <w:color w:val="auto"/>
              </w:rPr>
            </w:pPr>
            <w:r>
              <w:rPr>
                <w:rFonts w:ascii="Courier New" w:cs="Courier New" w:eastAsia="Courier New" w:hAnsi="Courier New"/>
                <w:sz w:val="12"/>
                <w:szCs w:val="12"/>
                <w:b w:val="1"/>
                <w:bCs w:val="1"/>
                <w:color w:val="auto"/>
              </w:rPr>
              <w:t>depr.</w:t>
            </w:r>
          </w:p>
        </w:tc>
        <w:tc>
          <w:tcPr>
            <w:tcW w:w="80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9"/>
              </w:rPr>
              <w:t>Depr.</w:t>
            </w:r>
          </w:p>
        </w:tc>
        <w:tc>
          <w:tcPr>
            <w:tcW w:w="17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investments</w:t>
            </w:r>
          </w:p>
        </w:tc>
        <w:tc>
          <w:tcPr>
            <w:tcW w:w="1240" w:type="dxa"/>
            <w:vAlign w:val="bottom"/>
          </w:tcPr>
          <w:p>
            <w:pPr>
              <w:jc w:val="center"/>
              <w:ind w:left="219"/>
              <w:spacing w:after="0"/>
              <w:rPr>
                <w:sz w:val="20"/>
                <w:szCs w:val="20"/>
                <w:color w:val="auto"/>
              </w:rPr>
            </w:pPr>
            <w:r>
              <w:rPr>
                <w:rFonts w:ascii="Courier New" w:cs="Courier New" w:eastAsia="Courier New" w:hAnsi="Courier New"/>
                <w:sz w:val="12"/>
                <w:szCs w:val="12"/>
                <w:b w:val="1"/>
                <w:bCs w:val="1"/>
                <w:color w:val="auto"/>
                <w:w w:val="99"/>
              </w:rPr>
              <w:t>depr.</w:t>
            </w:r>
          </w:p>
        </w:tc>
        <w:tc>
          <w:tcPr>
            <w:tcW w:w="80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Depr</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investments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ind w:left="440"/>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w:t>
            </w:r>
          </w:p>
        </w:tc>
        <w:tc>
          <w:tcPr>
            <w:tcW w:w="17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154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20"/>
                <w:szCs w:val="20"/>
                <w:color w:val="auto"/>
              </w:rPr>
            </w:pPr>
            <w:r>
              <w:rPr>
                <w:rFonts w:ascii="Courier New" w:cs="Courier New" w:eastAsia="Courier New" w:hAnsi="Courier New"/>
                <w:sz w:val="12"/>
                <w:szCs w:val="12"/>
                <w:b w:val="1"/>
                <w:bCs w:val="1"/>
                <w:color w:val="auto"/>
              </w:rPr>
              <w:t>Chelsea Japan</w:t>
            </w:r>
            <w:r>
              <w:rPr>
                <w:rFonts w:ascii="Courier New" w:cs="Courier New" w:eastAsia="Courier New" w:hAnsi="Courier New"/>
                <w:sz w:val="12"/>
                <w:szCs w:val="12"/>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$4,224</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$1,324</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$2,900</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$3,101</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$978</w:t>
            </w:r>
          </w:p>
        </w:tc>
        <w:tc>
          <w:tcPr>
            <w:tcW w:w="154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$2,123</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Courier New" w:cs="Courier New" w:eastAsia="Courier New" w:hAnsi="Courier New"/>
                <w:sz w:val="12"/>
                <w:szCs w:val="12"/>
                <w:color w:val="auto"/>
              </w:rPr>
              <w:t>S/C Las Vegas......</w:t>
            </w: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2,942</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528</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2,414</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1,201</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199</w:t>
            </w:r>
          </w:p>
        </w:tc>
        <w:tc>
          <w:tcPr>
            <w:tcW w:w="154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1,002</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2"/>
                <w:szCs w:val="12"/>
                <w:color w:val="auto"/>
              </w:rPr>
              <w:t>S/C Chicago.........</w:t>
            </w: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2,184</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447</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1,737</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5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9"/>
              </w:rPr>
              <w:t>----------</w:t>
            </w:r>
          </w:p>
        </w:tc>
        <w:tc>
          <w:tcPr>
            <w:tcW w:w="17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$9,350</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$2,299</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$7,051</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$4,302</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$1,177</w:t>
            </w:r>
          </w:p>
        </w:tc>
        <w:tc>
          <w:tcPr>
            <w:tcW w:w="1540" w:type="dxa"/>
            <w:vAlign w:val="bottom"/>
          </w:tcPr>
          <w:p>
            <w:pPr>
              <w:jc w:val="right"/>
              <w:ind w:right="539"/>
              <w:spacing w:after="0"/>
              <w:rPr>
                <w:sz w:val="20"/>
                <w:szCs w:val="20"/>
                <w:color w:val="auto"/>
              </w:rPr>
            </w:pPr>
            <w:r>
              <w:rPr>
                <w:rFonts w:ascii="Courier New" w:cs="Courier New" w:eastAsia="Courier New" w:hAnsi="Courier New"/>
                <w:sz w:val="12"/>
                <w:szCs w:val="12"/>
                <w:color w:val="auto"/>
              </w:rPr>
              <w:t>$3,125</w:t>
            </w:r>
          </w:p>
        </w:tc>
        <w:tc>
          <w:tcPr>
            <w:tcW w:w="0" w:type="dxa"/>
            <w:vAlign w:val="bottom"/>
          </w:tcPr>
          <w:p>
            <w:pPr>
              <w:spacing w:after="0"/>
              <w:rPr>
                <w:sz w:val="1"/>
                <w:szCs w:val="1"/>
                <w:color w:val="auto"/>
              </w:rPr>
            </w:pPr>
          </w:p>
        </w:tc>
      </w:tr>
      <w:tr>
        <w:trPr>
          <w:trHeight w:val="137"/>
        </w:trPr>
        <w:tc>
          <w:tcPr>
            <w:tcW w:w="1760" w:type="dxa"/>
            <w:vAlign w:val="bottom"/>
            <w:vMerge w:val="restart"/>
          </w:tcPr>
          <w:p>
            <w:pPr>
              <w:spacing w:after="0"/>
              <w:rPr>
                <w:sz w:val="20"/>
                <w:szCs w:val="20"/>
                <w:color w:val="auto"/>
              </w:rPr>
            </w:pPr>
            <w:r>
              <w:rPr>
                <w:rFonts w:ascii="Courier New" w:cs="Courier New" w:eastAsia="Courier New" w:hAnsi="Courier New"/>
                <w:sz w:val="12"/>
                <w:szCs w:val="12"/>
                <w:color w:val="auto"/>
              </w:rPr>
              <w:t>Chelsea</w:t>
            </w: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9"/>
              </w:rPr>
              <w:t>==========</w:t>
            </w:r>
          </w:p>
        </w:tc>
        <w:tc>
          <w:tcPr>
            <w:tcW w:w="17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17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20"/>
                <w:szCs w:val="20"/>
                <w:color w:val="auto"/>
              </w:rPr>
            </w:pPr>
            <w:r>
              <w:rPr>
                <w:rFonts w:ascii="Courier New" w:cs="Courier New" w:eastAsia="Courier New" w:hAnsi="Courier New"/>
                <w:sz w:val="12"/>
                <w:szCs w:val="12"/>
                <w:color w:val="auto"/>
              </w:rPr>
              <w:t>Interactive (1)......</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$(677)</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$(677)</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11"/>
                <w:szCs w:val="11"/>
                <w:color w:val="auto"/>
              </w:rPr>
            </w:pP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9"/>
              </w:rPr>
              <w:t>==========</w:t>
            </w:r>
          </w:p>
        </w:tc>
        <w:tc>
          <w:tcPr>
            <w:tcW w:w="17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0" w:type="dxa"/>
            <w:vAlign w:val="bottom"/>
            <w:gridSpan w:val="2"/>
          </w:tcPr>
          <w:p>
            <w:pPr>
              <w:jc w:val="right"/>
              <w:ind w:right="79"/>
              <w:spacing w:after="0"/>
              <w:rPr>
                <w:sz w:val="20"/>
                <w:szCs w:val="20"/>
                <w:color w:val="auto"/>
              </w:rPr>
            </w:pPr>
            <w:r>
              <w:rPr>
                <w:rFonts w:ascii="Courier New" w:cs="Courier New" w:eastAsia="Courier New" w:hAnsi="Courier New"/>
                <w:sz w:val="12"/>
                <w:szCs w:val="12"/>
                <w:b w:val="1"/>
                <w:bCs w:val="1"/>
                <w:color w:val="auto"/>
              </w:rPr>
              <w:t>Nine Months Ended September 30,</w:t>
            </w:r>
          </w:p>
        </w:tc>
        <w:tc>
          <w:tcPr>
            <w:tcW w:w="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300" w:type="dxa"/>
            <w:vAlign w:val="bottom"/>
            <w:gridSpan w:val="6"/>
          </w:tcPr>
          <w:p>
            <w:pPr>
              <w:ind w:left="80"/>
              <w:spacing w:after="0"/>
              <w:rPr>
                <w:sz w:val="20"/>
                <w:szCs w:val="20"/>
                <w:color w:val="auto"/>
              </w:rPr>
            </w:pPr>
            <w:r>
              <w:rPr>
                <w:rFonts w:ascii="Courier New" w:cs="Courier New" w:eastAsia="Courier New" w:hAnsi="Courier New"/>
                <w:sz w:val="12"/>
                <w:szCs w:val="12"/>
                <w:b w:val="1"/>
                <w:bCs w:val="1"/>
                <w:color w:val="auto"/>
              </w:rPr>
              <w:t>-------------------------------------------------- ------------------------------------------------</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2004</w:t>
            </w:r>
          </w:p>
        </w:tc>
        <w:tc>
          <w:tcPr>
            <w:tcW w:w="1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2003</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300" w:type="dxa"/>
            <w:vAlign w:val="bottom"/>
            <w:gridSpan w:val="6"/>
          </w:tcPr>
          <w:p>
            <w:pPr>
              <w:ind w:left="80"/>
              <w:spacing w:after="0"/>
              <w:rPr>
                <w:sz w:val="20"/>
                <w:szCs w:val="20"/>
                <w:color w:val="auto"/>
              </w:rPr>
            </w:pPr>
            <w:r>
              <w:rPr>
                <w:rFonts w:ascii="Courier New" w:cs="Courier New" w:eastAsia="Courier New" w:hAnsi="Courier New"/>
                <w:sz w:val="12"/>
                <w:szCs w:val="12"/>
                <w:b w:val="1"/>
                <w:bCs w:val="1"/>
                <w:color w:val="auto"/>
              </w:rPr>
              <w:t>------------------------------------------------ ------------------------------------------------</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Income</w:t>
            </w: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jc w:val="right"/>
              <w:ind w:right="679"/>
              <w:spacing w:after="0"/>
              <w:rPr>
                <w:sz w:val="20"/>
                <w:szCs w:val="20"/>
                <w:color w:val="auto"/>
              </w:rPr>
            </w:pPr>
            <w:r>
              <w:rPr>
                <w:rFonts w:ascii="Courier New" w:cs="Courier New" w:eastAsia="Courier New" w:hAnsi="Courier New"/>
                <w:sz w:val="12"/>
                <w:szCs w:val="12"/>
                <w:b w:val="1"/>
                <w:bCs w:val="1"/>
                <w:color w:val="auto"/>
              </w:rPr>
              <w:t>Income</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ind w:left="500"/>
              <w:spacing w:after="0"/>
              <w:rPr>
                <w:sz w:val="20"/>
                <w:szCs w:val="20"/>
                <w:color w:val="auto"/>
              </w:rPr>
            </w:pPr>
            <w:r>
              <w:rPr>
                <w:rFonts w:ascii="Courier New" w:cs="Courier New" w:eastAsia="Courier New" w:hAnsi="Courier New"/>
                <w:sz w:val="12"/>
                <w:szCs w:val="12"/>
                <w:b w:val="1"/>
                <w:bCs w:val="1"/>
                <w:color w:val="auto"/>
              </w:rPr>
              <w:t>Income</w:t>
            </w:r>
          </w:p>
        </w:tc>
        <w:tc>
          <w:tcPr>
            <w:tcW w:w="800" w:type="dxa"/>
            <w:vAlign w:val="bottom"/>
          </w:tcPr>
          <w:p>
            <w:pPr>
              <w:spacing w:after="0"/>
              <w:rPr>
                <w:sz w:val="11"/>
                <w:szCs w:val="11"/>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7"/>
              </w:rPr>
              <w:t>from</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b w:val="1"/>
                <w:bCs w:val="1"/>
                <w:color w:val="auto"/>
              </w:rPr>
              <w:t>Income</w:t>
            </w:r>
          </w:p>
        </w:tc>
        <w:tc>
          <w:tcPr>
            <w:tcW w:w="800" w:type="dxa"/>
            <w:vAlign w:val="bottom"/>
          </w:tcPr>
          <w:p>
            <w:pPr>
              <w:spacing w:after="0"/>
              <w:rPr>
                <w:sz w:val="11"/>
                <w:szCs w:val="11"/>
                <w:color w:val="auto"/>
              </w:rPr>
            </w:pPr>
          </w:p>
        </w:tc>
        <w:tc>
          <w:tcPr>
            <w:tcW w:w="154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(loss) from</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ind w:left="500"/>
              <w:spacing w:after="0"/>
              <w:rPr>
                <w:sz w:val="20"/>
                <w:szCs w:val="20"/>
                <w:color w:val="auto"/>
              </w:rPr>
            </w:pPr>
            <w:r>
              <w:rPr>
                <w:rFonts w:ascii="Courier New" w:cs="Courier New" w:eastAsia="Courier New" w:hAnsi="Courier New"/>
                <w:sz w:val="12"/>
                <w:szCs w:val="12"/>
                <w:b w:val="1"/>
                <w:bCs w:val="1"/>
                <w:color w:val="auto"/>
              </w:rPr>
              <w:t>before</w:t>
            </w:r>
          </w:p>
        </w:tc>
        <w:tc>
          <w:tcPr>
            <w:tcW w:w="800" w:type="dxa"/>
            <w:vAlign w:val="bottom"/>
          </w:tcPr>
          <w:p>
            <w:pPr>
              <w:spacing w:after="0"/>
              <w:rPr>
                <w:sz w:val="11"/>
                <w:szCs w:val="11"/>
                <w:color w:val="auto"/>
              </w:rPr>
            </w:pPr>
          </w:p>
        </w:tc>
        <w:tc>
          <w:tcPr>
            <w:tcW w:w="17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unconsolidated</w:t>
            </w:r>
          </w:p>
        </w:tc>
        <w:tc>
          <w:tcPr>
            <w:tcW w:w="1240" w:type="dxa"/>
            <w:vAlign w:val="bottom"/>
          </w:tcPr>
          <w:p>
            <w:pPr>
              <w:jc w:val="center"/>
              <w:ind w:left="219"/>
              <w:spacing w:after="0"/>
              <w:rPr>
                <w:sz w:val="20"/>
                <w:szCs w:val="20"/>
                <w:color w:val="auto"/>
              </w:rPr>
            </w:pPr>
            <w:r>
              <w:rPr>
                <w:rFonts w:ascii="Courier New" w:cs="Courier New" w:eastAsia="Courier New" w:hAnsi="Courier New"/>
                <w:sz w:val="12"/>
                <w:szCs w:val="12"/>
                <w:b w:val="1"/>
                <w:bCs w:val="1"/>
                <w:color w:val="auto"/>
              </w:rPr>
              <w:t>(loss) before</w:t>
            </w:r>
          </w:p>
        </w:tc>
        <w:tc>
          <w:tcPr>
            <w:tcW w:w="800" w:type="dxa"/>
            <w:vAlign w:val="bottom"/>
          </w:tcPr>
          <w:p>
            <w:pPr>
              <w:spacing w:after="0"/>
              <w:rPr>
                <w:sz w:val="11"/>
                <w:szCs w:val="11"/>
                <w:color w:val="auto"/>
              </w:rPr>
            </w:pPr>
          </w:p>
        </w:tc>
        <w:tc>
          <w:tcPr>
            <w:tcW w:w="154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unconsolidated</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ind w:left="500"/>
              <w:spacing w:after="0"/>
              <w:rPr>
                <w:sz w:val="20"/>
                <w:szCs w:val="20"/>
                <w:color w:val="auto"/>
              </w:rPr>
            </w:pPr>
            <w:r>
              <w:rPr>
                <w:rFonts w:ascii="Courier New" w:cs="Courier New" w:eastAsia="Courier New" w:hAnsi="Courier New"/>
                <w:sz w:val="12"/>
                <w:szCs w:val="12"/>
                <w:b w:val="1"/>
                <w:bCs w:val="1"/>
                <w:color w:val="auto"/>
              </w:rPr>
              <w:t>depr.</w:t>
            </w:r>
          </w:p>
        </w:tc>
        <w:tc>
          <w:tcPr>
            <w:tcW w:w="80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9"/>
              </w:rPr>
              <w:t>Depr.</w:t>
            </w:r>
          </w:p>
        </w:tc>
        <w:tc>
          <w:tcPr>
            <w:tcW w:w="1760" w:type="dxa"/>
            <w:vAlign w:val="bottom"/>
          </w:tcPr>
          <w:p>
            <w:pPr>
              <w:ind w:left="520"/>
              <w:spacing w:after="0"/>
              <w:rPr>
                <w:sz w:val="20"/>
                <w:szCs w:val="20"/>
                <w:color w:val="auto"/>
              </w:rPr>
            </w:pPr>
            <w:r>
              <w:rPr>
                <w:rFonts w:ascii="Courier New" w:cs="Courier New" w:eastAsia="Courier New" w:hAnsi="Courier New"/>
                <w:sz w:val="12"/>
                <w:szCs w:val="12"/>
                <w:b w:val="1"/>
                <w:bCs w:val="1"/>
                <w:color w:val="auto"/>
              </w:rPr>
              <w:t>investments</w:t>
            </w:r>
          </w:p>
        </w:tc>
        <w:tc>
          <w:tcPr>
            <w:tcW w:w="1240" w:type="dxa"/>
            <w:vAlign w:val="bottom"/>
          </w:tcPr>
          <w:p>
            <w:pPr>
              <w:jc w:val="center"/>
              <w:ind w:left="219"/>
              <w:spacing w:after="0"/>
              <w:rPr>
                <w:sz w:val="20"/>
                <w:szCs w:val="20"/>
                <w:color w:val="auto"/>
              </w:rPr>
            </w:pPr>
            <w:r>
              <w:rPr>
                <w:rFonts w:ascii="Courier New" w:cs="Courier New" w:eastAsia="Courier New" w:hAnsi="Courier New"/>
                <w:sz w:val="12"/>
                <w:szCs w:val="12"/>
                <w:b w:val="1"/>
                <w:bCs w:val="1"/>
                <w:color w:val="auto"/>
                <w:w w:val="99"/>
              </w:rPr>
              <w:t>depr.</w:t>
            </w:r>
          </w:p>
        </w:tc>
        <w:tc>
          <w:tcPr>
            <w:tcW w:w="80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Depr.</w:t>
            </w:r>
          </w:p>
        </w:tc>
        <w:tc>
          <w:tcPr>
            <w:tcW w:w="15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investments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7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w w:val="98"/>
              </w:rPr>
              <w:t>---------</w:t>
            </w:r>
          </w:p>
        </w:tc>
        <w:tc>
          <w:tcPr>
            <w:tcW w:w="154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20"/>
                <w:szCs w:val="20"/>
                <w:color w:val="auto"/>
              </w:rPr>
            </w:pPr>
            <w:r>
              <w:rPr>
                <w:rFonts w:ascii="Courier New" w:cs="Courier New" w:eastAsia="Courier New" w:hAnsi="Courier New"/>
                <w:sz w:val="12"/>
                <w:szCs w:val="12"/>
                <w:b w:val="1"/>
                <w:bCs w:val="1"/>
                <w:color w:val="auto"/>
              </w:rPr>
              <w:t>Chelsea Japan</w:t>
            </w:r>
            <w:r>
              <w:rPr>
                <w:rFonts w:ascii="Courier New" w:cs="Courier New" w:eastAsia="Courier New" w:hAnsi="Courier New"/>
                <w:sz w:val="12"/>
                <w:szCs w:val="12"/>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$12,677</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$3,784</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$8,893</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$8,340</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$2,271</w:t>
            </w:r>
          </w:p>
        </w:tc>
        <w:tc>
          <w:tcPr>
            <w:tcW w:w="1540" w:type="dxa"/>
            <w:vAlign w:val="bottom"/>
          </w:tcPr>
          <w:p>
            <w:pPr>
              <w:jc w:val="right"/>
              <w:ind w:right="539"/>
              <w:spacing w:after="0"/>
              <w:rPr>
                <w:sz w:val="20"/>
                <w:szCs w:val="20"/>
                <w:color w:val="auto"/>
              </w:rPr>
            </w:pPr>
            <w:r>
              <w:rPr>
                <w:rFonts w:ascii="Courier New" w:cs="Courier New" w:eastAsia="Courier New" w:hAnsi="Courier New"/>
                <w:sz w:val="12"/>
                <w:szCs w:val="12"/>
                <w:color w:val="auto"/>
              </w:rPr>
              <w:t>$6,069</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Courier New" w:cs="Courier New" w:eastAsia="Courier New" w:hAnsi="Courier New"/>
                <w:sz w:val="12"/>
                <w:szCs w:val="12"/>
                <w:color w:val="auto"/>
              </w:rPr>
              <w:t>S/C Las Vegas......</w:t>
            </w: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7,124</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1,464</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5,660</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1,201</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199</w:t>
            </w:r>
          </w:p>
        </w:tc>
        <w:tc>
          <w:tcPr>
            <w:tcW w:w="1540" w:type="dxa"/>
            <w:vAlign w:val="bottom"/>
          </w:tcPr>
          <w:p>
            <w:pPr>
              <w:jc w:val="right"/>
              <w:ind w:right="539"/>
              <w:spacing w:after="0"/>
              <w:rPr>
                <w:sz w:val="20"/>
                <w:szCs w:val="20"/>
                <w:color w:val="auto"/>
              </w:rPr>
            </w:pPr>
            <w:r>
              <w:rPr>
                <w:rFonts w:ascii="Courier New" w:cs="Courier New" w:eastAsia="Courier New" w:hAnsi="Courier New"/>
                <w:sz w:val="12"/>
                <w:szCs w:val="12"/>
                <w:color w:val="auto"/>
              </w:rPr>
              <w:t>1,002</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2"/>
                <w:szCs w:val="12"/>
                <w:color w:val="auto"/>
              </w:rPr>
              <w:t>S/C Chicago........</w:t>
            </w: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3,439</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594</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2,845</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5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11"/>
                <w:szCs w:val="11"/>
                <w:color w:val="auto"/>
              </w:rPr>
            </w:pP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1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$23,240</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$5,842</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$17,398</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$9,541</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$2,470</w:t>
            </w:r>
          </w:p>
        </w:tc>
        <w:tc>
          <w:tcPr>
            <w:tcW w:w="1540" w:type="dxa"/>
            <w:vAlign w:val="bottom"/>
          </w:tcPr>
          <w:p>
            <w:pPr>
              <w:jc w:val="right"/>
              <w:ind w:right="539"/>
              <w:spacing w:after="0"/>
              <w:rPr>
                <w:sz w:val="20"/>
                <w:szCs w:val="20"/>
                <w:color w:val="auto"/>
              </w:rPr>
            </w:pPr>
            <w:r>
              <w:rPr>
                <w:rFonts w:ascii="Courier New" w:cs="Courier New" w:eastAsia="Courier New" w:hAnsi="Courier New"/>
                <w:sz w:val="12"/>
                <w:szCs w:val="12"/>
                <w:color w:val="auto"/>
              </w:rPr>
              <w:t>$7,071</w:t>
            </w:r>
          </w:p>
        </w:tc>
        <w:tc>
          <w:tcPr>
            <w:tcW w:w="0" w:type="dxa"/>
            <w:vAlign w:val="bottom"/>
          </w:tcPr>
          <w:p>
            <w:pPr>
              <w:spacing w:after="0"/>
              <w:rPr>
                <w:sz w:val="1"/>
                <w:szCs w:val="1"/>
                <w:color w:val="auto"/>
              </w:rPr>
            </w:pPr>
          </w:p>
        </w:tc>
      </w:tr>
      <w:tr>
        <w:trPr>
          <w:trHeight w:val="137"/>
        </w:trPr>
        <w:tc>
          <w:tcPr>
            <w:tcW w:w="176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Chelsea</w:t>
            </w: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1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17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20"/>
                <w:szCs w:val="20"/>
                <w:color w:val="auto"/>
              </w:rPr>
            </w:pPr>
            <w:r>
              <w:rPr>
                <w:rFonts w:ascii="Courier New" w:cs="Courier New" w:eastAsia="Courier New" w:hAnsi="Courier New"/>
                <w:sz w:val="12"/>
                <w:szCs w:val="12"/>
                <w:b w:val="1"/>
                <w:bCs w:val="1"/>
                <w:color w:val="auto"/>
              </w:rPr>
              <w:t>Interactive (1)......</w:t>
            </w:r>
          </w:p>
        </w:tc>
        <w:tc>
          <w:tcPr>
            <w:tcW w:w="11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$953</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7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$953</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$(2,419)</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$(2,419)</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11"/>
                <w:szCs w:val="11"/>
                <w:color w:val="auto"/>
              </w:rPr>
            </w:pPr>
          </w:p>
        </w:tc>
        <w:tc>
          <w:tcPr>
            <w:tcW w:w="1160" w:type="dxa"/>
            <w:vAlign w:val="bottom"/>
          </w:tcPr>
          <w:p>
            <w:pPr>
              <w:jc w:val="center"/>
              <w:ind w:lef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1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(1) Included in other expenses on the accompanying consolidated statement of income</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Condensed financial information as of September 30, 2004 and December 31, 2003, and for the three and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2004 and 2003 for Chelsea Japan and Simon-Ventures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20" w:type="dxa"/>
            <w:vAlign w:val="bottom"/>
          </w:tcPr>
          <w:p>
            <w:pPr>
              <w:spacing w:after="0"/>
              <w:rPr>
                <w:sz w:val="20"/>
                <w:szCs w:val="20"/>
                <w:color w:val="auto"/>
              </w:rPr>
            </w:pPr>
            <w:r>
              <w:rPr>
                <w:rFonts w:ascii="Courier New" w:cs="Courier New" w:eastAsia="Courier New" w:hAnsi="Courier New"/>
                <w:sz w:val="18"/>
                <w:szCs w:val="18"/>
                <w:b w:val="1"/>
                <w:bCs w:val="1"/>
                <w:color w:val="auto"/>
              </w:rPr>
              <w:t>Property, plant and equipment (net)</w:t>
            </w:r>
          </w:p>
        </w:tc>
        <w:tc>
          <w:tcPr>
            <w:tcW w:w="1420" w:type="dxa"/>
            <w:vAlign w:val="bottom"/>
          </w:tcPr>
          <w:p>
            <w:pPr>
              <w:spacing w:after="0"/>
              <w:rPr>
                <w:sz w:val="17"/>
                <w:szCs w:val="17"/>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September 30, 2004.......................................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$335,962</w:t>
            </w: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 31, 2003........................................</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288,780</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b w:val="1"/>
                <w:bCs w:val="1"/>
                <w:color w:val="auto"/>
              </w:rPr>
              <w:t>Total assets</w:t>
            </w:r>
          </w:p>
        </w:tc>
        <w:tc>
          <w:tcPr>
            <w:tcW w:w="1420" w:type="dxa"/>
            <w:vAlign w:val="bottom"/>
          </w:tcPr>
          <w:p>
            <w:pPr>
              <w:spacing w:after="0"/>
              <w:rPr>
                <w:sz w:val="24"/>
                <w:szCs w:val="24"/>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September 30, 2004.......................................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465,062</w:t>
            </w:r>
          </w:p>
        </w:tc>
      </w:tr>
    </w:tbl>
    <w:p>
      <w:pPr>
        <w:sectPr>
          <w:pgSz w:w="11900" w:h="16838" w:orient="portrait"/>
          <w:cols w:equalWidth="0" w:num="1">
            <w:col w:w="11320"/>
          </w:cols>
          <w:pgMar w:left="240" w:top="11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532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8"/>
              </w:rPr>
              <w:t>2003........................................</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380,426</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b w:val="1"/>
                <w:bCs w:val="1"/>
                <w:color w:val="auto"/>
                <w:w w:val="96"/>
              </w:rPr>
              <w:t>Long term debt(1)</w:t>
            </w:r>
          </w:p>
        </w:tc>
        <w:tc>
          <w:tcPr>
            <w:tcW w:w="5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71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 2004.......................................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161,013</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2003........................................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129,731</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b w:val="1"/>
                <w:bCs w:val="1"/>
                <w:color w:val="auto"/>
                <w:w w:val="96"/>
              </w:rPr>
              <w:t>Total liabilities</w:t>
            </w:r>
          </w:p>
        </w:tc>
        <w:tc>
          <w:tcPr>
            <w:tcW w:w="5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71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 2004.......................................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262,881</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2003........................................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220,238</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b w:val="1"/>
                <w:bCs w:val="1"/>
                <w:color w:val="auto"/>
                <w:w w:val="96"/>
              </w:rPr>
              <w:t>Net income (loss)</w:t>
            </w:r>
          </w:p>
        </w:tc>
        <w:tc>
          <w:tcPr>
            <w:tcW w:w="5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7180" w:type="dxa"/>
            <w:vAlign w:val="bottom"/>
            <w:gridSpan w:val="2"/>
          </w:tcPr>
          <w:p>
            <w:pPr>
              <w:jc w:val="right"/>
              <w:ind w:right="477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360" w:type="dxa"/>
            <w:vAlign w:val="bottom"/>
          </w:tcPr>
          <w:p>
            <w:pPr>
              <w:spacing w:after="0"/>
              <w:rPr>
                <w:sz w:val="17"/>
                <w:szCs w:val="17"/>
                <w:color w:val="auto"/>
              </w:rPr>
            </w:pP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10,968</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30, 2003 ...................................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4,113</w:t>
            </w:r>
          </w:p>
        </w:tc>
      </w:tr>
      <w:tr>
        <w:trPr>
          <w:trHeight w:val="405"/>
        </w:trPr>
        <w:tc>
          <w:tcPr>
            <w:tcW w:w="7180" w:type="dxa"/>
            <w:vAlign w:val="bottom"/>
            <w:gridSpan w:val="2"/>
          </w:tcPr>
          <w:p>
            <w:pPr>
              <w:jc w:val="right"/>
              <w:ind w:right="5092"/>
              <w:spacing w:after="0"/>
              <w:rPr>
                <w:sz w:val="20"/>
                <w:szCs w:val="20"/>
                <w:color w:val="auto"/>
              </w:rPr>
            </w:pPr>
            <w:r>
              <w:rPr>
                <w:rFonts w:ascii="Courier New" w:cs="Courier New" w:eastAsia="Courier New" w:hAnsi="Courier New"/>
                <w:sz w:val="18"/>
                <w:szCs w:val="18"/>
                <w:color w:val="auto"/>
              </w:rPr>
              <w:t>Nine months ended:</w:t>
            </w:r>
          </w:p>
        </w:tc>
        <w:tc>
          <w:tcPr>
            <w:tcW w:w="1360" w:type="dxa"/>
            <w:vAlign w:val="bottom"/>
          </w:tcPr>
          <w:p>
            <w:pPr>
              <w:spacing w:after="0"/>
              <w:rPr>
                <w:sz w:val="24"/>
                <w:szCs w:val="24"/>
                <w:color w:val="auto"/>
              </w:rPr>
            </w:pP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30, 2004 ...................................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24,677</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30, 2003 ...................................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7,213</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b w:val="1"/>
                <w:bCs w:val="1"/>
                <w:color w:val="auto"/>
                <w:w w:val="96"/>
              </w:rPr>
              <w:t>OP's share of net</w:t>
            </w:r>
          </w:p>
        </w:tc>
        <w:tc>
          <w:tcPr>
            <w:tcW w:w="5320" w:type="dxa"/>
            <w:vAlign w:val="bottom"/>
          </w:tcPr>
          <w:p>
            <w:pPr>
              <w:jc w:val="right"/>
              <w:ind w:right="3812"/>
              <w:spacing w:after="0"/>
              <w:rPr>
                <w:sz w:val="20"/>
                <w:szCs w:val="20"/>
                <w:color w:val="auto"/>
              </w:rPr>
            </w:pPr>
            <w:r>
              <w:rPr>
                <w:rFonts w:ascii="Courier New" w:cs="Courier New" w:eastAsia="Courier New" w:hAnsi="Courier New"/>
                <w:sz w:val="18"/>
                <w:szCs w:val="18"/>
                <w:b w:val="1"/>
                <w:bCs w:val="1"/>
                <w:color w:val="auto"/>
                <w:w w:val="99"/>
              </w:rPr>
              <w:t>income (loss)</w:t>
            </w:r>
          </w:p>
        </w:tc>
        <w:tc>
          <w:tcPr>
            <w:tcW w:w="1360" w:type="dxa"/>
            <w:vAlign w:val="bottom"/>
          </w:tcPr>
          <w:p>
            <w:pPr>
              <w:spacing w:after="0"/>
              <w:rPr>
                <w:sz w:val="24"/>
                <w:szCs w:val="24"/>
                <w:color w:val="auto"/>
              </w:rPr>
            </w:pP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360" w:type="dxa"/>
            <w:vAlign w:val="bottom"/>
          </w:tcPr>
          <w:p>
            <w:pPr>
              <w:spacing w:after="0"/>
              <w:rPr>
                <w:sz w:val="17"/>
                <w:szCs w:val="17"/>
                <w:color w:val="auto"/>
              </w:rPr>
            </w:pP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30, 2004 ...................................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5,124</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1,807</w:t>
            </w:r>
          </w:p>
        </w:tc>
      </w:tr>
      <w:tr>
        <w:trPr>
          <w:trHeight w:val="405"/>
        </w:trPr>
        <w:tc>
          <w:tcPr>
            <w:tcW w:w="71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Nine months ended:</w:t>
            </w:r>
          </w:p>
        </w:tc>
        <w:tc>
          <w:tcPr>
            <w:tcW w:w="1360" w:type="dxa"/>
            <w:vAlign w:val="bottom"/>
          </w:tcPr>
          <w:p>
            <w:pPr>
              <w:spacing w:after="0"/>
              <w:rPr>
                <w:sz w:val="24"/>
                <w:szCs w:val="24"/>
                <w:color w:val="auto"/>
              </w:rPr>
            </w:pP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11,357</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3,047</w:t>
            </w:r>
          </w:p>
        </w:tc>
      </w:tr>
      <w:tr>
        <w:trPr>
          <w:trHeight w:val="405"/>
        </w:trPr>
        <w:tc>
          <w:tcPr>
            <w:tcW w:w="1860" w:type="dxa"/>
            <w:vAlign w:val="bottom"/>
          </w:tcPr>
          <w:p>
            <w:pPr>
              <w:jc w:val="right"/>
              <w:ind w:right="712"/>
              <w:spacing w:after="0"/>
              <w:rPr>
                <w:sz w:val="20"/>
                <w:szCs w:val="20"/>
                <w:color w:val="auto"/>
              </w:rPr>
            </w:pPr>
            <w:r>
              <w:rPr>
                <w:rFonts w:ascii="Courier New" w:cs="Courier New" w:eastAsia="Courier New" w:hAnsi="Courier New"/>
                <w:sz w:val="18"/>
                <w:szCs w:val="18"/>
                <w:b w:val="1"/>
                <w:bCs w:val="1"/>
                <w:color w:val="auto"/>
                <w:w w:val="96"/>
              </w:rPr>
              <w:t>Fee income</w:t>
            </w:r>
          </w:p>
        </w:tc>
        <w:tc>
          <w:tcPr>
            <w:tcW w:w="5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7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360" w:type="dxa"/>
            <w:vAlign w:val="bottom"/>
          </w:tcPr>
          <w:p>
            <w:pPr>
              <w:spacing w:after="0"/>
              <w:rPr>
                <w:sz w:val="17"/>
                <w:szCs w:val="17"/>
                <w:color w:val="auto"/>
              </w:rPr>
            </w:pP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1,927</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1,318</w:t>
            </w:r>
          </w:p>
        </w:tc>
      </w:tr>
      <w:tr>
        <w:trPr>
          <w:trHeight w:val="405"/>
        </w:trPr>
        <w:tc>
          <w:tcPr>
            <w:tcW w:w="71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Nine months ended:</w:t>
            </w:r>
          </w:p>
        </w:tc>
        <w:tc>
          <w:tcPr>
            <w:tcW w:w="1360" w:type="dxa"/>
            <w:vAlign w:val="bottom"/>
          </w:tcPr>
          <w:p>
            <w:pPr>
              <w:spacing w:after="0"/>
              <w:rPr>
                <w:sz w:val="24"/>
                <w:szCs w:val="24"/>
                <w:color w:val="auto"/>
              </w:rPr>
            </w:pP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6,041</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30, 2003....................................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4,024</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(1) Long-term debt consists of borrowings related to Chelsea Japan.</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Debt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Bank Debt</w:t>
      </w:r>
    </w:p>
    <w:p>
      <w:pPr>
        <w:spacing w:after="0" w:line="21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 summary of the terms of the unsecured bank debt outstanding at September 30, 2004 and December 31, 2003, and the related effective interest rate, is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Effective</w:t>
            </w:r>
          </w:p>
        </w:tc>
        <w:tc>
          <w:tcPr>
            <w:tcW w:w="112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3980" w:type="dxa"/>
            <w:vAlign w:val="bottom"/>
          </w:tcPr>
          <w:p>
            <w:pPr>
              <w:spacing w:after="0"/>
              <w:rPr>
                <w:sz w:val="11"/>
                <w:szCs w:val="11"/>
                <w:color w:val="auto"/>
              </w:rPr>
            </w:pP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September 30,</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interest</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December 31,</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3980" w:type="dxa"/>
            <w:vAlign w:val="bottom"/>
          </w:tcPr>
          <w:p>
            <w:pPr>
              <w:spacing w:after="0"/>
              <w:rPr>
                <w:sz w:val="11"/>
                <w:szCs w:val="11"/>
                <w:color w:val="auto"/>
              </w:rPr>
            </w:pP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2004</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rate</w:t>
            </w:r>
          </w:p>
        </w:tc>
        <w:tc>
          <w:tcPr>
            <w:tcW w:w="11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2003</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rate</w:t>
            </w:r>
          </w:p>
        </w:tc>
      </w:tr>
      <w:tr>
        <w:trPr>
          <w:trHeight w:val="137"/>
        </w:trPr>
        <w:tc>
          <w:tcPr>
            <w:tcW w:w="3980" w:type="dxa"/>
            <w:vAlign w:val="bottom"/>
          </w:tcPr>
          <w:p>
            <w:pPr>
              <w:spacing w:after="0"/>
              <w:rPr>
                <w:sz w:val="11"/>
                <w:szCs w:val="11"/>
                <w:color w:val="auto"/>
              </w:rPr>
            </w:pPr>
          </w:p>
        </w:tc>
        <w:tc>
          <w:tcPr>
            <w:tcW w:w="1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18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980" w:type="dxa"/>
            <w:vAlign w:val="bottom"/>
          </w:tcPr>
          <w:p>
            <w:pPr>
              <w:spacing w:after="0"/>
              <w:rPr>
                <w:sz w:val="20"/>
                <w:szCs w:val="20"/>
                <w:color w:val="auto"/>
              </w:rPr>
            </w:pPr>
            <w:r>
              <w:rPr>
                <w:rFonts w:ascii="Courier New" w:cs="Courier New" w:eastAsia="Courier New" w:hAnsi="Courier New"/>
                <w:sz w:val="12"/>
                <w:szCs w:val="12"/>
                <w:color w:val="auto"/>
              </w:rPr>
              <w:t>Senior credit facility due March 2005 (1) ..........</w:t>
            </w: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$100,000</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2.46%</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$99,000</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2.09%</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color w:val="auto"/>
              </w:rPr>
              <w:t>Term loan due March 2005 (2) .......................</w:t>
            </w: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5,035</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2.46%</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5,035</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2.09%</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color w:val="auto"/>
              </w:rPr>
              <w:t>Bridge loan facility due July 2004 (3) .............</w:t>
            </w: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100,000</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1.96%</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color w:val="auto"/>
              </w:rPr>
              <w:t>Term loan facility due October 2004 (4) ............</w:t>
            </w: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100,000</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2.67%</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color w:val="auto"/>
              </w:rPr>
              <w:t>Term loan due April 2010 (5) .......................</w:t>
            </w: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60,725</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7.26%</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color w:val="auto"/>
              </w:rPr>
              <w:t>Yen credit facility due April 2005 (6) .............</w:t>
            </w: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11,449</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1.31%</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color w:val="auto"/>
              </w:rPr>
              <w:t>Peso credit facility due January 2007 (7) ..........</w:t>
            </w: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11,028</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9.20%</w:t>
            </w: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3980" w:type="dxa"/>
            <w:vAlign w:val="bottom"/>
          </w:tcPr>
          <w:p>
            <w:pPr>
              <w:spacing w:after="0"/>
              <w:rPr>
                <w:sz w:val="11"/>
                <w:szCs w:val="11"/>
                <w:color w:val="auto"/>
              </w:rPr>
            </w:pPr>
          </w:p>
        </w:tc>
        <w:tc>
          <w:tcPr>
            <w:tcW w:w="1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spacing w:after="0"/>
              <w:rPr>
                <w:sz w:val="11"/>
                <w:szCs w:val="11"/>
                <w:color w:val="auto"/>
              </w:rPr>
            </w:pP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spacing w:after="0"/>
              <w:rPr>
                <w:sz w:val="11"/>
                <w:szCs w:val="11"/>
                <w:color w:val="auto"/>
              </w:rPr>
            </w:pPr>
          </w:p>
        </w:tc>
      </w:tr>
      <w:tr>
        <w:trPr>
          <w:trHeight w:val="135"/>
        </w:trPr>
        <w:tc>
          <w:tcPr>
            <w:tcW w:w="3980" w:type="dxa"/>
            <w:vAlign w:val="bottom"/>
          </w:tcPr>
          <w:p>
            <w:pPr>
              <w:spacing w:after="0"/>
              <w:rPr>
                <w:sz w:val="11"/>
                <w:szCs w:val="11"/>
                <w:color w:val="auto"/>
              </w:rPr>
            </w:pPr>
          </w:p>
        </w:tc>
        <w:tc>
          <w:tcPr>
            <w:tcW w:w="16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$288,237</w:t>
            </w:r>
          </w:p>
        </w:tc>
        <w:tc>
          <w:tcPr>
            <w:tcW w:w="1060" w:type="dxa"/>
            <w:vAlign w:val="bottom"/>
          </w:tcPr>
          <w:p>
            <w:pPr>
              <w:spacing w:after="0"/>
              <w:rPr>
                <w:sz w:val="11"/>
                <w:szCs w:val="11"/>
                <w:color w:val="auto"/>
              </w:rPr>
            </w:pP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$204,035</w:t>
            </w:r>
          </w:p>
        </w:tc>
        <w:tc>
          <w:tcPr>
            <w:tcW w:w="920" w:type="dxa"/>
            <w:vAlign w:val="bottom"/>
          </w:tcPr>
          <w:p>
            <w:pPr>
              <w:spacing w:after="0"/>
              <w:rPr>
                <w:sz w:val="11"/>
                <w:szCs w:val="11"/>
                <w:color w:val="auto"/>
              </w:rPr>
            </w:pPr>
          </w:p>
        </w:tc>
      </w:tr>
      <w:tr>
        <w:trPr>
          <w:trHeight w:val="137"/>
        </w:trPr>
        <w:tc>
          <w:tcPr>
            <w:tcW w:w="3980" w:type="dxa"/>
            <w:vAlign w:val="bottom"/>
          </w:tcPr>
          <w:p>
            <w:pPr>
              <w:spacing w:after="0"/>
              <w:rPr>
                <w:sz w:val="11"/>
                <w:szCs w:val="11"/>
                <w:color w:val="auto"/>
              </w:rPr>
            </w:pPr>
          </w:p>
        </w:tc>
        <w:tc>
          <w:tcPr>
            <w:tcW w:w="1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spacing w:after="0"/>
              <w:rPr>
                <w:sz w:val="11"/>
                <w:szCs w:val="11"/>
                <w:color w:val="auto"/>
              </w:rPr>
            </w:pPr>
          </w:p>
        </w:tc>
        <w:tc>
          <w:tcPr>
            <w:tcW w:w="11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spacing w:after="0"/>
              <w:rPr>
                <w:sz w:val="11"/>
                <w:szCs w:val="11"/>
                <w:color w:val="auto"/>
              </w:rPr>
            </w:pPr>
          </w:p>
        </w:tc>
      </w:tr>
    </w:tbl>
    <w:p>
      <w:pPr>
        <w:spacing w:after="0" w:line="372" w:lineRule="exact"/>
        <w:rPr>
          <w:sz w:val="20"/>
          <w:szCs w:val="20"/>
          <w:color w:val="auto"/>
        </w:rPr>
      </w:pPr>
    </w:p>
    <w:p>
      <w:pPr>
        <w:ind w:left="1160" w:right="240" w:hanging="571"/>
        <w:spacing w:after="0" w:line="278" w:lineRule="auto"/>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OP maintained a $200 million senior unsecured bank line of credit (the "Senior Credit Facility") that was to expire on March 31, 2005, and was extendible at the OP’s option until March 31, 2006. The Senior Credit Facility bore interest on the outstanding balance, payable monthly, at a rate equal to the London Interbank Offered Rate ("LIBOR") plus 0.95% or the prime rate, at the OP’s option. The LIBOR rate spread ranged from 0.85% to 1.50% depending on the OP’s Senior Debt rating. In connection with the merger between Simon and the Company, the Senior Credit Facility was fully repaid on October 14, 2004, the effective date of the merger between Simon and the Company.</w:t>
      </w:r>
    </w:p>
    <w:p>
      <w:pPr>
        <w:spacing w:after="0" w:line="197" w:lineRule="exact"/>
        <w:rPr>
          <w:rFonts w:ascii="Arial" w:cs="Arial" w:eastAsia="Arial" w:hAnsi="Arial"/>
          <w:sz w:val="12"/>
          <w:szCs w:val="12"/>
          <w:color w:val="auto"/>
        </w:rPr>
      </w:pPr>
    </w:p>
    <w:p>
      <w:pPr>
        <w:ind w:left="1160" w:hanging="571"/>
        <w:spacing w:after="0" w:line="239" w:lineRule="auto"/>
        <w:tabs>
          <w:tab w:leader="none" w:pos="1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 loan carried the same interest rate and maturity as the Senior Credit Facility. In connection with the merger between Simon and the Company, the term loan facility was fully repaid on October 14, 2004, the effective date of the merger between Simon and the Company.</w:t>
      </w:r>
    </w:p>
    <w:p>
      <w:pPr>
        <w:spacing w:after="0" w:line="219" w:lineRule="exact"/>
        <w:rPr>
          <w:rFonts w:ascii="Arial" w:cs="Arial" w:eastAsia="Arial" w:hAnsi="Arial"/>
          <w:sz w:val="14"/>
          <w:szCs w:val="14"/>
          <w:color w:val="auto"/>
        </w:rPr>
      </w:pPr>
    </w:p>
    <w:p>
      <w:pPr>
        <w:ind w:left="1160" w:right="200" w:hanging="571"/>
        <w:spacing w:after="0" w:line="239" w:lineRule="auto"/>
        <w:tabs>
          <w:tab w:leader="none" w:pos="1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March 2004, the OP repaid the $100 million bridge loan due July 31, 2004 with proceeds received from the issuance of $100 million of unsecured term notes due March 15, 2009. The Bridge Loan facility bore interest on the outstanding balance, payable monthly, at LIBOR plus 0.80% per annum.</w:t>
      </w:r>
    </w:p>
    <w:p>
      <w:pPr>
        <w:spacing w:after="0" w:line="219" w:lineRule="exact"/>
        <w:rPr>
          <w:rFonts w:ascii="Arial" w:cs="Arial" w:eastAsia="Arial" w:hAnsi="Arial"/>
          <w:sz w:val="14"/>
          <w:szCs w:val="14"/>
          <w:color w:val="auto"/>
        </w:rPr>
      </w:pPr>
    </w:p>
    <w:p>
      <w:pPr>
        <w:ind w:left="1160" w:right="40" w:hanging="571"/>
        <w:spacing w:after="0" w:line="288" w:lineRule="auto"/>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September 2004, the OP entered into a $100 million term loan due upon the closing of the merger with Simon or March 31, 2005, whichever event occurred sooner. The term loan bore interest on the outstanding balance, payable monthly at LIBOR plus 0.85% per annum. Proceeds from the loan were used to acquire a shopping center in Carlsbad, California. In accordance with the provision of the term loan, such loan was fully repaid on October 14, 2004, the effective date of the merger between Simon and the Company.</w:t>
      </w:r>
    </w:p>
    <w:p>
      <w:pPr>
        <w:spacing w:after="0" w:line="192" w:lineRule="exact"/>
        <w:rPr>
          <w:rFonts w:ascii="Arial" w:cs="Arial" w:eastAsia="Arial" w:hAnsi="Arial"/>
          <w:sz w:val="12"/>
          <w:szCs w:val="12"/>
          <w:color w:val="auto"/>
        </w:rPr>
      </w:pPr>
    </w:p>
    <w:p>
      <w:pPr>
        <w:jc w:val="both"/>
        <w:ind w:left="1160" w:right="280" w:hanging="571"/>
        <w:spacing w:after="0" w:line="318" w:lineRule="auto"/>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February 2004, the OP amended its mortgage loan due April 2010 to unencumber four properties and reduce the interest rate to LIBOR plus 1.25% from LIBOR plus 1.50% (2.9% at September 30, 2004). The original terms requiring quarterly principal amortization of $0.25 million through April 2005 and $0.45 million per quarter thereafter until maturity remained</w:t>
      </w:r>
    </w:p>
    <w:p>
      <w:pPr>
        <w:sectPr>
          <w:pgSz w:w="11900" w:h="16838" w:orient="portrait"/>
          <w:cols w:equalWidth="0" w:num="1">
            <w:col w:w="11400"/>
          </w:cols>
          <w:pgMar w:left="240" w:top="136" w:right="259" w:bottom="0" w:gutter="0" w:footer="0" w:header="0"/>
        </w:sectPr>
      </w:pPr>
    </w:p>
    <w:bookmarkStart w:id="7" w:name="page8"/>
    <w:bookmarkEnd w:id="7"/>
    <w:p>
      <w:pPr>
        <w:spacing w:after="0" w:line="76" w:lineRule="exact"/>
        <w:rPr>
          <w:sz w:val="20"/>
          <w:szCs w:val="20"/>
          <w:color w:val="auto"/>
        </w:rPr>
      </w:pPr>
    </w:p>
    <w:p>
      <w:pPr>
        <w:ind w:left="1160" w:right="140"/>
        <w:spacing w:after="0" w:line="318" w:lineRule="auto"/>
        <w:rPr>
          <w:sz w:val="20"/>
          <w:szCs w:val="20"/>
          <w:color w:val="auto"/>
        </w:rPr>
      </w:pPr>
      <w:r>
        <w:rPr>
          <w:rFonts w:ascii="Arial" w:cs="Arial" w:eastAsia="Arial" w:hAnsi="Arial"/>
          <w:sz w:val="12"/>
          <w:szCs w:val="12"/>
          <w:color w:val="auto"/>
        </w:rPr>
        <w:t>unchanged. The OP maintains an interest rate swap that effectively fixes the interest rate on the mortgage debt on the term loan at 7.26% until January 2006. During the nine months ended September 30, 2004 and 2003, the OP recognized interest expense of $2.3 million on the hedge that is included in interest expense in the accompanying financial statements.</w:t>
      </w:r>
    </w:p>
    <w:p>
      <w:pPr>
        <w:spacing w:after="0" w:line="175" w:lineRule="exact"/>
        <w:rPr>
          <w:sz w:val="20"/>
          <w:szCs w:val="20"/>
          <w:color w:val="auto"/>
        </w:rPr>
      </w:pPr>
    </w:p>
    <w:p>
      <w:pPr>
        <w:ind w:left="1160" w:right="120" w:hanging="571"/>
        <w:spacing w:after="0" w:line="233" w:lineRule="auto"/>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OP's wholly-owned equity investee in Chelsea Japan Co. Ltd. has a 4.0 billion yen line of credit (approximately US $36.3 million) to provide funding for projects being developed in Japan. The yen line of credit bears interest at yen LIBOR plus 1.25% and matures April 1, 2005. This facility is guaranteed by the Company and the OP. At September 30, 2004, 1.3 billion yen (approximately US $11.4 million) was outstanding under the loan.</w:t>
      </w:r>
    </w:p>
    <w:p>
      <w:pPr>
        <w:spacing w:after="0" w:line="219" w:lineRule="exact"/>
        <w:rPr>
          <w:rFonts w:ascii="Arial" w:cs="Arial" w:eastAsia="Arial" w:hAnsi="Arial"/>
          <w:sz w:val="14"/>
          <w:szCs w:val="14"/>
          <w:color w:val="auto"/>
        </w:rPr>
      </w:pPr>
    </w:p>
    <w:p>
      <w:pPr>
        <w:ind w:left="1160" w:hanging="571"/>
        <w:spacing w:after="0" w:line="278" w:lineRule="auto"/>
        <w:tabs>
          <w:tab w:leader="none" w:pos="1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January 2004, a wholly-owned subsidiary of the OP entered into a 180 million peso-denominated revolving facility (US $15.8 million as of September 30, 2004) to provide funding for projects in Mexico. The peso facility has a three- year term and drawn funds bear interest at the Interbank Interest Equilibrium Rate ("TIIE") plus 0.825% plus the bank's cost of funds spread limited to 20% of the TIIE, with an annual facility fee on the unused balance of 0.15%. The TIIE rate spread ranges from 0.725% to 1.37% depending on the OP's Senior Debt rating. This facility is guaranteed by the Company and the OP. At September 30, 2004, the outstanding balance was 125.5 million pesos (approximately US $11.0 million).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ind w:right="9640" w:firstLine="8"/>
        <w:spacing w:after="0" w:line="507" w:lineRule="auto"/>
        <w:tabs>
          <w:tab w:leader="none" w:pos="216"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Unsecured Notes</w:t>
      </w:r>
    </w:p>
    <w:p>
      <w:pPr>
        <w:spacing w:after="0" w:line="1"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A summary of the terms of the unsecured notes outstanding at September 30, 2004 and December 31, 2003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September 30,</w:t>
            </w:r>
          </w:p>
        </w:tc>
        <w:tc>
          <w:tcPr>
            <w:tcW w:w="14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December 31,</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Effective</w:t>
            </w:r>
          </w:p>
        </w:tc>
      </w:tr>
      <w:tr>
        <w:trPr>
          <w:trHeight w:val="135"/>
        </w:trPr>
        <w:tc>
          <w:tcPr>
            <w:tcW w:w="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2004</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2003</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Yield (1)</w:t>
            </w:r>
          </w:p>
        </w:tc>
      </w:tr>
      <w:tr>
        <w:trPr>
          <w:trHeight w:val="135"/>
        </w:trPr>
        <w:tc>
          <w:tcPr>
            <w:tcW w:w="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8.375%</w:t>
            </w:r>
          </w:p>
        </w:tc>
        <w:tc>
          <w:tcPr>
            <w:tcW w:w="3800" w:type="dxa"/>
            <w:vAlign w:val="bottom"/>
          </w:tcPr>
          <w:p>
            <w:pPr>
              <w:ind w:left="80"/>
              <w:spacing w:after="0"/>
              <w:rPr>
                <w:sz w:val="20"/>
                <w:szCs w:val="20"/>
                <w:color w:val="auto"/>
              </w:rPr>
            </w:pPr>
            <w:r>
              <w:rPr>
                <w:rFonts w:ascii="Courier New" w:cs="Courier New" w:eastAsia="Courier New" w:hAnsi="Courier New"/>
                <w:sz w:val="12"/>
                <w:szCs w:val="12"/>
                <w:color w:val="auto"/>
              </w:rPr>
              <w:t>Notes due August 2005.............................</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$49,975</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$ 49,952</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8.44%</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7.250%</w:t>
            </w:r>
          </w:p>
        </w:tc>
        <w:tc>
          <w:tcPr>
            <w:tcW w:w="3800" w:type="dxa"/>
            <w:vAlign w:val="bottom"/>
          </w:tcPr>
          <w:p>
            <w:pPr>
              <w:ind w:left="80"/>
              <w:spacing w:after="0"/>
              <w:rPr>
                <w:sz w:val="20"/>
                <w:szCs w:val="20"/>
                <w:color w:val="auto"/>
              </w:rPr>
            </w:pPr>
            <w:r>
              <w:rPr>
                <w:rFonts w:ascii="Courier New" w:cs="Courier New" w:eastAsia="Courier New" w:hAnsi="Courier New"/>
                <w:sz w:val="12"/>
                <w:szCs w:val="12"/>
                <w:color w:val="auto"/>
              </w:rPr>
              <w:t>Notes due October 2007............................</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124,898</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124,874</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7.39%</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3.500%</w:t>
            </w:r>
          </w:p>
        </w:tc>
        <w:tc>
          <w:tcPr>
            <w:tcW w:w="3800" w:type="dxa"/>
            <w:vAlign w:val="bottom"/>
          </w:tcPr>
          <w:p>
            <w:pPr>
              <w:ind w:left="80"/>
              <w:spacing w:after="0"/>
              <w:rPr>
                <w:sz w:val="20"/>
                <w:szCs w:val="20"/>
                <w:color w:val="auto"/>
              </w:rPr>
            </w:pPr>
            <w:r>
              <w:rPr>
                <w:rFonts w:ascii="Courier New" w:cs="Courier New" w:eastAsia="Courier New" w:hAnsi="Courier New"/>
                <w:sz w:val="12"/>
                <w:szCs w:val="12"/>
                <w:color w:val="auto"/>
              </w:rPr>
              <w:t>Notes due March 2009(2)...........................</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99,584</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3.60%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8.625%</w:t>
            </w:r>
          </w:p>
        </w:tc>
        <w:tc>
          <w:tcPr>
            <w:tcW w:w="3800" w:type="dxa"/>
            <w:vAlign w:val="bottom"/>
          </w:tcPr>
          <w:p>
            <w:pPr>
              <w:ind w:left="80"/>
              <w:spacing w:after="0"/>
              <w:rPr>
                <w:sz w:val="20"/>
                <w:szCs w:val="20"/>
                <w:color w:val="auto"/>
              </w:rPr>
            </w:pPr>
            <w:r>
              <w:rPr>
                <w:rFonts w:ascii="Courier New" w:cs="Courier New" w:eastAsia="Courier New" w:hAnsi="Courier New"/>
                <w:sz w:val="12"/>
                <w:szCs w:val="12"/>
                <w:color w:val="auto"/>
              </w:rPr>
              <w:t>Notes due August 2009.............................</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49,951</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49,943</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8.76%</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8.250%</w:t>
            </w:r>
          </w:p>
        </w:tc>
        <w:tc>
          <w:tcPr>
            <w:tcW w:w="3800" w:type="dxa"/>
            <w:vAlign w:val="bottom"/>
          </w:tcPr>
          <w:p>
            <w:pPr>
              <w:ind w:left="80"/>
              <w:spacing w:after="0"/>
              <w:rPr>
                <w:sz w:val="20"/>
                <w:szCs w:val="20"/>
                <w:color w:val="auto"/>
              </w:rPr>
            </w:pPr>
            <w:r>
              <w:rPr>
                <w:rFonts w:ascii="Courier New" w:cs="Courier New" w:eastAsia="Courier New" w:hAnsi="Courier New"/>
                <w:sz w:val="12"/>
                <w:szCs w:val="12"/>
                <w:color w:val="auto"/>
              </w:rPr>
              <w:t>Notes due February 2011...........................</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149,073</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148,963</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8.40%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6.875%</w:t>
            </w:r>
          </w:p>
        </w:tc>
        <w:tc>
          <w:tcPr>
            <w:tcW w:w="3800" w:type="dxa"/>
            <w:vAlign w:val="bottom"/>
          </w:tcPr>
          <w:p>
            <w:pPr>
              <w:ind w:left="80"/>
              <w:spacing w:after="0"/>
              <w:rPr>
                <w:sz w:val="20"/>
                <w:szCs w:val="20"/>
                <w:color w:val="auto"/>
              </w:rPr>
            </w:pPr>
            <w:r>
              <w:rPr>
                <w:rFonts w:ascii="Courier New" w:cs="Courier New" w:eastAsia="Courier New" w:hAnsi="Courier New"/>
                <w:sz w:val="12"/>
                <w:szCs w:val="12"/>
                <w:color w:val="auto"/>
              </w:rPr>
              <w:t>Notes due June 2012...............................</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99,892</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99,878</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6.90%</w:t>
            </w:r>
          </w:p>
        </w:tc>
      </w:tr>
      <w:tr>
        <w:trPr>
          <w:trHeight w:val="135"/>
        </w:trPr>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6.000%</w:t>
            </w:r>
          </w:p>
        </w:tc>
        <w:tc>
          <w:tcPr>
            <w:tcW w:w="3800" w:type="dxa"/>
            <w:vAlign w:val="bottom"/>
          </w:tcPr>
          <w:p>
            <w:pPr>
              <w:ind w:left="80"/>
              <w:spacing w:after="0"/>
              <w:rPr>
                <w:sz w:val="20"/>
                <w:szCs w:val="20"/>
                <w:color w:val="auto"/>
              </w:rPr>
            </w:pPr>
            <w:r>
              <w:rPr>
                <w:rFonts w:ascii="Courier New" w:cs="Courier New" w:eastAsia="Courier New" w:hAnsi="Courier New"/>
                <w:sz w:val="12"/>
                <w:szCs w:val="12"/>
                <w:color w:val="auto"/>
              </w:rPr>
              <w:t>Notes due January 2013............................</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148,343</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148,193</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6.18%</w:t>
            </w:r>
          </w:p>
        </w:tc>
      </w:tr>
      <w:tr>
        <w:trPr>
          <w:trHeight w:val="135"/>
        </w:trPr>
        <w:tc>
          <w:tcPr>
            <w:tcW w:w="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$721,716</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$621,803</w:t>
            </w:r>
          </w:p>
        </w:tc>
        <w:tc>
          <w:tcPr>
            <w:tcW w:w="1240" w:type="dxa"/>
            <w:vAlign w:val="bottom"/>
          </w:tcPr>
          <w:p>
            <w:pPr>
              <w:spacing w:after="0"/>
              <w:rPr>
                <w:sz w:val="11"/>
                <w:szCs w:val="11"/>
                <w:color w:val="auto"/>
              </w:rPr>
            </w:pPr>
          </w:p>
        </w:tc>
      </w:tr>
      <w:tr>
        <w:trPr>
          <w:trHeight w:val="137"/>
        </w:trPr>
        <w:tc>
          <w:tcPr>
            <w:tcW w:w="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r>
    </w:tbl>
    <w:p>
      <w:pPr>
        <w:spacing w:after="0" w:line="36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Including discounts on the notes.</w:t>
      </w:r>
    </w:p>
    <w:p>
      <w:pPr>
        <w:spacing w:after="0" w:line="233" w:lineRule="exact"/>
        <w:rPr>
          <w:rFonts w:ascii="Arial" w:cs="Arial" w:eastAsia="Arial" w:hAnsi="Arial"/>
          <w:sz w:val="22"/>
          <w:szCs w:val="22"/>
          <w:color w:val="auto"/>
        </w:rPr>
      </w:pPr>
    </w:p>
    <w:p>
      <w:pPr>
        <w:ind w:left="580" w:right="220" w:hanging="572"/>
        <w:spacing w:after="0"/>
        <w:tabs>
          <w:tab w:leader="none" w:pos="5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March 2004, the OP completed a debt offering consisting of $100 million, 3.5% unsecured term notes due March 15, 2009, priced to yield 3.603% to investors. Proceeds were used to repay virtually all of the $100 million bridge loan facility due July 2004.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ind w:right="9640" w:firstLine="8"/>
        <w:spacing w:after="0" w:line="507" w:lineRule="auto"/>
        <w:tabs>
          <w:tab w:leader="none" w:pos="216"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Mortgage Debt</w:t>
      </w:r>
    </w:p>
    <w:p>
      <w:pPr>
        <w:spacing w:after="0" w:line="1"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A summary of the terms of the mortgage debt outstanding at September 30, 2004 and December 31, 2003, and the related interest rate and Net Book Value ("NBV") of the associated collateral as of September 30, 2004, is as follows (in thousands):</w:t>
      </w: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September 30,</w:t>
            </w:r>
          </w:p>
        </w:tc>
        <w:tc>
          <w:tcPr>
            <w:tcW w:w="14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December 31,</w:t>
            </w:r>
          </w:p>
        </w:tc>
        <w:tc>
          <w:tcPr>
            <w:tcW w:w="1360" w:type="dxa"/>
            <w:vAlign w:val="bottom"/>
          </w:tcPr>
          <w:p>
            <w:pPr>
              <w:ind w:left="520"/>
              <w:spacing w:after="0"/>
              <w:rPr>
                <w:sz w:val="20"/>
                <w:szCs w:val="20"/>
                <w:color w:val="auto"/>
              </w:rPr>
            </w:pPr>
            <w:r>
              <w:rPr>
                <w:rFonts w:ascii="Courier New" w:cs="Courier New" w:eastAsia="Courier New" w:hAnsi="Courier New"/>
                <w:sz w:val="12"/>
                <w:szCs w:val="12"/>
                <w:color w:val="auto"/>
              </w:rPr>
              <w:t>Effective</w:t>
            </w:r>
          </w:p>
        </w:tc>
        <w:tc>
          <w:tcPr>
            <w:tcW w:w="1060" w:type="dxa"/>
            <w:vAlign w:val="bottom"/>
          </w:tcPr>
          <w:p>
            <w:pPr>
              <w:spacing w:after="0"/>
              <w:rPr>
                <w:sz w:val="11"/>
                <w:szCs w:val="11"/>
                <w:color w:val="auto"/>
              </w:rPr>
            </w:pP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2004</w:t>
            </w:r>
          </w:p>
        </w:tc>
        <w:tc>
          <w:tcPr>
            <w:tcW w:w="14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2003</w:t>
            </w:r>
          </w:p>
        </w:tc>
        <w:tc>
          <w:tcPr>
            <w:tcW w:w="1360" w:type="dxa"/>
            <w:vAlign w:val="bottom"/>
          </w:tcPr>
          <w:p>
            <w:pPr>
              <w:ind w:left="220"/>
              <w:spacing w:after="0"/>
              <w:rPr>
                <w:sz w:val="20"/>
                <w:szCs w:val="20"/>
                <w:color w:val="auto"/>
              </w:rPr>
            </w:pPr>
            <w:r>
              <w:rPr>
                <w:rFonts w:ascii="Courier New" w:cs="Courier New" w:eastAsia="Courier New" w:hAnsi="Courier New"/>
                <w:sz w:val="12"/>
                <w:szCs w:val="12"/>
                <w:color w:val="auto"/>
              </w:rPr>
              <w:t>Interest Rate</w:t>
            </w:r>
          </w:p>
        </w:tc>
        <w:tc>
          <w:tcPr>
            <w:tcW w:w="10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NBV</w:t>
            </w: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July 2008 (1)</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8"/>
              </w:rPr>
              <w:t>.............</w:t>
            </w:r>
          </w:p>
        </w:tc>
        <w:tc>
          <w:tcPr>
            <w:tcW w:w="17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$162,379</w:t>
            </w:r>
          </w:p>
        </w:tc>
        <w:tc>
          <w:tcPr>
            <w:tcW w:w="14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$164,727</w:t>
            </w:r>
          </w:p>
        </w:tc>
        <w:tc>
          <w:tcPr>
            <w:tcW w:w="1360" w:type="dxa"/>
            <w:vAlign w:val="bottom"/>
          </w:tcPr>
          <w:p>
            <w:pPr>
              <w:ind w:left="520"/>
              <w:spacing w:after="0"/>
              <w:rPr>
                <w:sz w:val="20"/>
                <w:szCs w:val="20"/>
                <w:color w:val="auto"/>
              </w:rPr>
            </w:pPr>
            <w:r>
              <w:rPr>
                <w:rFonts w:ascii="Courier New" w:cs="Courier New" w:eastAsia="Courier New" w:hAnsi="Courier New"/>
                <w:sz w:val="12"/>
                <w:szCs w:val="12"/>
                <w:color w:val="auto"/>
              </w:rPr>
              <w:t>7.26%</w:t>
            </w: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$248,543</w:t>
            </w:r>
          </w:p>
        </w:tc>
      </w:tr>
      <w:tr>
        <w:trPr>
          <w:trHeight w:val="135"/>
        </w:trPr>
        <w:tc>
          <w:tcPr>
            <w:tcW w:w="2660" w:type="dxa"/>
            <w:vAlign w:val="bottom"/>
            <w:gridSpan w:val="2"/>
          </w:tcPr>
          <w:p>
            <w:pPr>
              <w:spacing w:after="0"/>
              <w:rPr>
                <w:sz w:val="20"/>
                <w:szCs w:val="20"/>
                <w:color w:val="auto"/>
              </w:rPr>
            </w:pPr>
            <w:r>
              <w:rPr>
                <w:rFonts w:ascii="Courier New" w:cs="Courier New" w:eastAsia="Courier New" w:hAnsi="Courier New"/>
                <w:sz w:val="12"/>
                <w:szCs w:val="12"/>
                <w:color w:val="auto"/>
              </w:rPr>
              <w:t>Due April  2010 (2) ...........</w:t>
            </w:r>
          </w:p>
        </w:tc>
        <w:tc>
          <w:tcPr>
            <w:tcW w:w="17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61,475</w:t>
            </w:r>
          </w:p>
        </w:tc>
        <w:tc>
          <w:tcPr>
            <w:tcW w:w="1360" w:type="dxa"/>
            <w:vAlign w:val="bottom"/>
          </w:tcPr>
          <w:p>
            <w:pPr>
              <w:ind w:left="520"/>
              <w:spacing w:after="0"/>
              <w:rPr>
                <w:sz w:val="20"/>
                <w:szCs w:val="20"/>
                <w:color w:val="auto"/>
              </w:rPr>
            </w:pPr>
            <w:r>
              <w:rPr>
                <w:rFonts w:ascii="Courier New" w:cs="Courier New" w:eastAsia="Courier New" w:hAnsi="Courier New"/>
                <w:sz w:val="12"/>
                <w:szCs w:val="12"/>
                <w:color w:val="auto"/>
              </w:rPr>
              <w:t>7.26%</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December 2012</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8"/>
              </w:rPr>
              <w:t>(3)..........</w:t>
            </w:r>
          </w:p>
        </w:tc>
        <w:tc>
          <w:tcPr>
            <w:tcW w:w="17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23,882</w:t>
            </w:r>
          </w:p>
        </w:tc>
        <w:tc>
          <w:tcPr>
            <w:tcW w:w="14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25,477</w:t>
            </w:r>
          </w:p>
        </w:tc>
        <w:tc>
          <w:tcPr>
            <w:tcW w:w="1360" w:type="dxa"/>
            <w:vAlign w:val="bottom"/>
          </w:tcPr>
          <w:p>
            <w:pPr>
              <w:ind w:left="520"/>
              <w:spacing w:after="0"/>
              <w:rPr>
                <w:sz w:val="20"/>
                <w:szCs w:val="20"/>
                <w:color w:val="auto"/>
              </w:rPr>
            </w:pPr>
            <w:r>
              <w:rPr>
                <w:rFonts w:ascii="Courier New" w:cs="Courier New" w:eastAsia="Courier New" w:hAnsi="Courier New"/>
                <w:sz w:val="12"/>
                <w:szCs w:val="12"/>
                <w:color w:val="auto"/>
              </w:rPr>
              <w:t>6.29%</w:t>
            </w: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100,169</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December 2012</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8"/>
              </w:rPr>
              <w:t>(4) .........</w:t>
            </w:r>
          </w:p>
        </w:tc>
        <w:tc>
          <w:tcPr>
            <w:tcW w:w="17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69,659</w:t>
            </w:r>
          </w:p>
        </w:tc>
        <w:tc>
          <w:tcPr>
            <w:tcW w:w="14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70,460</w:t>
            </w:r>
          </w:p>
        </w:tc>
        <w:tc>
          <w:tcPr>
            <w:tcW w:w="1360" w:type="dxa"/>
            <w:vAlign w:val="bottom"/>
          </w:tcPr>
          <w:p>
            <w:pPr>
              <w:ind w:left="520"/>
              <w:spacing w:after="0"/>
              <w:rPr>
                <w:sz w:val="20"/>
                <w:szCs w:val="20"/>
                <w:color w:val="auto"/>
              </w:rPr>
            </w:pPr>
            <w:r>
              <w:rPr>
                <w:rFonts w:ascii="Courier New" w:cs="Courier New" w:eastAsia="Courier New" w:hAnsi="Courier New"/>
                <w:sz w:val="12"/>
                <w:szCs w:val="12"/>
                <w:color w:val="auto"/>
              </w:rPr>
              <w:t>7.67%</w:t>
            </w: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73,720</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Due March 2013 (5)</w:t>
            </w:r>
          </w:p>
        </w:tc>
        <w:tc>
          <w:tcPr>
            <w:tcW w:w="13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62,464</w:t>
            </w:r>
          </w:p>
        </w:tc>
        <w:tc>
          <w:tcPr>
            <w:tcW w:w="14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63,495</w:t>
            </w:r>
          </w:p>
        </w:tc>
        <w:tc>
          <w:tcPr>
            <w:tcW w:w="1360" w:type="dxa"/>
            <w:vAlign w:val="bottom"/>
          </w:tcPr>
          <w:p>
            <w:pPr>
              <w:ind w:left="520"/>
              <w:spacing w:after="0"/>
              <w:rPr>
                <w:sz w:val="20"/>
                <w:szCs w:val="20"/>
                <w:color w:val="auto"/>
              </w:rPr>
            </w:pPr>
            <w:r>
              <w:rPr>
                <w:rFonts w:ascii="Courier New" w:cs="Courier New" w:eastAsia="Courier New" w:hAnsi="Courier New"/>
                <w:sz w:val="12"/>
                <w:szCs w:val="12"/>
                <w:color w:val="auto"/>
              </w:rPr>
              <w:t>5.10%</w:t>
            </w: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112,419</w:t>
            </w: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$318,384</w:t>
            </w:r>
          </w:p>
        </w:tc>
        <w:tc>
          <w:tcPr>
            <w:tcW w:w="146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$385,634</w:t>
            </w:r>
          </w:p>
        </w:tc>
        <w:tc>
          <w:tcPr>
            <w:tcW w:w="1360" w:type="dxa"/>
            <w:vAlign w:val="bottom"/>
          </w:tcPr>
          <w:p>
            <w:pPr>
              <w:spacing w:after="0"/>
              <w:rPr>
                <w:sz w:val="11"/>
                <w:szCs w:val="11"/>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$534,851</w:t>
            </w:r>
          </w:p>
        </w:tc>
      </w:tr>
      <w:tr>
        <w:trPr>
          <w:trHeight w:val="137"/>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372" w:lineRule="exact"/>
        <w:rPr>
          <w:sz w:val="20"/>
          <w:szCs w:val="20"/>
          <w:color w:val="auto"/>
        </w:rPr>
      </w:pPr>
    </w:p>
    <w:p>
      <w:pPr>
        <w:ind w:left="580" w:right="60" w:hanging="572"/>
        <w:spacing w:after="0" w:line="270" w:lineRule="auto"/>
        <w:tabs>
          <w:tab w:leader="none" w:pos="5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F/C mortgage loan was consolidated as part of the August 20, 2002 buyout of Fortress' 51% interest in the F/C Acquisition joint venture. The mortgage bears interest at 6.99% per annum through July 11, 2008, (the "Optional Prepayment Date") and thereafter at a rate equal to the greater of 8.4% plus 5.0% or the Treasury Rate, as defined, plus 6.5% until the earlier of the date the mortgage is paid in full or its maturity date of July 11, 2028. The stated rate was less than that available to the OP in the public debt markets. Accordingly, the OP recorded a $1.2 million debt discount that is amortized over the period of the loan, which increases the effective interest rate to 7.26%. The mortgage may be prepaid in whole or in part at any time after the Optional Prepayment Date without a prepayment penalty. The mortgage calls for a $1.2 million fixed monthly interest plus principal payment based on a 26-year amortization schedule. During the nine months ended September 30, 2004, the OP recognized $109,000 in debt discount amortization that is included in interest expense in the accompanying financial statements.</w:t>
      </w:r>
    </w:p>
    <w:p>
      <w:pPr>
        <w:spacing w:after="0" w:line="203" w:lineRule="exact"/>
        <w:rPr>
          <w:rFonts w:ascii="Arial" w:cs="Arial" w:eastAsia="Arial" w:hAnsi="Arial"/>
          <w:sz w:val="12"/>
          <w:szCs w:val="12"/>
          <w:color w:val="auto"/>
        </w:rPr>
      </w:pPr>
    </w:p>
    <w:p>
      <w:pPr>
        <w:ind w:left="580" w:hanging="572"/>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February 2004, the OP amended the mortgage loan to unencumber the properties (see unsecured bank debt note 5).</w:t>
      </w:r>
    </w:p>
    <w:p>
      <w:pPr>
        <w:spacing w:after="0" w:line="230" w:lineRule="exact"/>
        <w:rPr>
          <w:rFonts w:ascii="Arial" w:cs="Arial" w:eastAsia="Arial" w:hAnsi="Arial"/>
          <w:sz w:val="14"/>
          <w:szCs w:val="14"/>
          <w:color w:val="auto"/>
        </w:rPr>
      </w:pPr>
    </w:p>
    <w:p>
      <w:pPr>
        <w:ind w:left="580" w:right="360" w:hanging="572"/>
        <w:spacing w:after="0" w:line="230"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mortgage loan due December 2012 was assumed as part of an August 2003 acquisition. The stated interest rate of 8.12% was greater than that available to the OP for comparable debt. Consequently, the OP recognized a $1.9 million debt premium that is amortized over the period of the loan, which reduces the effective interest rate to 6.29%. The mortgage loan calls for a $0.3 million fixed monthly debt service payment on a 17-year amortization schedule. During the nine months ended September 30, 2004, the OP recognized approximately $213,000 in debt premium amortization that is included in interest expense in the accompanying financial statements.</w:t>
      </w:r>
    </w:p>
    <w:p>
      <w:pPr>
        <w:spacing w:after="0" w:line="220" w:lineRule="exact"/>
        <w:rPr>
          <w:rFonts w:ascii="Arial" w:cs="Arial" w:eastAsia="Arial" w:hAnsi="Arial"/>
          <w:sz w:val="14"/>
          <w:szCs w:val="14"/>
          <w:color w:val="auto"/>
        </w:rPr>
      </w:pPr>
    </w:p>
    <w:p>
      <w:pPr>
        <w:ind w:left="580" w:right="180" w:hanging="572"/>
        <w:spacing w:after="0" w:line="228"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mortgage loan was assumed as part of a September 2001 acquisition. The stated interest rate of 9.1% was greater than that available to the OP in the public debt markets. Accordingly, the OP recorded a $6.9 million debt premium that will be amortized over the period of the loan, which reduces the effective interest rate to 7.67%. The loan calls for fixed monthly debt service payments of $0.5 million for interest plus principal based on a 26-year amortization schedule. The mortgage loan matures in March 2028 but can be prepaid beginning December 2012. During the nine months ended September 30, 2004 and 2003, the OP recognized $371,000 and $348,000 respectively, in debt premium amortization that is included in interest expense in the accompanying financial statements.</w:t>
      </w:r>
    </w:p>
    <w:p>
      <w:pPr>
        <w:spacing w:after="0" w:line="221" w:lineRule="exact"/>
        <w:rPr>
          <w:rFonts w:ascii="Arial" w:cs="Arial" w:eastAsia="Arial" w:hAnsi="Arial"/>
          <w:sz w:val="14"/>
          <w:szCs w:val="14"/>
          <w:color w:val="auto"/>
        </w:rPr>
      </w:pPr>
    </w:p>
    <w:p>
      <w:pPr>
        <w:jc w:val="both"/>
        <w:ind w:left="580" w:right="160" w:hanging="572"/>
        <w:spacing w:after="0" w:line="318" w:lineRule="auto"/>
        <w:tabs>
          <w:tab w:leader="none" w:pos="5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mortgage loan due March 2013 was assumed as part of a June 2003 acquisition. The stated interest rate of 5.85% was greater than that available to the OP for comparable debt. Accordingly, the OP recorded a $3.4 million debt premium that is amortized over the period of the loan, which reduces the effective interest rate to 5.10%. The loan calls for a $0.4 million fixed monthly debt service</w:t>
      </w:r>
    </w:p>
    <w:p>
      <w:pPr>
        <w:sectPr>
          <w:pgSz w:w="11900" w:h="16915" w:orient="portrait"/>
          <w:cols w:equalWidth="0" w:num="1">
            <w:col w:w="11420"/>
          </w:cols>
          <w:pgMar w:left="240" w:top="129" w:right="239" w:bottom="0" w:gutter="0" w:footer="0" w:header="0"/>
        </w:sectPr>
      </w:pPr>
    </w:p>
    <w:bookmarkStart w:id="8" w:name="page9"/>
    <w:bookmarkEnd w:id="8"/>
    <w:p>
      <w:pPr>
        <w:ind w:left="580" w:right="100"/>
        <w:spacing w:after="0" w:line="239" w:lineRule="auto"/>
        <w:rPr>
          <w:sz w:val="20"/>
          <w:szCs w:val="20"/>
          <w:color w:val="auto"/>
        </w:rPr>
      </w:pPr>
      <w:r>
        <w:rPr>
          <w:rFonts w:ascii="Arial" w:cs="Arial" w:eastAsia="Arial" w:hAnsi="Arial"/>
          <w:sz w:val="14"/>
          <w:szCs w:val="14"/>
          <w:color w:val="auto"/>
        </w:rPr>
        <w:t>payment on a 25-year amortization schedule. During the nine months ended September 30, 2004, the OP recognized approximately $219,000 in debt premium amortization that is included in interest expense in the accompanying financial statements.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Financial Instruments: Derivatives and Hedging</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OP uses interest rate and foreign currency forwards or purchased options to hedge qualifying anticipated transactions. Gains and losses are deferred and recognized in net income in the same period that the underlying hedged transaction affects net income, expires or is otherwise terminated or assigned.</w:t>
      </w:r>
    </w:p>
    <w:p>
      <w:pPr>
        <w:spacing w:after="0" w:line="186"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At September 30, 2004, the OP’s interest rate swap was reported at its fair value and classified as an other liability. At September 30, 2004, there were $2.4 million in deferred losses, recorded in accumulated other comprehensive loss.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1380" w:type="dxa"/>
            <w:vAlign w:val="bottom"/>
          </w:tcPr>
          <w:p>
            <w:pPr>
              <w:ind w:left="180"/>
              <w:spacing w:after="0"/>
              <w:rPr>
                <w:sz w:val="20"/>
                <w:szCs w:val="20"/>
                <w:color w:val="auto"/>
              </w:rPr>
            </w:pPr>
            <w:r>
              <w:rPr>
                <w:rFonts w:ascii="Arial" w:cs="Arial" w:eastAsia="Arial" w:hAnsi="Arial"/>
                <w:sz w:val="22"/>
                <w:szCs w:val="22"/>
                <w:color w:val="auto"/>
                <w:w w:val="98"/>
              </w:rPr>
              <w:t>Hedge Type</w:t>
            </w:r>
          </w:p>
        </w:tc>
        <w:tc>
          <w:tcPr>
            <w:tcW w:w="9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2"/>
                <w:szCs w:val="22"/>
                <w:color w:val="auto"/>
              </w:rPr>
              <w:t>Notional Value</w:t>
            </w:r>
          </w:p>
        </w:tc>
        <w:tc>
          <w:tcPr>
            <w:tcW w:w="820" w:type="dxa"/>
            <w:vAlign w:val="bottom"/>
          </w:tcPr>
          <w:p>
            <w:pPr>
              <w:spacing w:after="0"/>
              <w:rPr>
                <w:sz w:val="21"/>
                <w:szCs w:val="21"/>
                <w:color w:val="auto"/>
              </w:rPr>
            </w:pPr>
          </w:p>
        </w:tc>
        <w:tc>
          <w:tcPr>
            <w:tcW w:w="560" w:type="dxa"/>
            <w:vAlign w:val="bottom"/>
          </w:tcPr>
          <w:p>
            <w:pPr>
              <w:jc w:val="center"/>
              <w:ind w:left="52"/>
              <w:spacing w:after="0"/>
              <w:rPr>
                <w:sz w:val="20"/>
                <w:szCs w:val="20"/>
                <w:color w:val="auto"/>
              </w:rPr>
            </w:pPr>
            <w:r>
              <w:rPr>
                <w:rFonts w:ascii="Arial" w:cs="Arial" w:eastAsia="Arial" w:hAnsi="Arial"/>
                <w:sz w:val="22"/>
                <w:szCs w:val="22"/>
                <w:color w:val="auto"/>
                <w:w w:val="85"/>
              </w:rPr>
              <w:t>Rate</w:t>
            </w:r>
          </w:p>
        </w:tc>
        <w:tc>
          <w:tcPr>
            <w:tcW w:w="1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Maturity</w:t>
            </w:r>
          </w:p>
        </w:tc>
        <w:tc>
          <w:tcPr>
            <w:tcW w:w="2520" w:type="dxa"/>
            <w:vAlign w:val="bottom"/>
            <w:gridSpan w:val="3"/>
          </w:tcPr>
          <w:p>
            <w:pPr>
              <w:ind w:left="1320"/>
              <w:spacing w:after="0"/>
              <w:rPr>
                <w:sz w:val="20"/>
                <w:szCs w:val="20"/>
                <w:color w:val="auto"/>
              </w:rPr>
            </w:pPr>
            <w:r>
              <w:rPr>
                <w:rFonts w:ascii="Arial" w:cs="Arial" w:eastAsia="Arial" w:hAnsi="Arial"/>
                <w:sz w:val="22"/>
                <w:szCs w:val="22"/>
                <w:color w:val="auto"/>
              </w:rPr>
              <w:t>Fair Value</w:t>
            </w: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rPr>
              <w:t>Swap, Cash Flow</w:t>
            </w:r>
          </w:p>
        </w:tc>
        <w:tc>
          <w:tcPr>
            <w:tcW w:w="1460" w:type="dxa"/>
            <w:vAlign w:val="bottom"/>
          </w:tcPr>
          <w:p>
            <w:pPr>
              <w:spacing w:after="0"/>
              <w:rPr>
                <w:sz w:val="20"/>
                <w:szCs w:val="20"/>
                <w:color w:val="auto"/>
              </w:rPr>
            </w:pPr>
            <w:r>
              <w:rPr>
                <w:rFonts w:ascii="Arial" w:cs="Arial" w:eastAsia="Arial" w:hAnsi="Arial"/>
                <w:sz w:val="22"/>
                <w:szCs w:val="22"/>
                <w:color w:val="auto"/>
              </w:rPr>
              <w:t>$66.0 million</w:t>
            </w:r>
          </w:p>
        </w:tc>
        <w:tc>
          <w:tcPr>
            <w:tcW w:w="3100" w:type="dxa"/>
            <w:vAlign w:val="bottom"/>
            <w:gridSpan w:val="3"/>
          </w:tcPr>
          <w:p>
            <w:pPr>
              <w:jc w:val="right"/>
              <w:ind w:right="1520"/>
              <w:spacing w:after="0"/>
              <w:rPr>
                <w:sz w:val="20"/>
                <w:szCs w:val="20"/>
                <w:color w:val="auto"/>
              </w:rPr>
            </w:pPr>
            <w:r>
              <w:rPr>
                <w:rFonts w:ascii="Arial" w:cs="Arial" w:eastAsia="Arial" w:hAnsi="Arial"/>
                <w:sz w:val="22"/>
                <w:szCs w:val="22"/>
                <w:color w:val="auto"/>
              </w:rPr>
              <w:t>5.7625%</w:t>
            </w:r>
          </w:p>
        </w:tc>
        <w:tc>
          <w:tcPr>
            <w:tcW w:w="960" w:type="dxa"/>
            <w:vAlign w:val="bottom"/>
          </w:tcPr>
          <w:p>
            <w:pPr>
              <w:jc w:val="right"/>
              <w:ind w:right="92"/>
              <w:spacing w:after="0"/>
              <w:rPr>
                <w:sz w:val="20"/>
                <w:szCs w:val="20"/>
                <w:color w:val="auto"/>
              </w:rPr>
            </w:pPr>
            <w:r>
              <w:rPr>
                <w:rFonts w:ascii="Arial" w:cs="Arial" w:eastAsia="Arial" w:hAnsi="Arial"/>
                <w:sz w:val="22"/>
                <w:szCs w:val="22"/>
                <w:color w:val="auto"/>
                <w:w w:val="86"/>
              </w:rPr>
              <w:t>1/1/2006</w:t>
            </w:r>
          </w:p>
        </w:tc>
        <w:tc>
          <w:tcPr>
            <w:tcW w:w="2520" w:type="dxa"/>
            <w:vAlign w:val="bottom"/>
            <w:gridSpan w:val="3"/>
          </w:tcPr>
          <w:p>
            <w:pPr>
              <w:ind w:left="1320"/>
              <w:spacing w:after="0"/>
              <w:rPr>
                <w:sz w:val="20"/>
                <w:szCs w:val="20"/>
                <w:color w:val="auto"/>
              </w:rPr>
            </w:pPr>
            <w:r>
              <w:rPr>
                <w:rFonts w:ascii="Arial" w:cs="Arial" w:eastAsia="Arial" w:hAnsi="Arial"/>
                <w:sz w:val="22"/>
                <w:szCs w:val="22"/>
                <w:color w:val="auto"/>
                <w:w w:val="93"/>
              </w:rPr>
              <w:t>($2.6 million)</w:t>
            </w:r>
          </w:p>
        </w:tc>
      </w:tr>
    </w:tbl>
    <w:p>
      <w:pPr>
        <w:spacing w:after="0" w:line="200" w:lineRule="exact"/>
        <w:rPr>
          <w:sz w:val="20"/>
          <w:szCs w:val="20"/>
          <w:color w:val="auto"/>
        </w:rPr>
      </w:pPr>
    </w:p>
    <w:p>
      <w:pPr>
        <w:spacing w:after="0" w:line="228"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The notional value and fair value of the above hedge provides an indication of the extent of the OP’s involvement in financial derivative instruments at September 30, 2004, but does not represent exposure to credit, interest rate, foreign exchange or market risk.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Preferred Units</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In September 1999, the OP completed a private sale of $65 million of Series B Cumulative Redeemable Preferred Units ("Preferred Units") to an institutional investor. The private placement was for 1.3 million Preferred Units at a stated value of $50 each. The Preferred Units were called at par at the OP’s option, in September 2004. The Preferred Units had no stated maturity or mandatory redemption and paid a cumulative quarterly dividend at an annualized rate of 9.0%. The Preferred Units were exchangeable into Series B Cumulative Redeemable Preferred Stock of the Company after ten years. The OP recorded a $1.7 million write-off of offering costs associated with the redemption which is included in preferred unit requirement in the accompanying consolidated financial statements.</w:t>
      </w:r>
    </w:p>
    <w:p>
      <w:pPr>
        <w:spacing w:after="0" w:line="191"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In September 2004, the Company completed a private sale of $65 million of Series C Variable Rate Preferred Stock (the Series C Preferred Stock). Proceeds from the sale were used to redeem the OP’s Series B Cumulative Redeemable Preferred Units for approximately $65 million. The private sale was for 2.6 million restricted shares having a liquidation preference of $25.00 per unit share. The Series C Preferred Stock was redeemable at the Company’s option, and paid a cumulative quarterly dividend at a rate equal to the London Interbank Offered Rate ("LIBOR") plus 1.0%. Pursuant to the Simon/Chelsea Merger Agreement, on October 13, 2004, the Series C Preferred Stock was fully redeemed.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Partners’ Capital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statement of partners’ capital at September 30, 2004,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Accum.</w:t>
            </w:r>
          </w:p>
        </w:tc>
        <w:tc>
          <w:tcPr>
            <w:tcW w:w="9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General</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Limited</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Preferred</w:t>
            </w:r>
          </w:p>
        </w:tc>
        <w:tc>
          <w:tcPr>
            <w:tcW w:w="132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Other Comp.</w:t>
            </w:r>
          </w:p>
        </w:tc>
        <w:tc>
          <w:tcPr>
            <w:tcW w:w="9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Partner's</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Partners'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Partner's</w:t>
            </w:r>
          </w:p>
        </w:tc>
        <w:tc>
          <w:tcPr>
            <w:tcW w:w="132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Income</w:t>
            </w:r>
          </w:p>
        </w:tc>
        <w:tc>
          <w:tcPr>
            <w:tcW w:w="9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Capital</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Capital</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Capital</w:t>
            </w:r>
          </w:p>
        </w:tc>
        <w:tc>
          <w:tcPr>
            <w:tcW w:w="132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(Loss)</w:t>
            </w:r>
          </w:p>
        </w:tc>
        <w:tc>
          <w:tcPr>
            <w:tcW w:w="9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Total</w:t>
            </w:r>
          </w:p>
        </w:tc>
      </w:tr>
      <w:tr>
        <w:trPr>
          <w:trHeight w:val="137"/>
        </w:trPr>
        <w:tc>
          <w:tcPr>
            <w:tcW w:w="3360" w:type="dxa"/>
            <w:vAlign w:val="bottom"/>
          </w:tcPr>
          <w:p>
            <w:pPr>
              <w:spacing w:after="0"/>
              <w:rPr>
                <w:sz w:val="11"/>
                <w:szCs w:val="11"/>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 ------------</w:t>
            </w:r>
          </w:p>
        </w:tc>
        <w:tc>
          <w:tcPr>
            <w:tcW w:w="13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270"/>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Balance December 31, 2003...................</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$524,295</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$81,934</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$63,315</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$(4,010)</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$665,534</w:t>
            </w:r>
          </w:p>
        </w:tc>
      </w:tr>
      <w:tr>
        <w:trPr>
          <w:trHeight w:val="268"/>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Net income..................................</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83,540</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17,443</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100,983</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Other comprehensive income/(loss): .........</w:t>
            </w: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Foreign currency translation...........</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(233)</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(233)</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Interest rate swap.....................</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2,022</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2,022</w:t>
            </w:r>
          </w:p>
        </w:tc>
      </w:tr>
      <w:tr>
        <w:trPr>
          <w:trHeight w:val="135"/>
        </w:trPr>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Total comprehensive income..................</w:t>
            </w: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102,772</w:t>
            </w:r>
          </w:p>
        </w:tc>
      </w:tr>
      <w:tr>
        <w:trPr>
          <w:trHeight w:val="135"/>
        </w:trPr>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Preferred unit redemption...................</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(63,315)</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(63,315)</w:t>
            </w:r>
          </w:p>
        </w:tc>
      </w:tr>
      <w:tr>
        <w:trPr>
          <w:trHeight w:val="268"/>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Preferred stock contribution................</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65,000</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65,000</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Common distributions........................</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(79,417)</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(12,982)</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(92,399)</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Preferred distribution......................</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(3,952)</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(4,362)</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(8,314)</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Contributions (net of costs) ...............</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7,541</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7,541</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Transfer of limited partners' interest......</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1,694</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(1,694)</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13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Balance September 30, 2004..................</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$ 598,701</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$80,339</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   -</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$(2,221)</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$676,819</w:t>
            </w:r>
          </w:p>
        </w:tc>
      </w:tr>
      <w:tr>
        <w:trPr>
          <w:trHeight w:val="137"/>
        </w:trPr>
        <w:tc>
          <w:tcPr>
            <w:tcW w:w="3360" w:type="dxa"/>
            <w:vAlign w:val="bottom"/>
          </w:tcPr>
          <w:p>
            <w:pPr>
              <w:spacing w:after="0"/>
              <w:rPr>
                <w:sz w:val="11"/>
                <w:szCs w:val="11"/>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13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Distribution</w:t>
      </w:r>
    </w:p>
    <w:p>
      <w:pPr>
        <w:spacing w:after="0" w:line="131"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On September 14, 2004, the Board of Directors of the Company, as general partner of the OP, declared a $0.60 per unit distribution to unitholders of record on September 30, 2004. The distribution totaling $30.8 million was paid on October 12, 2004.</w:t>
      </w:r>
    </w:p>
    <w:p>
      <w:pPr>
        <w:sectPr>
          <w:pgSz w:w="11900" w:h="16838" w:orient="portrait"/>
          <w:cols w:equalWidth="0" w:num="1">
            <w:col w:w="11400"/>
          </w:cols>
          <w:pgMar w:left="240" w:top="129" w:right="259" w:bottom="0" w:gutter="0" w:footer="0" w:header="0"/>
        </w:sectPr>
      </w:pPr>
    </w:p>
    <w:bookmarkStart w:id="9" w:name="page10"/>
    <w:bookmarkEnd w:id="9"/>
    <w:p>
      <w:pPr>
        <w:ind w:right="80"/>
        <w:spacing w:after="0" w:line="238" w:lineRule="auto"/>
        <w:rPr>
          <w:sz w:val="20"/>
          <w:szCs w:val="20"/>
          <w:color w:val="auto"/>
        </w:rPr>
      </w:pPr>
      <w:r>
        <w:rPr>
          <w:rFonts w:ascii="Arial" w:cs="Arial" w:eastAsia="Arial" w:hAnsi="Arial"/>
          <w:sz w:val="22"/>
          <w:szCs w:val="22"/>
          <w:color w:val="auto"/>
        </w:rPr>
        <w:t>The Board of Directors of the Company on October 4, 2004, announced a cash distribution of $0.091304 per unit for the period from October 1, 2004 to October 14, 2004. The distribution, totaling $4.7 million, was paid October 22, 2004, to the unitholders of record on October 13, 2004, the last business day prior to the merger effective date between Simon Property Group, Inc. and the OP.</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13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No provision has been made for income taxes in the accompanying consolidated financial statements since such taxes, if any, are the responsibility of the individual partners.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 Net Income Per Partnership Unit</w:t>
      </w:r>
    </w:p>
    <w:p>
      <w:pPr>
        <w:spacing w:after="0" w:line="131" w:lineRule="exact"/>
        <w:rPr>
          <w:sz w:val="20"/>
          <w:szCs w:val="20"/>
          <w:color w:val="auto"/>
        </w:rPr>
      </w:pPr>
    </w:p>
    <w:p>
      <w:pPr>
        <w:ind w:right="580"/>
        <w:spacing w:after="0"/>
        <w:rPr>
          <w:sz w:val="20"/>
          <w:szCs w:val="20"/>
          <w:color w:val="auto"/>
        </w:rPr>
      </w:pPr>
      <w:r>
        <w:rPr>
          <w:rFonts w:ascii="Arial" w:cs="Arial" w:eastAsia="Arial" w:hAnsi="Arial"/>
          <w:sz w:val="22"/>
          <w:szCs w:val="22"/>
          <w:color w:val="auto"/>
        </w:rPr>
        <w:t>Net income per partnership unit is determined by allocating net income to the general partner (including the general partner’s preferred unit allocation) and the limited partners based on their weighted average partnership units outstanding during the respective periods presented.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Commitments and Contingencies</w:t>
      </w:r>
    </w:p>
    <w:p>
      <w:pPr>
        <w:spacing w:after="0" w:line="131"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In connection with the Simon-Ventures, the OP has committed to provide 50% of the development costs or approximately $45.0 million to Simon-Chicago. As of September 30, 2004, the OP had contributed $42.6 million for the project.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Borrowings related to Chelsea Japan for which the Company and the OP have provided guarantees for repayment of debt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2004, are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320" w:type="dxa"/>
            <w:vAlign w:val="bottom"/>
          </w:tcPr>
          <w:p>
            <w:pPr>
              <w:ind w:left="880"/>
              <w:spacing w:after="0"/>
              <w:rPr>
                <w:sz w:val="20"/>
                <w:szCs w:val="20"/>
                <w:color w:val="auto"/>
              </w:rPr>
            </w:pPr>
            <w:r>
              <w:rPr>
                <w:rFonts w:ascii="Courier New" w:cs="Courier New" w:eastAsia="Courier New" w:hAnsi="Courier New"/>
                <w:sz w:val="12"/>
                <w:szCs w:val="12"/>
                <w:b w:val="1"/>
                <w:bCs w:val="1"/>
                <w:color w:val="auto"/>
              </w:rPr>
              <w:t>Total</w:t>
            </w:r>
          </w:p>
        </w:tc>
        <w:tc>
          <w:tcPr>
            <w:tcW w:w="1320" w:type="dxa"/>
            <w:vAlign w:val="bottom"/>
          </w:tcPr>
          <w:p>
            <w:pPr>
              <w:spacing w:after="0"/>
              <w:rPr>
                <w:sz w:val="20"/>
                <w:szCs w:val="20"/>
                <w:color w:val="auto"/>
              </w:rPr>
            </w:pPr>
            <w:r>
              <w:rPr>
                <w:rFonts w:ascii="Courier New" w:cs="Courier New" w:eastAsia="Courier New" w:hAnsi="Courier New"/>
                <w:sz w:val="12"/>
                <w:szCs w:val="12"/>
                <w:b w:val="1"/>
                <w:bCs w:val="1"/>
                <w:color w:val="auto"/>
              </w:rPr>
              <w:t>Facility</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60" w:type="dxa"/>
            <w:vAlign w:val="bottom"/>
            <w:gridSpan w:val="2"/>
          </w:tcPr>
          <w:p>
            <w:pPr>
              <w:jc w:val="right"/>
              <w:ind w:right="519"/>
              <w:spacing w:after="0"/>
              <w:rPr>
                <w:sz w:val="20"/>
                <w:szCs w:val="20"/>
                <w:color w:val="auto"/>
              </w:rPr>
            </w:pPr>
            <w:r>
              <w:rPr>
                <w:rFonts w:ascii="Courier New" w:cs="Courier New" w:eastAsia="Courier New" w:hAnsi="Courier New"/>
                <w:sz w:val="12"/>
                <w:szCs w:val="12"/>
                <w:b w:val="1"/>
                <w:bCs w:val="1"/>
                <w:color w:val="auto"/>
              </w:rPr>
              <w:t>Outstanding</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2640" w:type="dxa"/>
            <w:vAlign w:val="bottom"/>
            <w:gridSpan w:val="2"/>
          </w:tcPr>
          <w:p>
            <w:pPr>
              <w:ind w:left="160"/>
              <w:spacing w:after="0"/>
              <w:rPr>
                <w:sz w:val="20"/>
                <w:szCs w:val="20"/>
                <w:color w:val="auto"/>
              </w:rPr>
            </w:pPr>
            <w:r>
              <w:rPr>
                <w:rFonts w:ascii="Courier New" w:cs="Courier New" w:eastAsia="Courier New" w:hAnsi="Courier New"/>
                <w:sz w:val="12"/>
                <w:szCs w:val="12"/>
                <w:b w:val="1"/>
                <w:bCs w:val="1"/>
                <w:color w:val="auto"/>
                <w:w w:val="97"/>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2"/>
                <w:szCs w:val="2"/>
                <w:b w:val="1"/>
                <w:bCs w:val="1"/>
                <w:color w:val="auto"/>
              </w:rPr>
              <w:t>---------------------------------------------------------------------</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Due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13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Yen</w:t>
            </w:r>
          </w:p>
        </w:tc>
        <w:tc>
          <w:tcPr>
            <w:tcW w:w="132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w w:val="99"/>
              </w:rPr>
              <w:t>US $ Equivalent</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US $ Equivalent</w:t>
            </w:r>
          </w:p>
        </w:tc>
        <w:tc>
          <w:tcPr>
            <w:tcW w:w="5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US $</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Guarantee</w:t>
            </w: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Date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3.8 billion (1)</w:t>
            </w:r>
          </w:p>
        </w:tc>
        <w:tc>
          <w:tcPr>
            <w:tcW w:w="1320" w:type="dxa"/>
            <w:vAlign w:val="bottom"/>
          </w:tcPr>
          <w:p>
            <w:pPr>
              <w:spacing w:after="0"/>
              <w:rPr>
                <w:sz w:val="20"/>
                <w:szCs w:val="20"/>
                <w:color w:val="auto"/>
              </w:rPr>
            </w:pPr>
            <w:r>
              <w:rPr>
                <w:rFonts w:ascii="Courier New" w:cs="Courier New" w:eastAsia="Courier New" w:hAnsi="Courier New"/>
                <w:sz w:val="12"/>
                <w:szCs w:val="12"/>
                <w:color w:val="auto"/>
              </w:rPr>
              <w:t>$34.5 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3.1</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$27.9</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$11.2</w:t>
            </w:r>
          </w:p>
        </w:tc>
        <w:tc>
          <w:tcPr>
            <w:tcW w:w="900" w:type="dxa"/>
            <w:vAlign w:val="bottom"/>
          </w:tcPr>
          <w:p>
            <w:pPr>
              <w:ind w:left="20"/>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2.20%</w:t>
            </w:r>
          </w:p>
        </w:tc>
      </w:tr>
      <w:tr>
        <w:trPr>
          <w:trHeight w:val="137"/>
        </w:trPr>
        <w:tc>
          <w:tcPr>
            <w:tcW w:w="1320" w:type="dxa"/>
            <w:vAlign w:val="bottom"/>
          </w:tcPr>
          <w:p>
            <w:pPr>
              <w:ind w:left="80"/>
              <w:spacing w:after="0"/>
              <w:rPr>
                <w:sz w:val="20"/>
                <w:szCs w:val="20"/>
                <w:color w:val="auto"/>
              </w:rPr>
            </w:pPr>
            <w:r>
              <w:rPr>
                <w:rFonts w:ascii="Courier New" w:cs="Courier New" w:eastAsia="Courier New" w:hAnsi="Courier New"/>
                <w:sz w:val="12"/>
                <w:szCs w:val="12"/>
                <w:color w:val="auto"/>
              </w:rPr>
              <w:t>0.6 billion (1)</w:t>
            </w:r>
          </w:p>
        </w:tc>
        <w:tc>
          <w:tcPr>
            <w:tcW w:w="132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5.5 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0.5</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4.3</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c>
          <w:tcPr>
            <w:tcW w:w="900" w:type="dxa"/>
            <w:vAlign w:val="bottom"/>
          </w:tcPr>
          <w:p>
            <w:pPr>
              <w:ind w:left="20"/>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1.50%</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(1) Facilities entered into by Chelsea Japan, secured by Gotemba and Rinku and 40% severally guaranteed by the OP.</w:t>
      </w:r>
    </w:p>
    <w:p>
      <w:pPr>
        <w:spacing w:after="0" w:line="1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In May 2002, the OP entered into a 50/50 joint venture agreement with Sordo Madaleno y Asociados and affiliates to jointly develop Premium Outlet centers in Mexico. Construction on the 230,000 square-foot first phase of Premium Outlets Punta Norte commenced in July 2003; the center is scheduled to open in late 2004. The OP is responsible for financing its 50% share of project costs or approximately $16.0 million. As of September 30, 2004, the OP had contributed $13.5 million toward project costs and capitalized professional and other costs of $4.2 million. In January 2004, a wholly-owned affiliate of the OP entered into a peso-denominated credit facility, which is guaranteed by the Company and the OP, to fund its share of construction costs.</w:t>
      </w:r>
    </w:p>
    <w:p>
      <w:pPr>
        <w:spacing w:after="0" w:line="70"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At September 30, 2004, other assets include $8.7 million and accrued expenses and other liabilities include $24.0 million related to the 2002 deferred unit incentive program, which may be paid to certain key officers in 2007.</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As of September 30, 2004, the OP had provided limited debt service guarantees of approximately $14.6 million to Value Retail and affiliates, under a standby facility for loans provided to Value Retail and affiliates to construct outlet centers in Europe. The standby facility, which has a maximum limit of $22.0 million, expired in November 2001, and outstanding guarantees shall not survive more than five years after project completion.</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OP is not presently involved in any material litigation nor, to its knowledge, is any material litigation threatened against the OP or its properties, other than routine litigation arising in the ordinary course of business. Management believes the costs incurred by the OP related to any of its litigation will not be material and have been adequately provided for in the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Related Party Information</w:t>
      </w:r>
    </w:p>
    <w:p>
      <w:pPr>
        <w:spacing w:after="0" w:line="131"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OP’s wholly-owned equity investee in Japan, Chelsea International Operating Corp., has advanced partner loans to Chelsea Japan totaling 1.5 billion yen (approximately US $13.6 million) at September 30, 2004. The loans, which were used to fund construction costs, bear interest at yen LIBOR plus 3.0% (3.05% at September 30, 2004) and mature in 2005 (854 million yen) and in 2014 (646 million yen). The loans are included in notes receivable-related parties in the accompanying financial statements.</w:t>
      </w:r>
    </w:p>
    <w:p>
      <w:pPr>
        <w:spacing w:after="0" w:line="62"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In October 2004, the OP borrowed $65 million from Simon Property Group, Inc. and issued an unsecured promissory note due December 31, 2004. Interest is payable monthly at LIBOR plus 1% per annum. The borrowed funds were used primarily to redeem the Series C Preferred Stock prior to the Simon/Chelsea merger closing on October 14, 2004.</w:t>
      </w:r>
    </w:p>
    <w:p>
      <w:pPr>
        <w:spacing w:after="0" w:line="86"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Pursuant to the Merger Agreement, the Company’s Chairman and CEO is entitled to a special bonus of $5.0 million immediately prior to the effective time of the merger, which was paid on October 14, 2004. The Company’s Vice Chairman is entitled to a special bonus of $0.5 million upon the closing of the merger, which was paid on October 18, 2004.</w:t>
      </w:r>
    </w:p>
    <w:p>
      <w:pPr>
        <w:sectPr>
          <w:pgSz w:w="11900" w:h="16838" w:orient="portrait"/>
          <w:cols w:equalWidth="0" w:num="1">
            <w:col w:w="11400"/>
          </w:cols>
          <w:pgMar w:left="240" w:top="118" w:right="259" w:bottom="0" w:gutter="0" w:footer="0" w:header="0"/>
        </w:sectPr>
      </w:pPr>
    </w:p>
    <w:bookmarkStart w:id="10" w:name="page11"/>
    <w:bookmarkEnd w:id="10"/>
    <w:p>
      <w:pPr>
        <w:ind w:right="60"/>
        <w:spacing w:after="0" w:line="249" w:lineRule="auto"/>
        <w:rPr>
          <w:sz w:val="20"/>
          <w:szCs w:val="20"/>
          <w:color w:val="auto"/>
        </w:rPr>
      </w:pPr>
      <w:r>
        <w:rPr>
          <w:rFonts w:ascii="Arial" w:cs="Arial" w:eastAsia="Arial" w:hAnsi="Arial"/>
          <w:sz w:val="21"/>
          <w:szCs w:val="21"/>
          <w:color w:val="auto"/>
        </w:rPr>
        <w:t>In 1999, the OP established a $6.0 million secured loan facility that expired in June 2004 for the benefit of certain unitholders. Under the loan facility, each borrower issued a note that was secured by OP units, bore interest at a rate of LIBOR plus 2.0% per annum payable quarterly and was due by the facility expiration date. In April 2004, the OP received the sole remaining outstanding principal payment of $2.2 million plus interest, thereby extinguishing the entire outstanding balance of the loan facility. Effective June 2002, the OP changed its policy to eliminate new loans to directors and officers.</w:t>
      </w:r>
    </w:p>
    <w:p>
      <w:pPr>
        <w:spacing w:after="0" w:line="9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In August 1997, the OP and one of the Company’s directors entered into a Consulting Agreement pursuant to which the director agreed to perform services for the OP in connection with the development and operation of manufacturer’s outlet centers in Japan and Hawaii. The agreement provided for payments to the director of $10,000 per month and was terminated by the OP in December 1999. During the term of the agreement and for four years after the termination, the director was entitled to deferred compensation of 1% of the development costs, up to a maximum amount of $0.5 million per project, on all projects in which he was involved in Japan or Hawaii either directly or as a result of Mitsubishi and/or Nissho Iwai committing to develop such project with the OP in Japan during the previously mentioned four-year period. The final payment under this agreement, related to the opening of Tosu Premium Outlets which was Board-approved during 2003, was paid in March 2004. Fees paid under this agreement totaled $0.7 million for the nine months ended September 30, 2004. These fees are included in investment in affiliates in the accompanying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Segment Information</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The OP is principally engaged in the development, ownership, acquisition and operation of manufacturers’ outlet centers and has determined that under SFAS No.131 "Disclosures about Segments of an Enterprise and Related Information" it has three reportable real estate segments in 2004: domestic outlets, international outlets and other retail. Prior to 2004, the OP’s segments consisted of premium domestic, other domestic and international centers. In 2004, the OP combined 12 centers containing 4.3 million square feet of GLA with the premium domestic segment to create a new segment called domestic outlets. These centers, which were included in the other domestic segment prior to 2004, contain many of the same tenants and characteristics of the OP’s Premium Outlets. The other retail segment now consists of 19 centers containing 2.6 million square feet of GLA, which contributes approximately 3% of the OP’s real estate net operating income. The 2003 segment information has been adjusted to conform to the new presentation. The OP evaluates real estate performance and allocates resources based on Net Operating Income ("NOI") defined as total revenue less operating expenses. The primary sources of revenue are generated from tenant base rents, percentage rents and reimbursement revenue. Operating expenses primarily consist of common area maintenance, real estate taxes and promotional expenses.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Segment Information (continued)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The real estate business segments meet the quantitative threshold for determining reportable segments: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ind w:left="80"/>
              <w:spacing w:after="0"/>
              <w:rPr>
                <w:sz w:val="20"/>
                <w:szCs w:val="20"/>
                <w:color w:val="auto"/>
              </w:rPr>
            </w:pPr>
            <w:r>
              <w:rPr>
                <w:rFonts w:ascii="Courier New" w:cs="Courier New" w:eastAsia="Courier New" w:hAnsi="Courier New"/>
                <w:sz w:val="12"/>
                <w:szCs w:val="12"/>
                <w:b w:val="1"/>
                <w:bCs w:val="1"/>
                <w:color w:val="auto"/>
                <w:w w:val="92"/>
              </w:rPr>
              <w:t>For</w:t>
            </w:r>
          </w:p>
        </w:tc>
        <w:tc>
          <w:tcPr>
            <w:tcW w:w="1460" w:type="dxa"/>
            <w:vAlign w:val="bottom"/>
            <w:gridSpan w:val="5"/>
          </w:tcPr>
          <w:p>
            <w:pPr>
              <w:ind w:left="80"/>
              <w:spacing w:after="0"/>
              <w:rPr>
                <w:sz w:val="20"/>
                <w:szCs w:val="20"/>
                <w:color w:val="auto"/>
              </w:rPr>
            </w:pPr>
            <w:r>
              <w:rPr>
                <w:rFonts w:ascii="Courier New" w:cs="Courier New" w:eastAsia="Courier New" w:hAnsi="Courier New"/>
                <w:sz w:val="12"/>
                <w:szCs w:val="12"/>
                <w:b w:val="1"/>
                <w:bCs w:val="1"/>
                <w:color w:val="auto"/>
              </w:rPr>
              <w:t>the months ended:</w:t>
            </w:r>
          </w:p>
        </w:tc>
        <w:tc>
          <w:tcPr>
            <w:tcW w:w="1280" w:type="dxa"/>
            <w:vAlign w:val="bottom"/>
          </w:tcPr>
          <w:p>
            <w:pPr>
              <w:spacing w:after="0"/>
              <w:rPr>
                <w:sz w:val="11"/>
                <w:szCs w:val="11"/>
                <w:color w:val="auto"/>
              </w:rPr>
            </w:pP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Domestic</w:t>
            </w:r>
          </w:p>
        </w:tc>
        <w:tc>
          <w:tcPr>
            <w:tcW w:w="14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International</w:t>
            </w:r>
          </w:p>
        </w:tc>
        <w:tc>
          <w:tcPr>
            <w:tcW w:w="102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Other</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(in thousands)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Outlets</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Outlets</w:t>
            </w:r>
          </w:p>
        </w:tc>
        <w:tc>
          <w:tcPr>
            <w:tcW w:w="102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Retail</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Other</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Total</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980" w:type="dxa"/>
            <w:vAlign w:val="bottom"/>
            <w:gridSpan w:val="2"/>
          </w:tcPr>
          <w:p>
            <w:pPr>
              <w:jc w:val="right"/>
              <w:ind w:right="19"/>
              <w:spacing w:after="0"/>
              <w:rPr>
                <w:sz w:val="20"/>
                <w:szCs w:val="20"/>
                <w:color w:val="auto"/>
              </w:rPr>
            </w:pPr>
            <w:r>
              <w:rPr>
                <w:rFonts w:ascii="Courier New" w:cs="Courier New" w:eastAsia="Courier New" w:hAnsi="Courier New"/>
                <w:sz w:val="12"/>
                <w:szCs w:val="12"/>
                <w:b w:val="1"/>
                <w:bCs w:val="1"/>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7"/>
        </w:trPr>
        <w:tc>
          <w:tcPr>
            <w:tcW w:w="1100" w:type="dxa"/>
            <w:vAlign w:val="bottom"/>
            <w:gridSpan w:val="3"/>
            <w:vMerge w:val="restart"/>
          </w:tcPr>
          <w:p>
            <w:pPr>
              <w:spacing w:after="0"/>
              <w:rPr>
                <w:sz w:val="20"/>
                <w:szCs w:val="20"/>
                <w:color w:val="auto"/>
              </w:rPr>
            </w:pPr>
            <w:r>
              <w:rPr>
                <w:rFonts w:ascii="Courier New" w:cs="Courier New" w:eastAsia="Courier New" w:hAnsi="Courier New"/>
                <w:sz w:val="12"/>
                <w:szCs w:val="12"/>
                <w:b w:val="1"/>
                <w:bCs w:val="1"/>
                <w:color w:val="auto"/>
              </w:rPr>
              <w:t>Total revenues</w:t>
            </w:r>
          </w:p>
        </w:tc>
        <w:tc>
          <w:tcPr>
            <w:tcW w:w="300" w:type="dxa"/>
            <w:vAlign w:val="bottom"/>
            <w:gridSpan w:val="2"/>
            <w:vMerge w:val="restart"/>
          </w:tcPr>
          <w:p>
            <w:pPr>
              <w:jc w:val="right"/>
              <w:ind w:right="19"/>
              <w:spacing w:after="0"/>
              <w:rPr>
                <w:sz w:val="20"/>
                <w:szCs w:val="20"/>
                <w:color w:val="auto"/>
              </w:rPr>
            </w:pPr>
            <w:r>
              <w:rPr>
                <w:rFonts w:ascii="Courier New" w:cs="Courier New" w:eastAsia="Courier New" w:hAnsi="Courier New"/>
                <w:sz w:val="12"/>
                <w:szCs w:val="12"/>
                <w:b w:val="1"/>
                <w:bCs w:val="1"/>
                <w:color w:val="auto"/>
                <w:w w:val="92"/>
              </w:rPr>
              <w:t>(1)</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(3)</w:t>
            </w: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(4)</w:t>
            </w:r>
          </w:p>
        </w:tc>
        <w:tc>
          <w:tcPr>
            <w:tcW w:w="9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(5)</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gridSpan w:val="3"/>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Three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2740" w:type="dxa"/>
            <w:vAlign w:val="bottom"/>
            <w:gridSpan w:val="6"/>
          </w:tcPr>
          <w:p>
            <w:pPr>
              <w:spacing w:after="0"/>
              <w:rPr>
                <w:sz w:val="20"/>
                <w:szCs w:val="20"/>
                <w:color w:val="auto"/>
              </w:rPr>
            </w:pPr>
            <w:r>
              <w:rPr>
                <w:rFonts w:ascii="Courier New" w:cs="Courier New" w:eastAsia="Courier New" w:hAnsi="Courier New"/>
                <w:sz w:val="12"/>
                <w:szCs w:val="12"/>
                <w:color w:val="auto"/>
              </w:rPr>
              <w:t>September 30, 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96,058</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4,435</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259</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100,752</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2740" w:type="dxa"/>
            <w:vAlign w:val="bottom"/>
            <w:gridSpan w:val="6"/>
          </w:tcPr>
          <w:p>
            <w:pPr>
              <w:spacing w:after="0"/>
              <w:rPr>
                <w:sz w:val="20"/>
                <w:szCs w:val="20"/>
                <w:color w:val="auto"/>
              </w:rPr>
            </w:pPr>
            <w:r>
              <w:rPr>
                <w:rFonts w:ascii="Courier New" w:cs="Courier New" w:eastAsia="Courier New" w:hAnsi="Courier New"/>
                <w:sz w:val="12"/>
                <w:szCs w:val="12"/>
                <w:color w:val="auto"/>
              </w:rPr>
              <w:t>September 30, 2003 (2).............</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87,304</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4,756</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143</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92,203</w:t>
            </w: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Nine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2740" w:type="dxa"/>
            <w:vAlign w:val="bottom"/>
            <w:gridSpan w:val="6"/>
          </w:tcPr>
          <w:p>
            <w:pPr>
              <w:spacing w:after="0"/>
              <w:rPr>
                <w:sz w:val="20"/>
                <w:szCs w:val="20"/>
                <w:color w:val="auto"/>
              </w:rPr>
            </w:pPr>
            <w:r>
              <w:rPr>
                <w:rFonts w:ascii="Courier New" w:cs="Courier New" w:eastAsia="Courier New" w:hAnsi="Courier New"/>
                <w:sz w:val="12"/>
                <w:szCs w:val="12"/>
                <w:color w:val="auto"/>
              </w:rPr>
              <w:t>September 30, 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276,243</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13,630</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743</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290,616</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2740" w:type="dxa"/>
            <w:vAlign w:val="bottom"/>
            <w:gridSpan w:val="6"/>
          </w:tcPr>
          <w:p>
            <w:pPr>
              <w:spacing w:after="0"/>
              <w:rPr>
                <w:sz w:val="20"/>
                <w:szCs w:val="20"/>
                <w:color w:val="auto"/>
              </w:rPr>
            </w:pPr>
            <w:r>
              <w:rPr>
                <w:rFonts w:ascii="Courier New" w:cs="Courier New" w:eastAsia="Courier New" w:hAnsi="Courier New"/>
                <w:sz w:val="12"/>
                <w:szCs w:val="12"/>
                <w:color w:val="auto"/>
              </w:rPr>
              <w:t>September 30, 2003 (2).............</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242,600</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14,043</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5,452</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262,095</w:t>
            </w:r>
          </w:p>
        </w:tc>
        <w:tc>
          <w:tcPr>
            <w:tcW w:w="0" w:type="dxa"/>
            <w:vAlign w:val="bottom"/>
          </w:tcPr>
          <w:p>
            <w:pPr>
              <w:spacing w:after="0"/>
              <w:rPr>
                <w:sz w:val="1"/>
                <w:szCs w:val="1"/>
                <w:color w:val="auto"/>
              </w:rPr>
            </w:pPr>
          </w:p>
        </w:tc>
      </w:tr>
      <w:tr>
        <w:trPr>
          <w:trHeight w:val="268"/>
        </w:trPr>
        <w:tc>
          <w:tcPr>
            <w:tcW w:w="11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w w:val="99"/>
              </w:rPr>
              <w:t>Interest income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Three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2"/>
              </w:rPr>
              <w:t>30,</w:t>
            </w:r>
          </w:p>
        </w:tc>
        <w:tc>
          <w:tcPr>
            <w:tcW w:w="16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w w:val="99"/>
              </w:rPr>
              <w:t>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251</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98</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396</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2"/>
              </w:rPr>
              <w:t>30,</w:t>
            </w:r>
          </w:p>
        </w:tc>
        <w:tc>
          <w:tcPr>
            <w:tcW w:w="3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0"/>
              </w:rPr>
              <w:t>2003</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9"/>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254</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41</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303</w:t>
            </w: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Nine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2"/>
              </w:rPr>
              <w:t>30,</w:t>
            </w:r>
          </w:p>
        </w:tc>
        <w:tc>
          <w:tcPr>
            <w:tcW w:w="16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w w:val="99"/>
              </w:rPr>
              <w:t>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747</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266</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24</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107</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1,144</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2"/>
              </w:rPr>
              <w:t>30,</w:t>
            </w:r>
          </w:p>
        </w:tc>
        <w:tc>
          <w:tcPr>
            <w:tcW w:w="3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0"/>
              </w:rPr>
              <w:t>2003</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9"/>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758</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22</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137</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917</w:t>
            </w:r>
          </w:p>
        </w:tc>
        <w:tc>
          <w:tcPr>
            <w:tcW w:w="0" w:type="dxa"/>
            <w:vAlign w:val="bottom"/>
          </w:tcPr>
          <w:p>
            <w:pPr>
              <w:spacing w:after="0"/>
              <w:rPr>
                <w:sz w:val="1"/>
                <w:szCs w:val="1"/>
                <w:color w:val="auto"/>
              </w:rPr>
            </w:pPr>
          </w:p>
        </w:tc>
      </w:tr>
      <w:tr>
        <w:trPr>
          <w:trHeight w:val="268"/>
        </w:trPr>
        <w:tc>
          <w:tcPr>
            <w:tcW w:w="3040" w:type="dxa"/>
            <w:vAlign w:val="bottom"/>
            <w:gridSpan w:val="7"/>
          </w:tcPr>
          <w:p>
            <w:pPr>
              <w:spacing w:after="0"/>
              <w:rPr>
                <w:sz w:val="20"/>
                <w:szCs w:val="20"/>
                <w:color w:val="auto"/>
              </w:rPr>
            </w:pPr>
            <w:r>
              <w:rPr>
                <w:rFonts w:ascii="Courier New" w:cs="Courier New" w:eastAsia="Courier New" w:hAnsi="Courier New"/>
                <w:sz w:val="12"/>
                <w:szCs w:val="12"/>
                <w:b w:val="1"/>
                <w:bCs w:val="1"/>
                <w:color w:val="auto"/>
              </w:rPr>
              <w:t>Income (loss) from unconsolidated</w:t>
            </w:r>
          </w:p>
        </w:tc>
        <w:tc>
          <w:tcPr>
            <w:tcW w:w="1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92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investments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Three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4,151</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2,900</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7,051</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30, 2003................</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1,002</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2,123</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3,125</w:t>
            </w: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Nine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8,505</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8,893</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17,398</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30, 2003................</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1,002</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6,069</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7,071</w:t>
            </w:r>
          </w:p>
        </w:tc>
        <w:tc>
          <w:tcPr>
            <w:tcW w:w="0" w:type="dxa"/>
            <w:vAlign w:val="bottom"/>
          </w:tcPr>
          <w:p>
            <w:pPr>
              <w:spacing w:after="0"/>
              <w:rPr>
                <w:sz w:val="1"/>
                <w:szCs w:val="1"/>
                <w:color w:val="auto"/>
              </w:rPr>
            </w:pPr>
          </w:p>
        </w:tc>
      </w:tr>
      <w:tr>
        <w:trPr>
          <w:trHeight w:val="268"/>
        </w:trPr>
        <w:tc>
          <w:tcPr>
            <w:tcW w:w="11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NOI (loss) (1)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Three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74,584</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5,681</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2,854</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(5,314)</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77,805</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30, 2003................</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64,508</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4,143</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2,672</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(2,621)</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68,702</w:t>
            </w: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Nine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210,639</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15,217</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7,614</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(10,924)</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222,546</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30, 2003................</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175,936</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10,659</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7,675</w:t>
            </w: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(4,194)</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190,076</w:t>
            </w:r>
          </w:p>
        </w:tc>
        <w:tc>
          <w:tcPr>
            <w:tcW w:w="0" w:type="dxa"/>
            <w:vAlign w:val="bottom"/>
          </w:tcPr>
          <w:p>
            <w:pPr>
              <w:spacing w:after="0"/>
              <w:rPr>
                <w:sz w:val="1"/>
                <w:szCs w:val="1"/>
                <w:color w:val="auto"/>
              </w:rPr>
            </w:pPr>
          </w:p>
        </w:tc>
      </w:tr>
      <w:tr>
        <w:trPr>
          <w:trHeight w:val="268"/>
        </w:trPr>
        <w:tc>
          <w:tcPr>
            <w:tcW w:w="3040" w:type="dxa"/>
            <w:vAlign w:val="bottom"/>
            <w:gridSpan w:val="7"/>
          </w:tcPr>
          <w:p>
            <w:pPr>
              <w:spacing w:after="0"/>
              <w:rPr>
                <w:sz w:val="20"/>
                <w:szCs w:val="20"/>
                <w:color w:val="auto"/>
              </w:rPr>
            </w:pPr>
            <w:r>
              <w:rPr>
                <w:rFonts w:ascii="Courier New" w:cs="Courier New" w:eastAsia="Courier New" w:hAnsi="Courier New"/>
                <w:sz w:val="12"/>
                <w:szCs w:val="12"/>
                <w:b w:val="1"/>
                <w:bCs w:val="1"/>
                <w:color w:val="auto"/>
              </w:rPr>
              <w:t>Fixed asset additions (deletions)</w:t>
            </w:r>
          </w:p>
        </w:tc>
        <w:tc>
          <w:tcPr>
            <w:tcW w:w="1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400" w:type="dxa"/>
            <w:vAlign w:val="bottom"/>
            <w:gridSpan w:val="5"/>
          </w:tcPr>
          <w:p>
            <w:pPr>
              <w:spacing w:after="0"/>
              <w:rPr>
                <w:sz w:val="20"/>
                <w:szCs w:val="20"/>
                <w:color w:val="auto"/>
              </w:rPr>
            </w:pPr>
            <w:r>
              <w:rPr>
                <w:rFonts w:ascii="Courier New" w:cs="Courier New" w:eastAsia="Courier New" w:hAnsi="Courier New"/>
                <w:sz w:val="12"/>
                <w:szCs w:val="12"/>
                <w:color w:val="auto"/>
              </w:rPr>
              <w:t>Nine months ended:</w:t>
            </w: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163,422</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(2,821)</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523</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161,124</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September</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2"/>
                <w:szCs w:val="12"/>
                <w:color w:val="auto"/>
              </w:rPr>
              <w:t>30, 2003................</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164,896</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942</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165,838</w:t>
            </w:r>
          </w:p>
        </w:tc>
        <w:tc>
          <w:tcPr>
            <w:tcW w:w="0" w:type="dxa"/>
            <w:vAlign w:val="bottom"/>
          </w:tcPr>
          <w:p>
            <w:pPr>
              <w:spacing w:after="0"/>
              <w:rPr>
                <w:sz w:val="1"/>
                <w:szCs w:val="1"/>
                <w:color w:val="auto"/>
              </w:rPr>
            </w:pPr>
          </w:p>
        </w:tc>
      </w:tr>
      <w:tr>
        <w:trPr>
          <w:trHeight w:val="268"/>
        </w:trPr>
        <w:tc>
          <w:tcPr>
            <w:tcW w:w="92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Total assets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100" w:type="dxa"/>
            <w:vAlign w:val="bottom"/>
            <w:gridSpan w:val="4"/>
          </w:tcPr>
          <w:p>
            <w:pPr>
              <w:jc w:val="center"/>
              <w:ind w:left="379"/>
              <w:spacing w:after="0"/>
              <w:rPr>
                <w:sz w:val="20"/>
                <w:szCs w:val="20"/>
                <w:color w:val="auto"/>
              </w:rPr>
            </w:pPr>
            <w:r>
              <w:rPr>
                <w:rFonts w:ascii="Courier New" w:cs="Courier New" w:eastAsia="Courier New" w:hAnsi="Courier New"/>
                <w:sz w:val="12"/>
                <w:szCs w:val="12"/>
                <w:color w:val="auto"/>
              </w:rPr>
              <w:t>September</w:t>
            </w:r>
          </w:p>
        </w:tc>
        <w:tc>
          <w:tcPr>
            <w:tcW w:w="3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c>
          <w:tcPr>
            <w:tcW w:w="128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9"/>
              </w:rPr>
              <w:t>2004...........</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1,907,430</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34,186</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66,782</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117,894</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2,126,292</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December</w:t>
            </w:r>
          </w:p>
        </w:tc>
        <w:tc>
          <w:tcPr>
            <w:tcW w:w="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31,</w:t>
            </w:r>
          </w:p>
        </w:tc>
        <w:tc>
          <w:tcPr>
            <w:tcW w:w="1820" w:type="dxa"/>
            <w:vAlign w:val="bottom"/>
            <w:gridSpan w:val="3"/>
          </w:tcPr>
          <w:p>
            <w:pPr>
              <w:jc w:val="right"/>
              <w:ind w:right="199"/>
              <w:spacing w:after="0"/>
              <w:rPr>
                <w:sz w:val="20"/>
                <w:szCs w:val="20"/>
                <w:color w:val="auto"/>
              </w:rPr>
            </w:pPr>
            <w:r>
              <w:rPr>
                <w:rFonts w:ascii="Courier New" w:cs="Courier New" w:eastAsia="Courier New" w:hAnsi="Courier New"/>
                <w:sz w:val="12"/>
                <w:szCs w:val="12"/>
                <w:color w:val="auto"/>
              </w:rPr>
              <w:t>2003.................</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1,816,442</w:t>
            </w:r>
          </w:p>
        </w:tc>
        <w:tc>
          <w:tcPr>
            <w:tcW w:w="146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29,306</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67,820</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56,846</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1,970,414</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right="80" w:hanging="572"/>
        <w:spacing w:after="0" w:line="227"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Approximately 73.2% and 73.9% of the OP's total revenues and approximately 77.4% and 77.0% of the OP's real estate NOI were generated by the OP's Premium Outlets during the three months ending September 30, 2004 and 2003, respectively. Approximately 72.7% and 76.1% of the OP's total revenues and approximately 76.8% and 78.8% of the OP's real estate NOI were generated by the OP's Premium Outlets during the nine months ending September 30, 2004 and 2003, respectively.</w:t>
      </w:r>
    </w:p>
    <w:p>
      <w:pPr>
        <w:ind w:left="580" w:hanging="572"/>
        <w:spacing w:after="0" w:line="221"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revenue for St. Helena, Mesa and American Tin Cannery properties, which are classified as discontinued operations.</w:t>
      </w:r>
    </w:p>
    <w:p>
      <w:pPr>
        <w:ind w:left="580" w:hanging="572"/>
        <w:spacing w:after="0" w:line="221"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Principally comprised of the OP's interests in Japan and Mexico.</w:t>
      </w:r>
    </w:p>
    <w:p>
      <w:pPr>
        <w:ind w:left="580" w:hanging="572"/>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Approximately 28.1% and 31.0% of the GLA is occupied by and approximately 20.9% and 20.7% of annual base rent is derived from one tenant during the 2004 and 2003 periods, respectively.</w:t>
      </w:r>
    </w:p>
    <w:p>
      <w:pPr>
        <w:spacing w:after="0" w:line="10" w:lineRule="exact"/>
        <w:rPr>
          <w:rFonts w:ascii="Arial" w:cs="Arial" w:eastAsia="Arial" w:hAnsi="Arial"/>
          <w:sz w:val="12"/>
          <w:szCs w:val="12"/>
          <w:color w:val="auto"/>
        </w:rPr>
      </w:pPr>
    </w:p>
    <w:p>
      <w:pPr>
        <w:ind w:left="580" w:hanging="572"/>
        <w:spacing w:after="0"/>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corporate overhead assets.</w:t>
      </w:r>
    </w:p>
    <w:p>
      <w:pPr>
        <w:sectPr>
          <w:pgSz w:w="11900" w:h="16838" w:orient="portrait"/>
          <w:cols w:equalWidth="0" w:num="1">
            <w:col w:w="11420"/>
          </w:cols>
          <w:pgMar w:left="240" w:top="118" w:right="239" w:bottom="0" w:gutter="0" w:footer="0" w:header="0"/>
        </w:sectPr>
      </w:pPr>
    </w:p>
    <w:bookmarkStart w:id="11" w:name="page12"/>
    <w:bookmarkEnd w:id="11"/>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Segment Information (continued)</w:t>
      </w:r>
    </w:p>
    <w:p>
      <w:pPr>
        <w:spacing w:after="0" w:line="13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Following is a reconciliation of net operating income to net income for the three and nine months ended September 30, 2004 and 2003,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560" w:type="dxa"/>
            <w:vAlign w:val="bottom"/>
          </w:tcPr>
          <w:p>
            <w:pPr>
              <w:spacing w:after="0"/>
              <w:rPr>
                <w:sz w:val="11"/>
                <w:szCs w:val="11"/>
                <w:color w:val="auto"/>
              </w:rPr>
            </w:pPr>
          </w:p>
        </w:tc>
        <w:tc>
          <w:tcPr>
            <w:tcW w:w="2200" w:type="dxa"/>
            <w:vAlign w:val="bottom"/>
            <w:gridSpan w:val="2"/>
          </w:tcPr>
          <w:p>
            <w:pPr>
              <w:jc w:val="right"/>
              <w:ind w:right="279"/>
              <w:spacing w:after="0"/>
              <w:rPr>
                <w:sz w:val="20"/>
                <w:szCs w:val="20"/>
                <w:color w:val="auto"/>
              </w:rPr>
            </w:pPr>
            <w:r>
              <w:rPr>
                <w:rFonts w:ascii="Courier New" w:cs="Courier New" w:eastAsia="Courier New" w:hAnsi="Courier New"/>
                <w:sz w:val="12"/>
                <w:szCs w:val="12"/>
                <w:b w:val="1"/>
                <w:bCs w:val="1"/>
                <w:color w:val="auto"/>
              </w:rPr>
              <w:t>Three Months Ended</w:t>
            </w:r>
          </w:p>
        </w:tc>
        <w:tc>
          <w:tcPr>
            <w:tcW w:w="2140" w:type="dxa"/>
            <w:vAlign w:val="bottom"/>
            <w:gridSpan w:val="2"/>
          </w:tcPr>
          <w:p>
            <w:pPr>
              <w:jc w:val="right"/>
              <w:ind w:right="219"/>
              <w:spacing w:after="0"/>
              <w:rPr>
                <w:sz w:val="20"/>
                <w:szCs w:val="20"/>
                <w:color w:val="auto"/>
              </w:rPr>
            </w:pPr>
            <w:r>
              <w:rPr>
                <w:rFonts w:ascii="Courier New" w:cs="Courier New" w:eastAsia="Courier New" w:hAnsi="Courier New"/>
                <w:sz w:val="12"/>
                <w:szCs w:val="12"/>
                <w:b w:val="1"/>
                <w:bCs w:val="1"/>
                <w:color w:val="auto"/>
              </w:rPr>
              <w:t>Nine Months Ended</w:t>
            </w:r>
          </w:p>
        </w:tc>
      </w:tr>
      <w:tr>
        <w:trPr>
          <w:trHeight w:val="135"/>
        </w:trPr>
        <w:tc>
          <w:tcPr>
            <w:tcW w:w="4560" w:type="dxa"/>
            <w:vAlign w:val="bottom"/>
          </w:tcPr>
          <w:p>
            <w:pPr>
              <w:spacing w:after="0"/>
              <w:rPr>
                <w:sz w:val="11"/>
                <w:szCs w:val="11"/>
                <w:color w:val="auto"/>
              </w:rPr>
            </w:pPr>
          </w:p>
        </w:tc>
        <w:tc>
          <w:tcPr>
            <w:tcW w:w="2200" w:type="dxa"/>
            <w:vAlign w:val="bottom"/>
            <w:gridSpan w:val="2"/>
          </w:tcPr>
          <w:p>
            <w:pPr>
              <w:ind w:left="620"/>
              <w:spacing w:after="0"/>
              <w:rPr>
                <w:sz w:val="20"/>
                <w:szCs w:val="20"/>
                <w:color w:val="auto"/>
              </w:rPr>
            </w:pPr>
            <w:r>
              <w:rPr>
                <w:rFonts w:ascii="Courier New" w:cs="Courier New" w:eastAsia="Courier New" w:hAnsi="Courier New"/>
                <w:sz w:val="12"/>
                <w:szCs w:val="12"/>
                <w:b w:val="1"/>
                <w:bCs w:val="1"/>
                <w:color w:val="auto"/>
              </w:rPr>
              <w:t>September 30,</w:t>
            </w:r>
          </w:p>
        </w:tc>
        <w:tc>
          <w:tcPr>
            <w:tcW w:w="2140" w:type="dxa"/>
            <w:vAlign w:val="bottom"/>
            <w:gridSpan w:val="2"/>
          </w:tcPr>
          <w:p>
            <w:pPr>
              <w:jc w:val="right"/>
              <w:ind w:right="379"/>
              <w:spacing w:after="0"/>
              <w:rPr>
                <w:sz w:val="20"/>
                <w:szCs w:val="20"/>
                <w:color w:val="auto"/>
              </w:rPr>
            </w:pPr>
            <w:r>
              <w:rPr>
                <w:rFonts w:ascii="Courier New" w:cs="Courier New" w:eastAsia="Courier New" w:hAnsi="Courier New"/>
                <w:sz w:val="12"/>
                <w:szCs w:val="12"/>
                <w:b w:val="1"/>
                <w:bCs w:val="1"/>
                <w:color w:val="auto"/>
              </w:rPr>
              <w:t>September 30,</w:t>
            </w:r>
          </w:p>
        </w:tc>
      </w:tr>
      <w:tr>
        <w:trPr>
          <w:trHeight w:val="135"/>
        </w:trPr>
        <w:tc>
          <w:tcPr>
            <w:tcW w:w="4560" w:type="dxa"/>
            <w:vAlign w:val="bottom"/>
          </w:tcPr>
          <w:p>
            <w:pPr>
              <w:spacing w:after="0"/>
              <w:rPr>
                <w:sz w:val="11"/>
                <w:szCs w:val="11"/>
                <w:color w:val="auto"/>
              </w:rPr>
            </w:pPr>
          </w:p>
        </w:tc>
        <w:tc>
          <w:tcPr>
            <w:tcW w:w="2200" w:type="dxa"/>
            <w:vAlign w:val="bottom"/>
            <w:gridSpan w:val="2"/>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4560" w:type="dxa"/>
            <w:vAlign w:val="bottom"/>
          </w:tcPr>
          <w:p>
            <w:pPr>
              <w:spacing w:after="0"/>
              <w:rPr>
                <w:sz w:val="11"/>
                <w:szCs w:val="11"/>
                <w:color w:val="auto"/>
              </w:rPr>
            </w:pPr>
          </w:p>
        </w:tc>
        <w:tc>
          <w:tcPr>
            <w:tcW w:w="1360" w:type="dxa"/>
            <w:vAlign w:val="bottom"/>
          </w:tcPr>
          <w:p>
            <w:pPr>
              <w:ind w:left="620"/>
              <w:spacing w:after="0"/>
              <w:rPr>
                <w:sz w:val="20"/>
                <w:szCs w:val="20"/>
                <w:color w:val="auto"/>
              </w:rPr>
            </w:pPr>
            <w:r>
              <w:rPr>
                <w:rFonts w:ascii="Courier New" w:cs="Courier New" w:eastAsia="Courier New" w:hAnsi="Courier New"/>
                <w:sz w:val="12"/>
                <w:szCs w:val="12"/>
                <w:b w:val="1"/>
                <w:bCs w:val="1"/>
                <w:color w:val="auto"/>
              </w:rPr>
              <w:t>2004</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2003</w:t>
            </w:r>
          </w:p>
        </w:tc>
        <w:tc>
          <w:tcPr>
            <w:tcW w:w="116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2004</w:t>
            </w:r>
          </w:p>
        </w:tc>
        <w:tc>
          <w:tcPr>
            <w:tcW w:w="9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2003</w:t>
            </w:r>
          </w:p>
        </w:tc>
      </w:tr>
      <w:tr>
        <w:trPr>
          <w:trHeight w:val="135"/>
        </w:trPr>
        <w:tc>
          <w:tcPr>
            <w:tcW w:w="4560" w:type="dxa"/>
            <w:vAlign w:val="bottom"/>
          </w:tcPr>
          <w:p>
            <w:pPr>
              <w:spacing w:after="0"/>
              <w:rPr>
                <w:sz w:val="11"/>
                <w:szCs w:val="11"/>
                <w:color w:val="auto"/>
              </w:rPr>
            </w:pPr>
          </w:p>
        </w:tc>
        <w:tc>
          <w:tcPr>
            <w:tcW w:w="220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560" w:type="dxa"/>
            <w:vAlign w:val="bottom"/>
          </w:tcPr>
          <w:p>
            <w:pPr>
              <w:spacing w:after="0"/>
              <w:rPr>
                <w:sz w:val="20"/>
                <w:szCs w:val="20"/>
                <w:color w:val="auto"/>
              </w:rPr>
            </w:pPr>
            <w:r>
              <w:rPr>
                <w:rFonts w:ascii="Courier New" w:cs="Courier New" w:eastAsia="Courier New" w:hAnsi="Courier New"/>
                <w:sz w:val="12"/>
                <w:szCs w:val="12"/>
                <w:color w:val="auto"/>
              </w:rPr>
              <w:t>Segment NOI..................................................</w:t>
            </w:r>
          </w:p>
        </w:tc>
        <w:tc>
          <w:tcPr>
            <w:tcW w:w="13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$77,805</w:t>
            </w: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w w:val="95"/>
              </w:rPr>
              <w:t>$68,702</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$222,546</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$190,076</w:t>
            </w:r>
          </w:p>
        </w:tc>
      </w:tr>
      <w:tr>
        <w:trPr>
          <w:trHeight w:val="135"/>
        </w:trPr>
        <w:tc>
          <w:tcPr>
            <w:tcW w:w="4560" w:type="dxa"/>
            <w:vAlign w:val="bottom"/>
          </w:tcPr>
          <w:p>
            <w:pPr>
              <w:spacing w:after="0"/>
              <w:rPr>
                <w:sz w:val="20"/>
                <w:szCs w:val="20"/>
                <w:color w:val="auto"/>
              </w:rPr>
            </w:pPr>
            <w:r>
              <w:rPr>
                <w:rFonts w:ascii="Courier New" w:cs="Courier New" w:eastAsia="Courier New" w:hAnsi="Courier New"/>
                <w:sz w:val="12"/>
                <w:szCs w:val="12"/>
                <w:color w:val="auto"/>
              </w:rPr>
              <w:t>Interest expense - consolidated..............................</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(19,613)</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7"/>
              </w:rPr>
              <w:t>(17,743)</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(57,550)</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(50,930)</w:t>
            </w:r>
          </w:p>
        </w:tc>
      </w:tr>
      <w:tr>
        <w:trPr>
          <w:trHeight w:val="135"/>
        </w:trPr>
        <w:tc>
          <w:tcPr>
            <w:tcW w:w="4560" w:type="dxa"/>
            <w:vAlign w:val="bottom"/>
          </w:tcPr>
          <w:p>
            <w:pPr>
              <w:spacing w:after="0"/>
              <w:rPr>
                <w:sz w:val="20"/>
                <w:szCs w:val="20"/>
                <w:color w:val="auto"/>
              </w:rPr>
            </w:pPr>
            <w:r>
              <w:rPr>
                <w:rFonts w:ascii="Courier New" w:cs="Courier New" w:eastAsia="Courier New" w:hAnsi="Courier New"/>
                <w:sz w:val="12"/>
                <w:szCs w:val="12"/>
                <w:color w:val="auto"/>
              </w:rPr>
              <w:t>Interest expense - unconsolidated investments................</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(406)</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(268)</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(1,064)</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(601)</w:t>
            </w:r>
          </w:p>
        </w:tc>
      </w:tr>
      <w:tr>
        <w:trPr>
          <w:trHeight w:val="137"/>
        </w:trPr>
        <w:tc>
          <w:tcPr>
            <w:tcW w:w="456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 - consolidated.................</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(18,396)</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7"/>
              </w:rPr>
              <w:t>(18,080)</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(54,150)</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(52,981)</w:t>
            </w:r>
          </w:p>
        </w:tc>
      </w:tr>
      <w:tr>
        <w:trPr>
          <w:trHeight w:val="268"/>
        </w:trPr>
        <w:tc>
          <w:tcPr>
            <w:tcW w:w="456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 unconsolidated investments....</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(2,299)</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(1,177)</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(5,842)</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(2,470)</w:t>
            </w:r>
          </w:p>
        </w:tc>
      </w:tr>
      <w:tr>
        <w:trPr>
          <w:trHeight w:val="135"/>
        </w:trPr>
        <w:tc>
          <w:tcPr>
            <w:tcW w:w="4560" w:type="dxa"/>
            <w:vAlign w:val="bottom"/>
          </w:tcPr>
          <w:p>
            <w:pPr>
              <w:spacing w:after="0"/>
              <w:rPr>
                <w:sz w:val="20"/>
                <w:szCs w:val="20"/>
                <w:color w:val="auto"/>
              </w:rPr>
            </w:pPr>
            <w:r>
              <w:rPr>
                <w:rFonts w:ascii="Courier New" w:cs="Courier New" w:eastAsia="Courier New" w:hAnsi="Courier New"/>
                <w:sz w:val="12"/>
                <w:szCs w:val="12"/>
                <w:color w:val="auto"/>
              </w:rPr>
              <w:t>Income tax - unconsolidated investments......................</w:t>
            </w:r>
          </w:p>
        </w:tc>
        <w:tc>
          <w:tcPr>
            <w:tcW w:w="13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(1,050)</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(774)</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(3,022)</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(1,718)</w:t>
            </w:r>
          </w:p>
        </w:tc>
      </w:tr>
      <w:tr>
        <w:trPr>
          <w:trHeight w:val="135"/>
        </w:trPr>
        <w:tc>
          <w:tcPr>
            <w:tcW w:w="4560" w:type="dxa"/>
            <w:vAlign w:val="bottom"/>
          </w:tcPr>
          <w:p>
            <w:pPr>
              <w:spacing w:after="0"/>
              <w:rPr>
                <w:sz w:val="20"/>
                <w:szCs w:val="20"/>
                <w:color w:val="auto"/>
              </w:rPr>
            </w:pPr>
            <w:r>
              <w:rPr>
                <w:rFonts w:ascii="Courier New" w:cs="Courier New" w:eastAsia="Courier New" w:hAnsi="Courier New"/>
                <w:sz w:val="12"/>
                <w:szCs w:val="12"/>
                <w:color w:val="auto"/>
              </w:rPr>
              <w:t>Gain on sale of centers......................................</w:t>
            </w:r>
          </w:p>
        </w:tc>
        <w:tc>
          <w:tcPr>
            <w:tcW w:w="13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65</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908</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65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5,625</w:t>
            </w:r>
          </w:p>
        </w:tc>
      </w:tr>
      <w:tr>
        <w:trPr>
          <w:trHeight w:val="135"/>
        </w:trPr>
        <w:tc>
          <w:tcPr>
            <w:tcW w:w="4560" w:type="dxa"/>
            <w:vAlign w:val="bottom"/>
          </w:tcPr>
          <w:p>
            <w:pPr>
              <w:spacing w:after="0"/>
              <w:rPr>
                <w:sz w:val="11"/>
                <w:szCs w:val="11"/>
                <w:color w:val="auto"/>
              </w:rPr>
            </w:pPr>
          </w:p>
        </w:tc>
        <w:tc>
          <w:tcPr>
            <w:tcW w:w="220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 --------------</w:t>
            </w:r>
          </w:p>
        </w:tc>
        <w:tc>
          <w:tcPr>
            <w:tcW w:w="11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56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3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$36,106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$31,568</w:t>
            </w:r>
          </w:p>
        </w:tc>
        <w:tc>
          <w:tcPr>
            <w:tcW w:w="11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$100,983</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$87,001</w:t>
            </w:r>
          </w:p>
        </w:tc>
      </w:tr>
      <w:tr>
        <w:trPr>
          <w:trHeight w:val="137"/>
        </w:trPr>
        <w:tc>
          <w:tcPr>
            <w:tcW w:w="4560" w:type="dxa"/>
            <w:vAlign w:val="bottom"/>
          </w:tcPr>
          <w:p>
            <w:pPr>
              <w:spacing w:after="0"/>
              <w:rPr>
                <w:sz w:val="11"/>
                <w:szCs w:val="11"/>
                <w:color w:val="auto"/>
              </w:rPr>
            </w:pPr>
          </w:p>
        </w:tc>
        <w:tc>
          <w:tcPr>
            <w:tcW w:w="220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 ==============</w:t>
            </w:r>
          </w:p>
        </w:tc>
        <w:tc>
          <w:tcPr>
            <w:tcW w:w="11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Fair Value of Financial Instruments</w:t>
      </w:r>
    </w:p>
    <w:p>
      <w:pPr>
        <w:spacing w:after="0" w:line="13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following disclosures of estimated fair value were determined by management, using available market information and appropriate valuation methodologies. Considerable judgment is necessary to interpret market data and develop estimated fair value. Accordingly, the estimates presented herein are not necessarily indicative of the amounts the OP could realize on disposition of the financial instruments. The use of different market assumptions and/or estimation methodologies may have a material effect on the estimated fair value amounts.</w:t>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Disclosure about fair value of financial instruments is based on pertinent information available to management as of September 30, 2004. Although management is not aware of any factors that would significantly affect the reasonable fair value amounts, such amounts have not been comprehensively revalued for purposes of these financial statements since such date and current estimates of fair value may differ significantly from the amounts presented herein.</w:t>
      </w:r>
    </w:p>
    <w:p>
      <w:pPr>
        <w:spacing w:after="0" w:line="9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Cash equivalents, accounts receivable, accounts payable, and revolving credit facilities balances reasonably approximate their fair values due to the short maturities of these items. Mortgage debt and the unsecured notes payable have an estimated fair value based on discounted cash flow models of approximately $1.1 billion, which exceeds the book value by $80.2 million. Unsecured bank debt is carried at an amount which reasonably approximates its fair value since it is a variable rate instrument whose interest rate reprices frequently.</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following discussion should be read in connection with the accompanying unaudited consolidated financial statements and notes thereto that are included in this quarterly report on Form 10-Q. Certain statements made in this section or elsewhere in this report may be deemed "forward-looking statements" within the meaning of the Private Securities Litigation Reform Act of 1995. Although we believe the expectations reflected in any forward-looking statements are based on reasonable assumptions, we can give no assurance that our expectations will be attained, and it is possible that our actual results may differ materially from those indicated by these forward-looking statements due to a variety of risks and uncertainties. Those risks and uncertainties incidental to the ownership and operation of commercial real estate include, but are not limited to: national, international, regional and local economic climates, competitive market forces, changes in market rental rates, trends in the retail industry, the inability to collect rent due to the bankruptcy or insolvency of tenants or otherwise, risks associated with acquisitions, the impact of terrorist activities, environmental liabilities, the availability of financing, and changes in market rates of interest and fluctuations in exchange rates of foreign currencies. We undertake no duty or obligation to update or revise these forward-looking statements, whether as a result of new information, future developments, or otherwise.</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31"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The OP’s discussion and analysis of its financial condition and results of operations are based upon the OP’s consolidated financial statements which have been prepared in accordance with accounting principles generally accepted in the United States. The preparation of these financial statements requires the OP to make estimates and judgments that affect the reported amounts of assets, liabilities, revenues and expenses. The OP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7" w:lineRule="exact"/>
        <w:rPr>
          <w:sz w:val="20"/>
          <w:szCs w:val="20"/>
          <w:color w:val="auto"/>
        </w:rPr>
      </w:pPr>
    </w:p>
    <w:p>
      <w:pPr>
        <w:ind w:right="920"/>
        <w:spacing w:after="0" w:line="251" w:lineRule="auto"/>
        <w:rPr>
          <w:sz w:val="20"/>
          <w:szCs w:val="20"/>
          <w:color w:val="auto"/>
        </w:rPr>
      </w:pPr>
      <w:r>
        <w:rPr>
          <w:rFonts w:ascii="Arial" w:cs="Arial" w:eastAsia="Arial" w:hAnsi="Arial"/>
          <w:sz w:val="22"/>
          <w:szCs w:val="22"/>
          <w:color w:val="auto"/>
        </w:rPr>
        <w:t>The OP believes the following critical accounting policies affect its more significant judgments and estimates used in the preparation of its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Price Allocation</w:t>
      </w:r>
    </w:p>
    <w:p>
      <w:pPr>
        <w:spacing w:after="0" w:line="131"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The OP allocates the purchase price of real estate to land, building, and tenant improvements and if determined to be material, intangibles, such as the value of above, below and at market leases and origination cost associated with in-place leases. The OP depreciates the amount allocated to building and other intangible assets over their estimated useful lives, which generally range from five to forty years. The values of the above and below market leases are amortized and recorded as either an increase (in the case of below market leases) or a decrease (in the case of above market leases) to rental income over the remaining term of the</w:t>
      </w:r>
    </w:p>
    <w:p>
      <w:pPr>
        <w:sectPr>
          <w:pgSz w:w="11900" w:h="16863" w:orient="portrait"/>
          <w:cols w:equalWidth="0" w:num="1">
            <w:col w:w="11380"/>
          </w:cols>
          <w:pgMar w:left="240" w:top="111" w:right="279" w:bottom="0" w:gutter="0" w:footer="0" w:header="0"/>
        </w:sectPr>
      </w:pPr>
    </w:p>
    <w:bookmarkStart w:id="12" w:name="page13"/>
    <w:bookmarkEnd w:id="12"/>
    <w:p>
      <w:pPr>
        <w:spacing w:after="0" w:line="277" w:lineRule="auto"/>
        <w:rPr>
          <w:sz w:val="20"/>
          <w:szCs w:val="20"/>
          <w:color w:val="auto"/>
        </w:rPr>
      </w:pPr>
      <w:r>
        <w:rPr>
          <w:rFonts w:ascii="Arial" w:cs="Arial" w:eastAsia="Arial" w:hAnsi="Arial"/>
          <w:sz w:val="19"/>
          <w:szCs w:val="19"/>
          <w:color w:val="auto"/>
        </w:rPr>
        <w:t>associated lease. The values associated with in-place leases are amortized over the term of the lease.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contractual expiration date). The OP assesses fair value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w:t>
      </w:r>
    </w:p>
    <w:p>
      <w:pPr>
        <w:spacing w:after="0" w:line="131"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The OP maintains an allowance for doubtful accounts for estimated losses resulting from the inability of its tenants to make required rent payments. If the financial condition of the OP’s tenants were to deteriorate, resulting in an impairment of their ability to make payments, additional allowances may be required. The OP’s allowance for doubtful accounts included in tenant accounts receivable totaled $2.0 million and $1.6 million at September 30, 2004, and December 31, 2003,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Investments</w:t>
      </w:r>
    </w:p>
    <w:p>
      <w:pPr>
        <w:spacing w:after="0" w:line="13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On a periodic basis, management assesses whether there are any indicators that the value of real estate properties, including joint venture properties, may be impaired. If the carrying amount of the property is greater than the estimated expected future cash flow (undiscounted and without interest charges) of the asset, impairment has occurred. In March 2004, the OP recognized an impairment loss of $0.9 million on the disposition of two non-core assets. The loss from impairment is reflected in other expense in the accompanying financial statements for the period ended September 30, 2004.</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Overview</w:t>
      </w:r>
    </w:p>
    <w:p>
      <w:pPr>
        <w:spacing w:after="0" w:line="131"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From October 1, 2003 to September 30, 2004, rental revenue increased $20.3 million or 10.2% from wholly-owned properties to $218.2 million. Third quarter rental revenue grew $4.9 million or 7.0% to $75.2 million compared to the prior year. Since October 1, 2003, the OP acquired one center and expanded one wholly-owned center. Total revenue for the first nine months in 2004 was $290.6 million, representing an increase of 10.9% from the year-earlier period.</w:t>
      </w:r>
    </w:p>
    <w:p>
      <w:pPr>
        <w:spacing w:after="0" w:line="9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Income from unconsolidated investments for the three and nine months ending September 30, 2004, contributed approximately 9% and 8% to NOI compared with 5% and 4%, respectively in 2003. Chelsea Japan opened its fourth project, Tosu Premium Outlets in March 2004 and expanded Sano Premium Outlets in July 2004, both 40% owned. Las Vegas Premium Outlets and Chicago Premium Outlets, both 50% - owned, opened in August 2003 and May 2004, respectively.</w:t>
      </w:r>
    </w:p>
    <w:p>
      <w:pPr>
        <w:spacing w:after="0" w:line="62"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At September 30, 2004, the OP’s portfolio consisted of 60 wholly or partially owned properties containing 16.9 million square feet of GLA. In 2004, the OP changed its reportable segments. As of September 30, 2004, the OP’s Outlets include 41 centers containing 14.3 million square feet of GLA and Other Retail includes 19 centers containing 2.6 million square feet of GLA.</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Details of the 0.7 million square feet of net GLA added since October 1, 2003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00" w:type="dxa"/>
            <w:vAlign w:val="bottom"/>
          </w:tcPr>
          <w:p>
            <w:pPr>
              <w:spacing w:after="0"/>
              <w:rPr>
                <w:sz w:val="11"/>
                <w:szCs w:val="11"/>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12 months ended</w:t>
            </w:r>
          </w:p>
        </w:tc>
        <w:tc>
          <w:tcPr>
            <w:tcW w:w="17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9 months ended</w:t>
            </w:r>
          </w:p>
        </w:tc>
        <w:tc>
          <w:tcPr>
            <w:tcW w:w="14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3 months ended</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September 30,</w:t>
            </w:r>
          </w:p>
        </w:tc>
        <w:tc>
          <w:tcPr>
            <w:tcW w:w="17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September 30,</w:t>
            </w:r>
          </w:p>
        </w:tc>
        <w:tc>
          <w:tcPr>
            <w:tcW w:w="14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2004</w:t>
            </w:r>
          </w:p>
        </w:tc>
        <w:tc>
          <w:tcPr>
            <w:tcW w:w="17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2004</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2003</w:t>
            </w:r>
          </w:p>
        </w:tc>
        <w:tc>
          <w:tcPr>
            <w:tcW w:w="0" w:type="dxa"/>
            <w:vAlign w:val="bottom"/>
          </w:tcPr>
          <w:p>
            <w:pPr>
              <w:spacing w:after="0"/>
              <w:rPr>
                <w:sz w:val="1"/>
                <w:szCs w:val="1"/>
                <w:color w:val="auto"/>
              </w:rPr>
            </w:pPr>
          </w:p>
        </w:tc>
      </w:tr>
      <w:tr>
        <w:trPr>
          <w:trHeight w:val="137"/>
        </w:trPr>
        <w:tc>
          <w:tcPr>
            <w:tcW w:w="410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Changes in GLA (sf in 000's):</w:t>
            </w:r>
          </w:p>
        </w:tc>
        <w:tc>
          <w:tcPr>
            <w:tcW w:w="16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74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410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20"/>
                <w:szCs w:val="20"/>
                <w:color w:val="auto"/>
              </w:rPr>
            </w:pPr>
            <w:r>
              <w:rPr>
                <w:rFonts w:ascii="Courier New" w:cs="Courier New" w:eastAsia="Courier New" w:hAnsi="Courier New"/>
                <w:sz w:val="12"/>
                <w:szCs w:val="12"/>
                <w:b w:val="1"/>
                <w:bCs w:val="1"/>
                <w:color w:val="auto"/>
              </w:rPr>
              <w:t>New centers developed:</w:t>
            </w:r>
          </w:p>
        </w:tc>
        <w:tc>
          <w:tcPr>
            <w:tcW w:w="1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Chicago Premium Outlets (50% owned)................</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color w:val="auto"/>
              </w:rPr>
              <w:t>438</w:t>
            </w:r>
          </w:p>
        </w:tc>
        <w:tc>
          <w:tcPr>
            <w:tcW w:w="17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438</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Tosu Premium Outlets (40% owned)...................</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color w:val="auto"/>
              </w:rPr>
              <w:t>187</w:t>
            </w:r>
          </w:p>
        </w:tc>
        <w:tc>
          <w:tcPr>
            <w:tcW w:w="17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187</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Total new centers..................................</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b w:val="1"/>
                <w:bCs w:val="1"/>
                <w:color w:val="auto"/>
              </w:rPr>
              <w:t>625</w:t>
            </w:r>
          </w:p>
        </w:tc>
        <w:tc>
          <w:tcPr>
            <w:tcW w:w="174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625</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268"/>
        </w:trPr>
        <w:tc>
          <w:tcPr>
            <w:tcW w:w="4100" w:type="dxa"/>
            <w:vAlign w:val="bottom"/>
          </w:tcPr>
          <w:p>
            <w:pPr>
              <w:spacing w:after="0"/>
              <w:rPr>
                <w:sz w:val="20"/>
                <w:szCs w:val="20"/>
                <w:color w:val="auto"/>
              </w:rPr>
            </w:pPr>
            <w:r>
              <w:rPr>
                <w:rFonts w:ascii="Courier New" w:cs="Courier New" w:eastAsia="Courier New" w:hAnsi="Courier New"/>
                <w:sz w:val="12"/>
                <w:szCs w:val="12"/>
                <w:b w:val="1"/>
                <w:bCs w:val="1"/>
                <w:color w:val="auto"/>
              </w:rPr>
              <w:t>Centers expanded:</w:t>
            </w:r>
          </w:p>
        </w:tc>
        <w:tc>
          <w:tcPr>
            <w:tcW w:w="1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Sano Premium Outlets ..............................</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color w:val="auto"/>
              </w:rPr>
              <w:t>51</w:t>
            </w:r>
          </w:p>
        </w:tc>
        <w:tc>
          <w:tcPr>
            <w:tcW w:w="17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51</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Albertville Premium Outlets........................</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color w:val="auto"/>
              </w:rPr>
              <w:t>125</w:t>
            </w:r>
          </w:p>
        </w:tc>
        <w:tc>
          <w:tcPr>
            <w:tcW w:w="17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w:t>
            </w: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Other (net) .......................................</w:t>
            </w:r>
          </w:p>
        </w:tc>
        <w:tc>
          <w:tcPr>
            <w:tcW w:w="16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w:t>
            </w:r>
          </w:p>
        </w:tc>
        <w:tc>
          <w:tcPr>
            <w:tcW w:w="1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10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expanded.................................</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b w:val="1"/>
                <w:bCs w:val="1"/>
                <w:color w:val="auto"/>
              </w:rPr>
              <w:t>174</w:t>
            </w:r>
          </w:p>
        </w:tc>
        <w:tc>
          <w:tcPr>
            <w:tcW w:w="174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49</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125</w:t>
            </w:r>
          </w:p>
        </w:tc>
        <w:tc>
          <w:tcPr>
            <w:tcW w:w="0" w:type="dxa"/>
            <w:vAlign w:val="bottom"/>
          </w:tcPr>
          <w:p>
            <w:pPr>
              <w:spacing w:after="0"/>
              <w:rPr>
                <w:sz w:val="1"/>
                <w:szCs w:val="1"/>
                <w:color w:val="auto"/>
              </w:rPr>
            </w:pPr>
          </w:p>
        </w:tc>
      </w:tr>
      <w:tr>
        <w:trPr>
          <w:trHeight w:val="268"/>
        </w:trPr>
        <w:tc>
          <w:tcPr>
            <w:tcW w:w="4100" w:type="dxa"/>
            <w:vAlign w:val="bottom"/>
          </w:tcPr>
          <w:p>
            <w:pPr>
              <w:spacing w:after="0"/>
              <w:rPr>
                <w:sz w:val="20"/>
                <w:szCs w:val="20"/>
                <w:color w:val="auto"/>
              </w:rPr>
            </w:pPr>
            <w:r>
              <w:rPr>
                <w:rFonts w:ascii="Courier New" w:cs="Courier New" w:eastAsia="Courier New" w:hAnsi="Courier New"/>
                <w:sz w:val="12"/>
                <w:szCs w:val="12"/>
                <w:b w:val="1"/>
                <w:bCs w:val="1"/>
                <w:color w:val="auto"/>
              </w:rPr>
              <w:t>Centers acquired:</w:t>
            </w:r>
          </w:p>
        </w:tc>
        <w:tc>
          <w:tcPr>
            <w:tcW w:w="1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Carlsbad Premium Outlets...........................</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color w:val="auto"/>
              </w:rPr>
              <w:t>288</w:t>
            </w:r>
          </w:p>
        </w:tc>
        <w:tc>
          <w:tcPr>
            <w:tcW w:w="17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288</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100" w:type="dxa"/>
            <w:vAlign w:val="bottom"/>
          </w:tcPr>
          <w:p>
            <w:pPr>
              <w:spacing w:after="0"/>
              <w:rPr>
                <w:sz w:val="20"/>
                <w:szCs w:val="20"/>
                <w:color w:val="auto"/>
              </w:rPr>
            </w:pPr>
            <w:r>
              <w:rPr>
                <w:rFonts w:ascii="Courier New" w:cs="Courier New" w:eastAsia="Courier New" w:hAnsi="Courier New"/>
                <w:sz w:val="12"/>
                <w:szCs w:val="12"/>
                <w:b w:val="1"/>
                <w:bCs w:val="1"/>
                <w:color w:val="auto"/>
              </w:rPr>
              <w:t>Centers disposed:</w:t>
            </w:r>
          </w:p>
        </w:tc>
        <w:tc>
          <w:tcPr>
            <w:tcW w:w="1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American Tin Cannery Premium Outlets (1)...........</w:t>
            </w:r>
          </w:p>
        </w:tc>
        <w:tc>
          <w:tcPr>
            <w:tcW w:w="16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(135)</w:t>
            </w:r>
          </w:p>
        </w:tc>
        <w:tc>
          <w:tcPr>
            <w:tcW w:w="17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(135)</w:t>
            </w: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Other Retail (2) ..................................</w:t>
            </w:r>
          </w:p>
        </w:tc>
        <w:tc>
          <w:tcPr>
            <w:tcW w:w="16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(217)</w:t>
            </w:r>
          </w:p>
        </w:tc>
        <w:tc>
          <w:tcPr>
            <w:tcW w:w="17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(217)</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Total centers disposed: .............................</w:t>
            </w:r>
          </w:p>
        </w:tc>
        <w:tc>
          <w:tcPr>
            <w:tcW w:w="160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(352)</w:t>
            </w:r>
          </w:p>
        </w:tc>
        <w:tc>
          <w:tcPr>
            <w:tcW w:w="17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(217)</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(135)</w:t>
            </w:r>
          </w:p>
        </w:tc>
        <w:tc>
          <w:tcPr>
            <w:tcW w:w="0" w:type="dxa"/>
            <w:vAlign w:val="bottom"/>
          </w:tcPr>
          <w:p>
            <w:pPr>
              <w:spacing w:after="0"/>
              <w:rPr>
                <w:sz w:val="1"/>
                <w:szCs w:val="1"/>
                <w:color w:val="auto"/>
              </w:rPr>
            </w:pPr>
          </w:p>
        </w:tc>
      </w:tr>
      <w:tr>
        <w:trPr>
          <w:trHeight w:val="137"/>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Net GLA added during the period......................</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b w:val="1"/>
                <w:bCs w:val="1"/>
                <w:color w:val="auto"/>
              </w:rPr>
              <w:t>735</w:t>
            </w:r>
          </w:p>
        </w:tc>
        <w:tc>
          <w:tcPr>
            <w:tcW w:w="174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745</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(10)</w:t>
            </w:r>
          </w:p>
        </w:tc>
        <w:tc>
          <w:tcPr>
            <w:tcW w:w="0" w:type="dxa"/>
            <w:vAlign w:val="bottom"/>
          </w:tcPr>
          <w:p>
            <w:pPr>
              <w:spacing w:after="0"/>
              <w:rPr>
                <w:sz w:val="1"/>
                <w:szCs w:val="1"/>
                <w:color w:val="auto"/>
              </w:rPr>
            </w:pPr>
          </w:p>
        </w:tc>
      </w:tr>
      <w:tr>
        <w:trPr>
          <w:trHeight w:val="270"/>
        </w:trPr>
        <w:tc>
          <w:tcPr>
            <w:tcW w:w="4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GLA at the end of period.............................</w:t>
            </w:r>
          </w:p>
        </w:tc>
        <w:tc>
          <w:tcPr>
            <w:tcW w:w="1600" w:type="dxa"/>
            <w:vAlign w:val="bottom"/>
          </w:tcPr>
          <w:p>
            <w:pPr>
              <w:jc w:val="right"/>
              <w:ind w:right="679"/>
              <w:spacing w:after="0"/>
              <w:rPr>
                <w:sz w:val="20"/>
                <w:szCs w:val="20"/>
                <w:color w:val="auto"/>
              </w:rPr>
            </w:pPr>
            <w:r>
              <w:rPr>
                <w:rFonts w:ascii="Courier New" w:cs="Courier New" w:eastAsia="Courier New" w:hAnsi="Courier New"/>
                <w:sz w:val="12"/>
                <w:szCs w:val="12"/>
                <w:b w:val="1"/>
                <w:bCs w:val="1"/>
                <w:color w:val="auto"/>
              </w:rPr>
              <w:t>16,872</w:t>
            </w:r>
          </w:p>
        </w:tc>
        <w:tc>
          <w:tcPr>
            <w:tcW w:w="174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16,872</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16,127</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January 2004, the OP terminated its long-term lease agreement, which was to expire in December 2004.</w:t>
      </w:r>
    </w:p>
    <w:p>
      <w:pPr>
        <w:ind w:left="580" w:hanging="572"/>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properties sold at Factory Stores of America: Iowa, Louisiana; Lake George, New York; and Hempstead, Texas.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three months ended September 30, 2004 with the three months ended September 30, 2003.</w:t>
      </w:r>
    </w:p>
    <w:p>
      <w:pPr>
        <w:spacing w:after="0" w:line="125"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Income from continuing operations was $36.1 million, an increase of $5.4 million, or 17.6% from $30.7 million in 2003. The increase was primarily the result of the acquisition, development and expansion of five centers in 2003, the acquisition and development of three centers in 2004, higher rents from releasing and renewals partially offset by increases in general and administrative, interest and other expenses.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Base rentals improved to $67.4 million, an increase of $3.7 million or 5.9% from $63.7 million in 2003, primarily due to the acquisition of two centers in 2003 and one center in 2004, higher average rents on releasing and renewals and the expansion of one wholly-owned center in late 2003.</w:t>
      </w:r>
    </w:p>
    <w:p>
      <w:pPr>
        <w:sectPr>
          <w:pgSz w:w="11900" w:h="16838" w:orient="portrait"/>
          <w:cols w:equalWidth="0" w:num="1">
            <w:col w:w="11400"/>
          </w:cols>
          <w:pgMar w:left="240" w:top="118" w:right="259" w:bottom="0" w:gutter="0" w:footer="0" w:header="0"/>
        </w:sectPr>
      </w:pPr>
    </w:p>
    <w:bookmarkStart w:id="13" w:name="page14"/>
    <w:bookmarkEnd w:id="13"/>
    <w:p>
      <w:pPr>
        <w:ind w:right="100"/>
        <w:spacing w:after="0" w:line="251" w:lineRule="auto"/>
        <w:rPr>
          <w:sz w:val="20"/>
          <w:szCs w:val="20"/>
          <w:color w:val="auto"/>
        </w:rPr>
      </w:pPr>
      <w:r>
        <w:rPr>
          <w:rFonts w:ascii="Arial" w:cs="Arial" w:eastAsia="Arial" w:hAnsi="Arial"/>
          <w:sz w:val="22"/>
          <w:szCs w:val="22"/>
          <w:color w:val="auto"/>
        </w:rPr>
        <w:t>Percentage rents rose $1.1 million or 17.3% to $7.8 million in 2004, from $6.7 million in the previous year, primarily from greater tenant sales and acquisitions during 2003.</w:t>
      </w:r>
    </w:p>
    <w:p>
      <w:pPr>
        <w:spacing w:after="0" w:line="9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promotional and management expenses, increased $3.0 million, or 15.2%, to $23.0 million from $20.0 million in 2003, due to the recovery of operating and maintenance costs from increased GLA. The average recovery of reimbursable expenses for the Domestic Outlets was 88.0% in 2004 compared with 85.9% in the earlier period.</w:t>
      </w:r>
    </w:p>
    <w:p>
      <w:pPr>
        <w:spacing w:after="0" w:line="62"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Other income increased $0.6 million or 32.6% to $2.5 million from $1.9 million in 2003, primarily due to improved ancillary operating income and interest income from higher rates in 2004.</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Operating and maintenance expenses increased $2.4 million or 9.7% to $26.8 million from $24.4 million in 2003. The increase was primarily due to costs related to increased GLA.</w:t>
      </w:r>
    </w:p>
    <w:p>
      <w:pPr>
        <w:spacing w:after="0" w:line="92"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Depreciation and amortization expense was up $0.6 million or 3.5% to $18.4 million from $17.8 million in 2003 due to increased depreciation from the acquisition of two centers and the expansion of one wholly-owned center in 2003.</w:t>
      </w:r>
    </w:p>
    <w:p>
      <w:pPr>
        <w:spacing w:after="0" w:line="70" w:lineRule="exact"/>
        <w:rPr>
          <w:sz w:val="20"/>
          <w:szCs w:val="20"/>
          <w:color w:val="auto"/>
        </w:rPr>
      </w:pPr>
    </w:p>
    <w:p>
      <w:pPr>
        <w:ind w:right="760"/>
        <w:spacing w:after="0" w:line="274" w:lineRule="auto"/>
        <w:rPr>
          <w:sz w:val="20"/>
          <w:szCs w:val="20"/>
          <w:color w:val="auto"/>
        </w:rPr>
      </w:pPr>
      <w:r>
        <w:rPr>
          <w:rFonts w:ascii="Arial" w:cs="Arial" w:eastAsia="Arial" w:hAnsi="Arial"/>
          <w:sz w:val="21"/>
          <w:szCs w:val="21"/>
          <w:color w:val="auto"/>
        </w:rPr>
        <w:t>General and administrative expense grew $2.6 million or 101% to $5.1 million from $2.5 million in 2003, primarily due to increases in compensation, corporate governance, professional fees and legal fees related to the merger.</w:t>
      </w:r>
    </w:p>
    <w:p>
      <w:pPr>
        <w:spacing w:after="0" w:line="70"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Other expenses decreased $0.3 million or 14.5% to $1.7 million in 2004 from $2.0 million in the previous year. The decrease in expenses was primarily from lower bad debt and legal expenses in 2004 as well as a loss from Chelsea Interactive of $0.7 million in the 2003 period, partially offset by a $0.9 million settlement of shareholder lawsuit in 2004.</w:t>
      </w:r>
    </w:p>
    <w:p>
      <w:pPr>
        <w:spacing w:after="0" w:line="8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Income from unconsolidated investments was up $3.9 million, or 125.6%, to $7.0 million from $3.1 million in 2003, due to higher earnings from Chelsea Japan resulting from the opening of one center in 2004, and the opening of Las Vegas Premium Outlets in 2003 as well as the opening of Chicago Premium Outlets in May 2004.</w:t>
      </w:r>
    </w:p>
    <w:p>
      <w:pPr>
        <w:spacing w:after="0" w:line="105"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Interest expense increased $1.7 million or 9.7% to $19.6 million from $17.9 million in 2003, due to higher debt that financed acquisitions and development.</w:t>
      </w:r>
    </w:p>
    <w:p>
      <w:pPr>
        <w:spacing w:after="0" w:line="92"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Preferred unit requirement includes a $1.7 million write-off of offering costs associated with the redemption of the Series B Cumulative Redeemable Preferred Units in September 2004.</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(continued)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nine months ended September 30, 2004 with the nine months ended September 30, 2003.</w:t>
      </w:r>
    </w:p>
    <w:p>
      <w:pPr>
        <w:spacing w:after="0" w:line="12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Income from continuing operations was $101.0 million, representing an increase of $20.2 million, or 25.0% from $80.8 million in 2003. The increase was primarily the result of the acquisition, development and expansion of six centers in 2003, and development of three centers in 2004, higher rents from releasing and renewals and contribution to earnings from Chelsea Interactive, partially offset by increases in general and administrative, interest and other expenses due to the growth of the portfolio.</w:t>
      </w:r>
    </w:p>
    <w:p>
      <w:pPr>
        <w:spacing w:after="0" w:line="62"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Base rentals were $199.9 million, an increase of $17.6 million, or 9.7% from $182.3 million in 2003, primarily due to the acquisition of three centers in 2003 and one center in 2004, higher average rents on releasing and renewals and the expansion of one wholly-owned center in late 2003.</w:t>
      </w:r>
    </w:p>
    <w:p>
      <w:pPr>
        <w:spacing w:after="0" w:line="105"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Percentage rents rose $2.6 million or 16.8% to $18.3 million in 2004, from $15.7 million in the previous year, primarily from improved tenant sales and acquisitions during 2003.</w:t>
      </w:r>
    </w:p>
    <w:p>
      <w:pPr>
        <w:spacing w:after="0" w:line="92"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promotional and management expenses, increased $6.5 million, or 11.1%, to $65.5 million from $59.0 million in 2003, due to the recovery of operating and maintenance costs from increased GLA. The average recovery of reimbursable expenses for the Domestic Outlets was 88.2% in 2004 compared with 87.8% in the earlier period.</w:t>
      </w:r>
    </w:p>
    <w:p>
      <w:pPr>
        <w:spacing w:after="0" w:line="62"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Other income increased $1.7 million or 33.3% to $6.9 million from $5.2 million in 2003, primarily due to an increase in ancillary operating income and interest income from higher rates in 2004, partially offset by a gain on an outparcel sale in 2003.</w:t>
      </w:r>
    </w:p>
    <w:p>
      <w:pPr>
        <w:spacing w:after="0" w:line="24"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Operating and maintenance expenses increased $6.6 million, or 9.3%, to $77.6 million from $71.0 million in 2003. The increase was primarily due to costs related to increased GLA.</w:t>
      </w:r>
    </w:p>
    <w:p>
      <w:pPr>
        <w:spacing w:after="0" w:line="9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Depreciation and amortization expense was up $2.0 million or 3.8% to $54.2 million from $52.2 million in 2003 due to increased depreciation from the acquisition of three centers and the expansion of one center in late 2003.</w:t>
      </w:r>
    </w:p>
    <w:p>
      <w:pPr>
        <w:spacing w:after="0" w:line="92"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General and administrative expense grew $5.6 million or 78.0% to $12.8 million from $7.2 million in 2003, primarily due to increases in compensation, employee benefits, corporate governance, professional fees and legal fees related to the merger.</w:t>
      </w:r>
    </w:p>
    <w:p>
      <w:pPr>
        <w:spacing w:after="0" w:line="24"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Other expenses decreased $1.8 million or 27.9% to $4.8 million in 2004 from $6.6 million in the previous year. The decrease in expenses was primarily from Chelsea Interactive’s contribution to earnings of $1.0 million in 2004 compared with a $2.4 million loss in 2003, partially offset by the $0.9 million settlement of a shareholder lawsuit and the impairment loss on two non-core centers sold in 2004.</w:t>
      </w:r>
    </w:p>
    <w:p>
      <w:pPr>
        <w:spacing w:after="0" w:line="10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Income from unconsolidated investments was up $10.3 million, or 146.0%, to $17.4 million from $7.1 million in 2003, chiefly due to higher earnings from Chelsea Japan, resulting from the opening of two new centers and the expansion of one center and the opening of Las Vegas Premium Outlets in 2003 and Chicago Premium Outlets in May 2004.</w:t>
      </w:r>
    </w:p>
    <w:p>
      <w:pPr>
        <w:sectPr>
          <w:pgSz w:w="11900" w:h="16838" w:orient="portrait"/>
          <w:cols w:equalWidth="0" w:num="1">
            <w:col w:w="11380"/>
          </w:cols>
          <w:pgMar w:left="240" w:top="118" w:right="279" w:bottom="143" w:gutter="0" w:footer="0" w:header="0"/>
        </w:sectPr>
      </w:pPr>
    </w:p>
    <w:bookmarkStart w:id="14" w:name="page15"/>
    <w:bookmarkEnd w:id="14"/>
    <w:p>
      <w:pPr>
        <w:ind w:right="480"/>
        <w:spacing w:after="0" w:line="251" w:lineRule="auto"/>
        <w:rPr>
          <w:sz w:val="20"/>
          <w:szCs w:val="20"/>
          <w:color w:val="auto"/>
        </w:rPr>
      </w:pPr>
      <w:r>
        <w:rPr>
          <w:rFonts w:ascii="Arial" w:cs="Arial" w:eastAsia="Arial" w:hAnsi="Arial"/>
          <w:sz w:val="22"/>
          <w:szCs w:val="22"/>
          <w:color w:val="auto"/>
        </w:rPr>
        <w:t>Interest expense increased $6.2 million or 12.1% to $57.6 million from $51.4 million in 2003, due to higher debt that financed acquisitions and development.</w:t>
      </w:r>
    </w:p>
    <w:p>
      <w:pPr>
        <w:spacing w:after="0" w:line="93"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Preferred unit requirement includes a $1.7 million write-off of offering costs associated with the redemption of the Series B Cumulative Redeemable Preferred Units in September 2004.</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1"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The OP believes it has adequate financial resources to fund operating expenses, distributions, and planned development, construction and acquisition activities over the short term, which is less than 12 months and the long term, which is 12 months or more. Operating cash flow for the year ended December 31, 2003 of $181.6 million is expected to increase with a full year of operations from the development, acquisition and expansion of three joint venture centers and four wholly owned centers, which contributed 2.1 million square feet of GLA during 2003 as well as openings of approximately 975,000 square feet of new joint venture GLA in 2004. The OP has adequate funding sources to complete and open all current development projects from available cash, loans from its new parent, Simon Property Group, Inc. ("Simon") and secured construction financing. In conjunction with the Simon/Chelsea merger, the OP’s $200 million line of credit was repaid and extinguished. The OP does, however, have access to capital through Simon’s $1.25 billion credit facility, which was undrawn at September 30, 2004. In the unlikely event that the Simon credit facility is unavailable to the OP, the OP also has access to the public markets through its remaining $700 million debt shelf registration.</w:t>
      </w:r>
    </w:p>
    <w:p>
      <w:pPr>
        <w:spacing w:after="0" w:line="109"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Operating cash flow is expected to provide sufficient funds for distributions in accordance with REIT federal income tax requirements. In addition, the OP anticipates retaining sufficient operating cash to fund re-tenanting and lease renewal tenant improvement costs, as well as capital expenditures to maintain the quality of its centers and partially fund development projects.</w:t>
      </w:r>
    </w:p>
    <w:p>
      <w:pPr>
        <w:spacing w:after="0" w:line="53"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Common distributions declared and recorded in 2004 were $92.4 million, or $1.80 per unit. The OP’s distribution payout ratio as a percentage of net income before gain or loss on sale of assets and depreciation and amortization (reduced by amortization of deferred financing costs, depreciation of non-real estate assets and preferred distribution ("FFO")) was 61%.</w:t>
      </w:r>
    </w:p>
    <w:p>
      <w:pPr>
        <w:spacing w:after="0" w:line="5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The OP’s $200 million Senior Credit Facility which was to expire in March 2005 bore interest on the outstanding balance at an annual rate equal to the London Interbank Offered Rate ("LIBOR") plus 0.95% (2.46% at September 30, 2004) or the prime rate, at the OP’s option and had an annual facility fee of 0.125%. The LIBOR rate spread ranged from 0.85% to 1.50% depending on the OP’s Senior Debt rating. The Senior Credit Facility outstanding balance of $100 million was repaid on October 14, 2004 in conjunction with the Simon/Chelsea merger and the Facility was extinguished.</w:t>
      </w:r>
    </w:p>
    <w:p>
      <w:pPr>
        <w:spacing w:after="0" w:line="98"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In March 2004, the OP issued $100 million 3.5% unsecured notes due March 15, 2009. The notes were priced at 99.534% of par value to yield 3.603% to investors. Proceeds were used to repay borrowings under a $100 million bridge loan due July 2004.</w:t>
      </w:r>
    </w:p>
    <w:p>
      <w:pPr>
        <w:spacing w:after="0" w:line="24"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In September 2004, the OP completed an all-cash acquisition of Carlsbad Company Stores, a 290,000 square foot shopping center located in Carlsbad, California for $102.9 million. The OP exercised its option, which was granted prior to development of the center, to acquire the shopping center from a privately held company. The OP entered a $100 million term loan to acquire the Center, which was due upon the closing of the merger between Simon and the Company. The term loan bore interest on the outstanding balance, payable monthly at LIBOR plus 0.85% per annum. The term loan facility was fully repaid on October 14, 2004.</w:t>
      </w:r>
    </w:p>
    <w:p>
      <w:pPr>
        <w:spacing w:after="0" w:line="107"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In October 2004, the OP borrowed $65 million from Simon Property Group, Inc. and issued an unsecured promissory note due December 31, 2004. Interest is payable monthly at LIBOR plus 1% per annum. The borrowed funds were used primarily to redeem the Series C Preferred Stock prior to the Simon/Chelsea merger closing on October 14, 2004.</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 (continued)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A summary of the maturity of the OP’s contractual debt obligations (at par) as of September 30, 2004, is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More</w:t>
            </w:r>
          </w:p>
        </w:tc>
      </w:tr>
      <w:tr>
        <w:trPr>
          <w:trHeight w:val="135"/>
        </w:trPr>
        <w:tc>
          <w:tcPr>
            <w:tcW w:w="2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Less than</w:t>
            </w:r>
          </w:p>
        </w:tc>
        <w:tc>
          <w:tcPr>
            <w:tcW w:w="128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2 to 3</w:t>
            </w:r>
          </w:p>
        </w:tc>
        <w:tc>
          <w:tcPr>
            <w:tcW w:w="1340" w:type="dxa"/>
            <w:vAlign w:val="bottom"/>
          </w:tcPr>
          <w:p>
            <w:pPr>
              <w:ind w:left="460"/>
              <w:spacing w:after="0"/>
              <w:rPr>
                <w:sz w:val="20"/>
                <w:szCs w:val="20"/>
                <w:color w:val="auto"/>
              </w:rPr>
            </w:pPr>
            <w:r>
              <w:rPr>
                <w:rFonts w:ascii="Courier New" w:cs="Courier New" w:eastAsia="Courier New" w:hAnsi="Courier New"/>
                <w:sz w:val="12"/>
                <w:szCs w:val="12"/>
                <w:b w:val="1"/>
                <w:bCs w:val="1"/>
                <w:color w:val="auto"/>
              </w:rPr>
              <w:t>4 to 5</w:t>
            </w:r>
          </w:p>
        </w:tc>
        <w:tc>
          <w:tcPr>
            <w:tcW w:w="102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than</w:t>
            </w:r>
          </w:p>
        </w:tc>
      </w:tr>
      <w:tr>
        <w:trPr>
          <w:trHeight w:val="135"/>
        </w:trPr>
        <w:tc>
          <w:tcPr>
            <w:tcW w:w="2300" w:type="dxa"/>
            <w:vAlign w:val="bottom"/>
          </w:tcPr>
          <w:p>
            <w:pPr>
              <w:spacing w:after="0"/>
              <w:rPr>
                <w:sz w:val="11"/>
                <w:szCs w:val="11"/>
                <w:color w:val="auto"/>
              </w:rPr>
            </w:pPr>
          </w:p>
        </w:tc>
        <w:tc>
          <w:tcPr>
            <w:tcW w:w="132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Total</w:t>
            </w:r>
          </w:p>
        </w:tc>
        <w:tc>
          <w:tcPr>
            <w:tcW w:w="128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1 Year</w:t>
            </w:r>
          </w:p>
        </w:tc>
        <w:tc>
          <w:tcPr>
            <w:tcW w:w="128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Years</w:t>
            </w:r>
          </w:p>
        </w:tc>
        <w:tc>
          <w:tcPr>
            <w:tcW w:w="1340" w:type="dxa"/>
            <w:vAlign w:val="bottom"/>
          </w:tcPr>
          <w:p>
            <w:pPr>
              <w:ind w:left="460"/>
              <w:spacing w:after="0"/>
              <w:rPr>
                <w:sz w:val="20"/>
                <w:szCs w:val="20"/>
                <w:color w:val="auto"/>
              </w:rPr>
            </w:pPr>
            <w:r>
              <w:rPr>
                <w:rFonts w:ascii="Courier New" w:cs="Courier New" w:eastAsia="Courier New" w:hAnsi="Courier New"/>
                <w:sz w:val="12"/>
                <w:szCs w:val="12"/>
                <w:b w:val="1"/>
                <w:bCs w:val="1"/>
                <w:color w:val="auto"/>
              </w:rPr>
              <w:t>Years</w:t>
            </w:r>
          </w:p>
        </w:tc>
        <w:tc>
          <w:tcPr>
            <w:tcW w:w="102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5 Years</w:t>
            </w:r>
          </w:p>
        </w:tc>
      </w:tr>
      <w:tr>
        <w:trPr>
          <w:trHeight w:val="135"/>
        </w:trPr>
        <w:tc>
          <w:tcPr>
            <w:tcW w:w="2300" w:type="dxa"/>
            <w:vAlign w:val="bottom"/>
          </w:tcPr>
          <w:p>
            <w:pPr>
              <w:spacing w:after="0"/>
              <w:rPr>
                <w:sz w:val="11"/>
                <w:szCs w:val="11"/>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300" w:type="dxa"/>
            <w:vAlign w:val="bottom"/>
          </w:tcPr>
          <w:p>
            <w:pPr>
              <w:spacing w:after="0"/>
              <w:rPr>
                <w:sz w:val="20"/>
                <w:szCs w:val="20"/>
                <w:color w:val="auto"/>
              </w:rPr>
            </w:pPr>
            <w:r>
              <w:rPr>
                <w:rFonts w:ascii="Courier New" w:cs="Courier New" w:eastAsia="Courier New" w:hAnsi="Courier New"/>
                <w:sz w:val="12"/>
                <w:szCs w:val="12"/>
                <w:color w:val="auto"/>
              </w:rPr>
              <w:t>Unsecured bank debt</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$288,237</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$206,435</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$ 26,077</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$ 3,600</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$52,125</w:t>
            </w:r>
          </w:p>
        </w:tc>
      </w:tr>
      <w:tr>
        <w:trPr>
          <w:trHeight w:val="135"/>
        </w:trPr>
        <w:tc>
          <w:tcPr>
            <w:tcW w:w="2300" w:type="dxa"/>
            <w:vAlign w:val="bottom"/>
          </w:tcPr>
          <w:p>
            <w:pPr>
              <w:spacing w:after="0"/>
              <w:rPr>
                <w:sz w:val="20"/>
                <w:szCs w:val="20"/>
                <w:color w:val="auto"/>
              </w:rPr>
            </w:pPr>
            <w:r>
              <w:rPr>
                <w:rFonts w:ascii="Courier New" w:cs="Courier New" w:eastAsia="Courier New" w:hAnsi="Courier New"/>
                <w:sz w:val="12"/>
                <w:szCs w:val="12"/>
                <w:color w:val="auto"/>
              </w:rPr>
              <w:t>Unsecured notes</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725,000</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50,000</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125,000</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150,000</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400,000</w:t>
            </w:r>
          </w:p>
        </w:tc>
      </w:tr>
      <w:tr>
        <w:trPr>
          <w:trHeight w:val="135"/>
        </w:trPr>
        <w:tc>
          <w:tcPr>
            <w:tcW w:w="2300" w:type="dxa"/>
            <w:vAlign w:val="bottom"/>
          </w:tcPr>
          <w:p>
            <w:pPr>
              <w:spacing w:after="0"/>
              <w:rPr>
                <w:sz w:val="20"/>
                <w:szCs w:val="20"/>
                <w:color w:val="auto"/>
              </w:rPr>
            </w:pPr>
            <w:r>
              <w:rPr>
                <w:rFonts w:ascii="Courier New" w:cs="Courier New" w:eastAsia="Courier New" w:hAnsi="Courier New"/>
                <w:sz w:val="12"/>
                <w:szCs w:val="12"/>
                <w:color w:val="auto"/>
              </w:rPr>
              <w:t>Mortgage debt</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308,880</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7,315</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16,345</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161,433</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123,787</w:t>
            </w:r>
          </w:p>
        </w:tc>
      </w:tr>
      <w:tr>
        <w:trPr>
          <w:trHeight w:val="135"/>
        </w:trPr>
        <w:tc>
          <w:tcPr>
            <w:tcW w:w="2300" w:type="dxa"/>
            <w:vAlign w:val="bottom"/>
          </w:tcPr>
          <w:p>
            <w:pPr>
              <w:spacing w:after="0"/>
              <w:rPr>
                <w:sz w:val="11"/>
                <w:szCs w:val="11"/>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300" w:type="dxa"/>
            <w:vAlign w:val="bottom"/>
          </w:tcPr>
          <w:p>
            <w:pPr>
              <w:ind w:left="220"/>
              <w:spacing w:after="0"/>
              <w:rPr>
                <w:sz w:val="20"/>
                <w:szCs w:val="20"/>
                <w:color w:val="auto"/>
              </w:rPr>
            </w:pPr>
            <w:r>
              <w:rPr>
                <w:rFonts w:ascii="Courier New" w:cs="Courier New" w:eastAsia="Courier New" w:hAnsi="Courier New"/>
                <w:sz w:val="12"/>
                <w:szCs w:val="12"/>
                <w:color w:val="auto"/>
              </w:rPr>
              <w:t>Total debt</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1,322,117</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263,750</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167,422</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315,033</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575,912</w:t>
            </w:r>
          </w:p>
        </w:tc>
      </w:tr>
      <w:tr>
        <w:trPr>
          <w:trHeight w:val="135"/>
        </w:trPr>
        <w:tc>
          <w:tcPr>
            <w:tcW w:w="2300" w:type="dxa"/>
            <w:vAlign w:val="bottom"/>
          </w:tcPr>
          <w:p>
            <w:pPr>
              <w:spacing w:after="0"/>
              <w:rPr>
                <w:sz w:val="20"/>
                <w:szCs w:val="20"/>
                <w:color w:val="auto"/>
              </w:rPr>
            </w:pPr>
            <w:r>
              <w:rPr>
                <w:rFonts w:ascii="Courier New" w:cs="Courier New" w:eastAsia="Courier New" w:hAnsi="Courier New"/>
                <w:sz w:val="12"/>
                <w:szCs w:val="12"/>
                <w:color w:val="auto"/>
              </w:rPr>
              <w:t>Ground  and operating leases</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22,871</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1,756</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1,916</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1,589</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17,610</w:t>
            </w:r>
          </w:p>
        </w:tc>
      </w:tr>
      <w:tr>
        <w:trPr>
          <w:trHeight w:val="135"/>
        </w:trPr>
        <w:tc>
          <w:tcPr>
            <w:tcW w:w="2300" w:type="dxa"/>
            <w:vAlign w:val="bottom"/>
          </w:tcPr>
          <w:p>
            <w:pPr>
              <w:spacing w:after="0"/>
              <w:rPr>
                <w:sz w:val="20"/>
                <w:szCs w:val="20"/>
                <w:color w:val="auto"/>
              </w:rPr>
            </w:pPr>
            <w:r>
              <w:rPr>
                <w:rFonts w:ascii="Courier New" w:cs="Courier New" w:eastAsia="Courier New" w:hAnsi="Courier New"/>
                <w:sz w:val="12"/>
                <w:szCs w:val="12"/>
                <w:color w:val="auto"/>
              </w:rPr>
              <w:t>Real estate commitments</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47,407</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47,407</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2300" w:type="dxa"/>
            <w:vAlign w:val="bottom"/>
          </w:tcPr>
          <w:p>
            <w:pPr>
              <w:spacing w:after="0"/>
              <w:rPr>
                <w:sz w:val="20"/>
                <w:szCs w:val="20"/>
                <w:color w:val="auto"/>
              </w:rPr>
            </w:pPr>
            <w:r>
              <w:rPr>
                <w:rFonts w:ascii="Courier New" w:cs="Courier New" w:eastAsia="Courier New" w:hAnsi="Courier New"/>
                <w:sz w:val="12"/>
                <w:szCs w:val="12"/>
                <w:color w:val="auto"/>
              </w:rPr>
              <w:t>Deferred compensation</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24,000</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24,000</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2300" w:type="dxa"/>
            <w:vAlign w:val="bottom"/>
          </w:tcPr>
          <w:p>
            <w:pPr>
              <w:spacing w:after="0"/>
              <w:rPr>
                <w:sz w:val="11"/>
                <w:szCs w:val="11"/>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300" w:type="dxa"/>
            <w:vAlign w:val="bottom"/>
          </w:tcPr>
          <w:p>
            <w:pPr>
              <w:spacing w:after="0"/>
              <w:rPr>
                <w:sz w:val="20"/>
                <w:szCs w:val="20"/>
                <w:color w:val="auto"/>
              </w:rPr>
            </w:pPr>
            <w:r>
              <w:rPr>
                <w:rFonts w:ascii="Courier New" w:cs="Courier New" w:eastAsia="Courier New" w:hAnsi="Courier New"/>
                <w:sz w:val="12"/>
                <w:szCs w:val="12"/>
                <w:color w:val="auto"/>
              </w:rPr>
              <w:t>Total obligations</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$1,416,395</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$312,913</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$193,338</w:t>
            </w:r>
          </w:p>
        </w:tc>
        <w:tc>
          <w:tcPr>
            <w:tcW w:w="13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$316,622</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$593,522</w:t>
            </w:r>
          </w:p>
        </w:tc>
      </w:tr>
      <w:tr>
        <w:trPr>
          <w:trHeight w:val="137"/>
        </w:trPr>
        <w:tc>
          <w:tcPr>
            <w:tcW w:w="2300" w:type="dxa"/>
            <w:vAlign w:val="bottom"/>
          </w:tcPr>
          <w:p>
            <w:pPr>
              <w:spacing w:after="0"/>
              <w:rPr>
                <w:sz w:val="11"/>
                <w:szCs w:val="11"/>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5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At September 30, 2004, construction for international and domestic development included projects totaling 0.9 million square feet of GLA. Internationally, projects include the 230,000 square-foot first phase of Premium Outlets Punta Norte in Mexico City scheduled to open in late 2004 and the 70,000 square-foot expansion of Rinku Premium Outlets in Japan in December 2004. In addition, the 178,000 square-foot first phase of Toki Premium Outlets, located near Nagoya, Japan, is scheduled to be completed by spring 2005. The Punta Norte project is a development of the OP’s 50% owned Mexican joint venture. The Rinku and Toki projects are developments of the OP’s 40% owned Japanese joint venture. Domestically, the 380,000 square-foot Seattle Premium Outlets, located near Seattle, Washington, commenced construction in 2004 and is scheduled to open in spring 2005. Other projects in various stages of development are expected to commence construction in 2005 and open in 2006 and beyond. There can be no assurance that these projects will be completed or opened, or that there will not be delays in opening or completion. All current development activity is fully financed either through project specific secured construction financing, the yen denominated line of</w:t>
      </w:r>
    </w:p>
    <w:p>
      <w:pPr>
        <w:sectPr>
          <w:pgSz w:w="11900" w:h="16838" w:orient="portrait"/>
          <w:cols w:equalWidth="0" w:num="1">
            <w:col w:w="11400"/>
          </w:cols>
          <w:pgMar w:left="240" w:top="118" w:right="259" w:bottom="0" w:gutter="0" w:footer="0" w:header="0"/>
        </w:sectPr>
      </w:pPr>
    </w:p>
    <w:bookmarkStart w:id="15" w:name="page16"/>
    <w:bookmarkEnd w:id="15"/>
    <w:p>
      <w:pPr>
        <w:ind w:right="800"/>
        <w:spacing w:after="0" w:line="251" w:lineRule="auto"/>
        <w:rPr>
          <w:sz w:val="20"/>
          <w:szCs w:val="20"/>
          <w:color w:val="auto"/>
        </w:rPr>
      </w:pPr>
      <w:r>
        <w:rPr>
          <w:rFonts w:ascii="Arial" w:cs="Arial" w:eastAsia="Arial" w:hAnsi="Arial"/>
          <w:sz w:val="22"/>
          <w:szCs w:val="22"/>
          <w:color w:val="auto"/>
        </w:rPr>
        <w:t>credit, the peso denominated line of credit, available cash or through the parent company loans. The OP will seek to obtain permanent financing once the projects are completed and income has been stabilized.</w:t>
      </w:r>
    </w:p>
    <w:p>
      <w:pPr>
        <w:spacing w:after="0" w:line="93"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In connection with the Simon joint venture, the OP has committed to provide 50% of the development costs, or approximately $45.0 million for Chicago Premium Outlets. As of September 30, 2004, the OP had contributed $42.6 million to the Chicago project.</w:t>
      </w:r>
    </w:p>
    <w:p>
      <w:pPr>
        <w:spacing w:after="0" w:line="105"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OP has an agreement with Mitsubishi Estate Co., Ltd. and Sojitz Corporation (formerly known as Nissho Iwai Corporation) to jointly develop, own and operate Premium Outlet centers in Japan under the joint venture Chelsea Japan. Borrowings related to Chelsea Japan for which the Company and the OP have provided guarantees as of September 30, 2004, are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320" w:type="dxa"/>
            <w:vAlign w:val="bottom"/>
          </w:tcPr>
          <w:p>
            <w:pPr>
              <w:ind w:left="880"/>
              <w:spacing w:after="0"/>
              <w:rPr>
                <w:sz w:val="20"/>
                <w:szCs w:val="20"/>
                <w:color w:val="auto"/>
              </w:rPr>
            </w:pPr>
            <w:r>
              <w:rPr>
                <w:rFonts w:ascii="Courier New" w:cs="Courier New" w:eastAsia="Courier New" w:hAnsi="Courier New"/>
                <w:sz w:val="12"/>
                <w:szCs w:val="12"/>
                <w:b w:val="1"/>
                <w:bCs w:val="1"/>
                <w:color w:val="auto"/>
              </w:rPr>
              <w:t>Total</w:t>
            </w:r>
          </w:p>
        </w:tc>
        <w:tc>
          <w:tcPr>
            <w:tcW w:w="1320" w:type="dxa"/>
            <w:vAlign w:val="bottom"/>
          </w:tcPr>
          <w:p>
            <w:pPr>
              <w:spacing w:after="0"/>
              <w:rPr>
                <w:sz w:val="20"/>
                <w:szCs w:val="20"/>
                <w:color w:val="auto"/>
              </w:rPr>
            </w:pPr>
            <w:r>
              <w:rPr>
                <w:rFonts w:ascii="Courier New" w:cs="Courier New" w:eastAsia="Courier New" w:hAnsi="Courier New"/>
                <w:sz w:val="12"/>
                <w:szCs w:val="12"/>
                <w:b w:val="1"/>
                <w:bCs w:val="1"/>
                <w:color w:val="auto"/>
              </w:rPr>
              <w:t>Facility</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60" w:type="dxa"/>
            <w:vAlign w:val="bottom"/>
            <w:gridSpan w:val="2"/>
          </w:tcPr>
          <w:p>
            <w:pPr>
              <w:jc w:val="right"/>
              <w:ind w:right="519"/>
              <w:spacing w:after="0"/>
              <w:rPr>
                <w:sz w:val="20"/>
                <w:szCs w:val="20"/>
                <w:color w:val="auto"/>
              </w:rPr>
            </w:pPr>
            <w:r>
              <w:rPr>
                <w:rFonts w:ascii="Courier New" w:cs="Courier New" w:eastAsia="Courier New" w:hAnsi="Courier New"/>
                <w:sz w:val="12"/>
                <w:szCs w:val="12"/>
                <w:b w:val="1"/>
                <w:bCs w:val="1"/>
                <w:color w:val="auto"/>
              </w:rPr>
              <w:t>Outstanding</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2640" w:type="dxa"/>
            <w:vAlign w:val="bottom"/>
            <w:gridSpan w:val="2"/>
          </w:tcPr>
          <w:p>
            <w:pPr>
              <w:ind w:left="160"/>
              <w:spacing w:after="0"/>
              <w:rPr>
                <w:sz w:val="20"/>
                <w:szCs w:val="20"/>
                <w:color w:val="auto"/>
              </w:rPr>
            </w:pPr>
            <w:r>
              <w:rPr>
                <w:rFonts w:ascii="Courier New" w:cs="Courier New" w:eastAsia="Courier New" w:hAnsi="Courier New"/>
                <w:sz w:val="12"/>
                <w:szCs w:val="12"/>
                <w:b w:val="1"/>
                <w:bCs w:val="1"/>
                <w:color w:val="auto"/>
                <w:w w:val="97"/>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2"/>
                <w:szCs w:val="2"/>
                <w:b w:val="1"/>
                <w:bCs w:val="1"/>
                <w:color w:val="auto"/>
              </w:rPr>
              <w:t>---------------------------------------------------------------------</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Due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Interest</w:t>
            </w:r>
          </w:p>
        </w:tc>
      </w:tr>
      <w:tr>
        <w:trPr>
          <w:trHeight w:val="135"/>
        </w:trPr>
        <w:tc>
          <w:tcPr>
            <w:tcW w:w="13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Yen</w:t>
            </w:r>
          </w:p>
        </w:tc>
        <w:tc>
          <w:tcPr>
            <w:tcW w:w="132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w w:val="99"/>
              </w:rPr>
              <w:t>US $ Equivalent</w:t>
            </w:r>
          </w:p>
        </w:tc>
        <w:tc>
          <w:tcPr>
            <w:tcW w:w="2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3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US $ Equivalent</w:t>
            </w:r>
          </w:p>
        </w:tc>
        <w:tc>
          <w:tcPr>
            <w:tcW w:w="5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US $</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Guarantee</w:t>
            </w:r>
          </w:p>
        </w:tc>
        <w:tc>
          <w:tcPr>
            <w:tcW w:w="6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Date</w:t>
            </w:r>
          </w:p>
        </w:tc>
        <w:tc>
          <w:tcPr>
            <w:tcW w:w="7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320" w:type="dxa"/>
            <w:vAlign w:val="bottom"/>
          </w:tcPr>
          <w:p>
            <w:pPr>
              <w:spacing w:after="0"/>
              <w:rPr>
                <w:sz w:val="20"/>
                <w:szCs w:val="20"/>
                <w:color w:val="auto"/>
              </w:rPr>
            </w:pPr>
            <w:r>
              <w:rPr>
                <w:rFonts w:ascii="Courier New" w:cs="Courier New" w:eastAsia="Courier New" w:hAnsi="Courier New"/>
                <w:sz w:val="12"/>
                <w:szCs w:val="12"/>
                <w:color w:val="auto"/>
              </w:rPr>
              <w:t>3.8 billion (1)</w:t>
            </w:r>
          </w:p>
        </w:tc>
        <w:tc>
          <w:tcPr>
            <w:tcW w:w="1320" w:type="dxa"/>
            <w:vAlign w:val="bottom"/>
          </w:tcPr>
          <w:p>
            <w:pPr>
              <w:spacing w:after="0"/>
              <w:rPr>
                <w:sz w:val="20"/>
                <w:szCs w:val="20"/>
                <w:color w:val="auto"/>
              </w:rPr>
            </w:pPr>
            <w:r>
              <w:rPr>
                <w:rFonts w:ascii="Courier New" w:cs="Courier New" w:eastAsia="Courier New" w:hAnsi="Courier New"/>
                <w:sz w:val="12"/>
                <w:szCs w:val="12"/>
                <w:color w:val="auto"/>
              </w:rPr>
              <w:t>$34.5 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3.1</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$27.9</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$11.2</w:t>
            </w:r>
          </w:p>
        </w:tc>
        <w:tc>
          <w:tcPr>
            <w:tcW w:w="900" w:type="dxa"/>
            <w:vAlign w:val="bottom"/>
          </w:tcPr>
          <w:p>
            <w:pPr>
              <w:ind w:left="20"/>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2.20%</w:t>
            </w:r>
          </w:p>
        </w:tc>
      </w:tr>
      <w:tr>
        <w:trPr>
          <w:trHeight w:val="137"/>
        </w:trPr>
        <w:tc>
          <w:tcPr>
            <w:tcW w:w="1320" w:type="dxa"/>
            <w:vAlign w:val="bottom"/>
          </w:tcPr>
          <w:p>
            <w:pPr>
              <w:ind w:left="80"/>
              <w:spacing w:after="0"/>
              <w:rPr>
                <w:sz w:val="20"/>
                <w:szCs w:val="20"/>
                <w:color w:val="auto"/>
              </w:rPr>
            </w:pPr>
            <w:r>
              <w:rPr>
                <w:rFonts w:ascii="Courier New" w:cs="Courier New" w:eastAsia="Courier New" w:hAnsi="Courier New"/>
                <w:sz w:val="12"/>
                <w:szCs w:val="12"/>
                <w:color w:val="auto"/>
              </w:rPr>
              <w:t>0.6 billion (1)</w:t>
            </w:r>
          </w:p>
        </w:tc>
        <w:tc>
          <w:tcPr>
            <w:tcW w:w="132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5.5 million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0.5</w:t>
            </w:r>
          </w:p>
        </w:tc>
        <w:tc>
          <w:tcPr>
            <w:tcW w:w="600" w:type="dxa"/>
            <w:vAlign w:val="bottom"/>
          </w:tcPr>
          <w:p>
            <w:pPr>
              <w:spacing w:after="0"/>
              <w:rPr>
                <w:sz w:val="20"/>
                <w:szCs w:val="20"/>
                <w:color w:val="auto"/>
              </w:rPr>
            </w:pPr>
            <w:r>
              <w:rPr>
                <w:rFonts w:ascii="Courier New" w:cs="Courier New" w:eastAsia="Courier New" w:hAnsi="Courier New"/>
                <w:sz w:val="12"/>
                <w:szCs w:val="12"/>
                <w:color w:val="auto"/>
              </w:rPr>
              <w:t>billion</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4.3</w:t>
            </w:r>
          </w:p>
        </w:tc>
        <w:tc>
          <w:tcPr>
            <w:tcW w:w="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million</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c>
          <w:tcPr>
            <w:tcW w:w="900" w:type="dxa"/>
            <w:vAlign w:val="bottom"/>
          </w:tcPr>
          <w:p>
            <w:pPr>
              <w:ind w:left="20"/>
              <w:spacing w:after="0"/>
              <w:rPr>
                <w:sz w:val="20"/>
                <w:szCs w:val="20"/>
                <w:color w:val="auto"/>
              </w:rPr>
            </w:pPr>
            <w:r>
              <w:rPr>
                <w:rFonts w:ascii="Courier New" w:cs="Courier New" w:eastAsia="Courier New" w:hAnsi="Courier New"/>
                <w:sz w:val="12"/>
                <w:szCs w:val="12"/>
                <w:color w:val="auto"/>
              </w:rPr>
              <w:t>million</w:t>
            </w:r>
          </w:p>
        </w:tc>
        <w:tc>
          <w:tcPr>
            <w:tcW w:w="620" w:type="dxa"/>
            <w:vAlign w:val="bottom"/>
          </w:tcPr>
          <w:p>
            <w:pPr>
              <w:ind w:left="160"/>
              <w:spacing w:after="0"/>
              <w:rPr>
                <w:sz w:val="20"/>
                <w:szCs w:val="20"/>
                <w:color w:val="auto"/>
              </w:rPr>
            </w:pPr>
            <w:r>
              <w:rPr>
                <w:rFonts w:ascii="Courier New" w:cs="Courier New" w:eastAsia="Courier New" w:hAnsi="Courier New"/>
                <w:sz w:val="12"/>
                <w:szCs w:val="12"/>
                <w:color w:val="auto"/>
              </w:rPr>
              <w:t>2012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1.50%</w:t>
            </w:r>
          </w:p>
        </w:tc>
      </w:tr>
    </w:tbl>
    <w:p>
      <w:pPr>
        <w:spacing w:after="0" w:line="250"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Facilities entered into by Chelsea Japan, secured by Gotemba and Rinku and 40% severally guaranteed by the OP.</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 (continued)</w:t>
      </w:r>
    </w:p>
    <w:p>
      <w:pPr>
        <w:spacing w:after="0" w:line="13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Company along with the OP has a 50/50 joint venture agreement with Sordo Madaleno y Asociados and affiliates to jointly develop own and operate Premium Outlet centers in Mexico. In July 2003, the first development project broke ground, the 230,000 square-foot first phase of Premium Outlets Punta Norte, located near Mexico City which is scheduled to open in late 2004. The OP is responsible for financing its 50% share of project costs or approximately $16.0 million. As of September 30, 2004, the OP had contributed $13.5 million toward project costs and capitalized professional and other costs of $4.2 million.</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In January 2004, a wholly-owned subsidiary of the OP entered into a 180 million peso-dominated revolving facility (US $15.8 million as of September 30, 2004) to provide funding for projects in Mexico. The peso facility has a three- year term and the drawn funds bear interest at the Interbank Interest Equilibrium Rate ("TIIE") plus 0.825% plus the bank’s cost of funds spread limited to 20% of the TIIE, with an annual facility fee of 0.15% on the unused balance. The TIIE with rate spread ranges from 0.725% to</w:t>
      </w:r>
    </w:p>
    <w:p>
      <w:pPr>
        <w:spacing w:after="0" w:line="4"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1.37% depending on the OP’s Senior Debt rating. This facility is guaranteed by the Company and the OP. At September 30, 2004, the outstanding balance was 125.5 million pesos (approximately US $11.0 million).</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February 17, 2004, the OP announced a joint venture between Chelsea Interactive and a publicly traded third party, GSI Commerce, Inc. ("GSI-Chelsea Solutions"). Under the terms of the agreement, Chelsea Interactive would no longer operate its e-commerce technology platform, but would retain a minority interest in GSI-Chelsea Solutions. Chelsea Interactive’s largest clients entered into service agreements with GSI-Chelsea Solutions and transitioned the e-commerce activities to the GSI-Chelsea platform in the second quarter of 2004.</w:t>
      </w:r>
    </w:p>
    <w:p>
      <w:pPr>
        <w:spacing w:after="0" w:line="107"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The OP has minority interests ranging from 3% to 8% in several outlet centers and outlet development projects in Europe operated by Value Retail. The OP’s total investment in Europe as of September 30, 2004, was $3.6 million. The OP has also provided $14.6 million in limited debt service guarantees under a standby facility for loans arranged by Value Retail to construct outlet centers in Europe. The standby facility for new guarantees, which has a maximum of $22.0 million, expired in November 2001 and outstanding guarantees, shall not survive more than five years after project completion.</w:t>
      </w:r>
    </w:p>
    <w:p>
      <w:pPr>
        <w:spacing w:after="0" w:line="98"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Net cash provided by operating activities was $155.5 million and $130.0 million for the nine months ended September 30, 2004, and 2003, respectively. The increase was primarily due to increased operating cash flow generated from the growth of the OP’s GLA. Net cash used in investing activities was $190.2 million in 2004 and $186.9 million in 2003. The increase was primarily due to higher cash proceeds from sales of centers in 2003. Net cash provided by financing activities decreased to $33.3 million from $63.8 million for the nine months ended September 30, 2004, and 2003, respectively. The decrease was primarily the result of increased borrowings more than offset by increased distributions and decreased stock sale proceeds in 2004.</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Funds from Operations</w:t>
      </w:r>
    </w:p>
    <w:p>
      <w:pPr>
        <w:spacing w:after="0" w:line="131"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Industry practice is to evaluate real estate properties in part based on funds from operations (“FFO”). Management considers FFO to be a key measure of operating performance that is not specifically defined by accounting principles generally accepted in the United States (“GAAP”). Management also believes FFO is helpful to investors because it is a widely recognized measure of the performance of REITs and provides a relevant basis for comparison among REITs. Management of the OP uses this measure internally to measure the operating performance of its portfolio.</w:t>
      </w:r>
    </w:p>
    <w:p>
      <w:pPr>
        <w:spacing w:after="0" w:line="98"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As defined by the National Association of Real Estate Investment Trusts (“NAREIT”), FFO is consolidated net income computed in accordance with GAAP:</w:t>
      </w:r>
    </w:p>
    <w:p>
      <w:pPr>
        <w:spacing w:after="0" w:line="92"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excluding real estate related depreciation and amortization,</w:t>
      </w:r>
    </w:p>
    <w:p>
      <w:pPr>
        <w:spacing w:after="0" w:line="8" w:lineRule="exact"/>
        <w:rPr>
          <w:rFonts w:ascii="Arial" w:cs="Arial" w:eastAsia="Arial" w:hAnsi="Arial"/>
          <w:sz w:val="22"/>
          <w:szCs w:val="22"/>
          <w:color w:val="auto"/>
        </w:rPr>
      </w:pPr>
    </w:p>
    <w:p>
      <w:pPr>
        <w:ind w:left="1160" w:hanging="571"/>
        <w:spacing w:after="0" w:line="230" w:lineRule="auto"/>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excluding gains and losses from extraordinary items and cumulative effects of accounting changes,</w:t>
      </w:r>
    </w:p>
    <w:p>
      <w:pPr>
        <w:ind w:left="1160" w:hanging="571"/>
        <w:spacing w:after="0" w:line="230" w:lineRule="auto"/>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excluding gains and losses from the sales of real estate,</w:t>
      </w:r>
    </w:p>
    <w:p>
      <w:pPr>
        <w:ind w:left="1160" w:hanging="571"/>
        <w:spacing w:after="0"/>
        <w:tabs>
          <w:tab w:leader="none" w:pos="11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plus the allocable portion of FFO of unconsolidated joint ventures based upon economic ownership interest, and</w:t>
      </w:r>
    </w:p>
    <w:p>
      <w:pPr>
        <w:spacing w:after="0" w:line="24" w:lineRule="exact"/>
        <w:rPr>
          <w:rFonts w:ascii="Arial" w:cs="Arial" w:eastAsia="Arial" w:hAnsi="Arial"/>
          <w:sz w:val="19"/>
          <w:szCs w:val="19"/>
          <w:color w:val="auto"/>
        </w:rPr>
      </w:pPr>
    </w:p>
    <w:p>
      <w:pPr>
        <w:ind w:left="1160" w:hanging="571"/>
        <w:spacing w:after="0"/>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determined on a consistent basis in accordance with GAAP.</w:t>
      </w:r>
    </w:p>
    <w:p>
      <w:pPr>
        <w:spacing w:after="0" w:line="25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 OP has adopted NAREIT’s clarification of the definition of FFO that requires it to include the effects of nonrecurring items not classified as extraordinary, cumulative effect of accounting change or resulting from the sale of depreciable real estate. However, investors should understand that FFO:</w:t>
      </w:r>
    </w:p>
    <w:p>
      <w:pPr>
        <w:sectPr>
          <w:pgSz w:w="11900" w:h="16838" w:orient="portrait"/>
          <w:cols w:equalWidth="0" w:num="1">
            <w:col w:w="11420"/>
          </w:cols>
          <w:pgMar w:left="240" w:top="118" w:right="239" w:bottom="0" w:gutter="0" w:footer="0" w:header="0"/>
        </w:sectPr>
      </w:pPr>
    </w:p>
    <w:bookmarkStart w:id="16" w:name="page17"/>
    <w:bookmarkEnd w:id="16"/>
    <w:p>
      <w:pPr>
        <w:ind w:left="1160" w:hanging="571"/>
        <w:spacing w:after="0"/>
        <w:tabs>
          <w:tab w:leader="none" w:pos="11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does not represent cash flow from operations as defined by GAAP,</w:t>
      </w:r>
    </w:p>
    <w:p>
      <w:pPr>
        <w:spacing w:after="0" w:line="8" w:lineRule="exact"/>
        <w:rPr>
          <w:rFonts w:ascii="Arial" w:cs="Arial" w:eastAsia="Arial" w:hAnsi="Arial"/>
          <w:sz w:val="22"/>
          <w:szCs w:val="22"/>
          <w:color w:val="auto"/>
        </w:rPr>
      </w:pPr>
    </w:p>
    <w:p>
      <w:pPr>
        <w:ind w:left="1160" w:right="680" w:hanging="571"/>
        <w:spacing w:after="0" w:line="230" w:lineRule="auto"/>
        <w:tabs>
          <w:tab w:leader="none" w:pos="11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should not be considered as an alternative to net income determined in accordance with GAAP as a measure of operating performance, and</w:t>
      </w:r>
    </w:p>
    <w:p>
      <w:pPr>
        <w:spacing w:after="0" w:line="1" w:lineRule="exact"/>
        <w:rPr>
          <w:rFonts w:ascii="Arial" w:cs="Arial" w:eastAsia="Arial" w:hAnsi="Arial"/>
          <w:sz w:val="22"/>
          <w:szCs w:val="22"/>
          <w:color w:val="auto"/>
        </w:rPr>
      </w:pPr>
    </w:p>
    <w:p>
      <w:pPr>
        <w:ind w:left="1160" w:hanging="571"/>
        <w:spacing w:after="0"/>
        <w:tabs>
          <w:tab w:leader="none" w:pos="11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is not an alternative to cash flows as a measure of liquidity.</w:t>
      </w:r>
    </w:p>
    <w:p>
      <w:pPr>
        <w:spacing w:after="0" w:line="256"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The following schedule sets forth total FFO and reconciles consolidated net income, which management believes is the most directly comparable GAAP financial measure, to FFO for the periods presented.</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Funds from Operations (continued)</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4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140" w:type="dxa"/>
            <w:vAlign w:val="bottom"/>
            <w:gridSpan w:val="2"/>
          </w:tcPr>
          <w:p>
            <w:pPr>
              <w:jc w:val="right"/>
              <w:ind w:right="419"/>
              <w:spacing w:after="0"/>
              <w:rPr>
                <w:sz w:val="20"/>
                <w:szCs w:val="20"/>
                <w:color w:val="auto"/>
              </w:rPr>
            </w:pPr>
            <w:r>
              <w:rPr>
                <w:rFonts w:ascii="Courier New" w:cs="Courier New" w:eastAsia="Courier New" w:hAnsi="Courier New"/>
                <w:sz w:val="12"/>
                <w:szCs w:val="12"/>
                <w:b w:val="1"/>
                <w:bCs w:val="1"/>
                <w:color w:val="auto"/>
              </w:rPr>
              <w:t>Three Months Ended</w:t>
            </w:r>
          </w:p>
        </w:tc>
        <w:tc>
          <w:tcPr>
            <w:tcW w:w="840" w:type="dxa"/>
            <w:vAlign w:val="bottom"/>
          </w:tcPr>
          <w:p>
            <w:pPr>
              <w:spacing w:after="0"/>
              <w:rPr>
                <w:sz w:val="11"/>
                <w:szCs w:val="11"/>
                <w:color w:val="auto"/>
              </w:rPr>
            </w:pPr>
          </w:p>
        </w:tc>
      </w:tr>
      <w:tr>
        <w:trPr>
          <w:trHeight w:val="135"/>
        </w:trPr>
        <w:tc>
          <w:tcPr>
            <w:tcW w:w="4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140" w:type="dxa"/>
            <w:vAlign w:val="bottom"/>
            <w:gridSpan w:val="2"/>
          </w:tcPr>
          <w:p>
            <w:pPr>
              <w:jc w:val="right"/>
              <w:ind w:right="639"/>
              <w:spacing w:after="0"/>
              <w:rPr>
                <w:sz w:val="20"/>
                <w:szCs w:val="20"/>
                <w:color w:val="auto"/>
              </w:rPr>
            </w:pPr>
            <w:r>
              <w:rPr>
                <w:rFonts w:ascii="Courier New" w:cs="Courier New" w:eastAsia="Courier New" w:hAnsi="Courier New"/>
                <w:sz w:val="12"/>
                <w:szCs w:val="12"/>
                <w:b w:val="1"/>
                <w:bCs w:val="1"/>
                <w:color w:val="auto"/>
              </w:rPr>
              <w:t>September 30,</w:t>
            </w:r>
          </w:p>
        </w:tc>
        <w:tc>
          <w:tcPr>
            <w:tcW w:w="840" w:type="dxa"/>
            <w:vAlign w:val="bottom"/>
          </w:tcPr>
          <w:p>
            <w:pPr>
              <w:spacing w:after="0"/>
              <w:rPr>
                <w:sz w:val="11"/>
                <w:szCs w:val="11"/>
                <w:color w:val="auto"/>
              </w:rPr>
            </w:pPr>
          </w:p>
        </w:tc>
      </w:tr>
      <w:tr>
        <w:trPr>
          <w:trHeight w:val="135"/>
        </w:trPr>
        <w:tc>
          <w:tcPr>
            <w:tcW w:w="4380" w:type="dxa"/>
            <w:vAlign w:val="bottom"/>
          </w:tcPr>
          <w:p>
            <w:pPr>
              <w:spacing w:after="0"/>
              <w:rPr>
                <w:sz w:val="11"/>
                <w:szCs w:val="11"/>
                <w:color w:val="auto"/>
              </w:rPr>
            </w:pPr>
          </w:p>
        </w:tc>
        <w:tc>
          <w:tcPr>
            <w:tcW w:w="2360" w:type="dxa"/>
            <w:vAlign w:val="bottom"/>
            <w:gridSpan w:val="2"/>
          </w:tcPr>
          <w:p>
            <w:pPr>
              <w:ind w:left="1100"/>
              <w:spacing w:after="0"/>
              <w:rPr>
                <w:sz w:val="20"/>
                <w:szCs w:val="20"/>
                <w:color w:val="auto"/>
              </w:rPr>
            </w:pPr>
            <w:r>
              <w:rPr>
                <w:rFonts w:ascii="Courier New" w:cs="Courier New" w:eastAsia="Courier New" w:hAnsi="Courier New"/>
                <w:sz w:val="12"/>
                <w:szCs w:val="12"/>
                <w:b w:val="1"/>
                <w:bCs w:val="1"/>
                <w:color w:val="auto"/>
              </w:rPr>
              <w:t>2004</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2003</w:t>
            </w:r>
          </w:p>
        </w:tc>
        <w:tc>
          <w:tcPr>
            <w:tcW w:w="840" w:type="dxa"/>
            <w:vAlign w:val="bottom"/>
          </w:tcPr>
          <w:p>
            <w:pPr>
              <w:spacing w:after="0"/>
              <w:rPr>
                <w:sz w:val="11"/>
                <w:szCs w:val="11"/>
                <w:color w:val="auto"/>
              </w:rPr>
            </w:pPr>
          </w:p>
        </w:tc>
      </w:tr>
      <w:tr>
        <w:trPr>
          <w:trHeight w:val="135"/>
        </w:trPr>
        <w:tc>
          <w:tcPr>
            <w:tcW w:w="4380" w:type="dxa"/>
            <w:vAlign w:val="bottom"/>
          </w:tcPr>
          <w:p>
            <w:pPr>
              <w:ind w:left="80"/>
              <w:spacing w:after="0"/>
              <w:rPr>
                <w:sz w:val="20"/>
                <w:szCs w:val="20"/>
                <w:color w:val="auto"/>
              </w:rPr>
            </w:pPr>
            <w:r>
              <w:rPr>
                <w:rFonts w:ascii="Courier New" w:cs="Courier New" w:eastAsia="Courier New" w:hAnsi="Courier New"/>
                <w:sz w:val="12"/>
                <w:szCs w:val="12"/>
                <w:color w:val="auto"/>
              </w:rPr>
              <w:t>(In thousands, except per unit data):</w:t>
            </w:r>
          </w:p>
        </w:tc>
        <w:tc>
          <w:tcPr>
            <w:tcW w:w="1320" w:type="dxa"/>
            <w:vAlign w:val="bottom"/>
          </w:tcPr>
          <w:p>
            <w:pPr>
              <w:jc w:val="right"/>
              <w:ind w:right="819"/>
              <w:spacing w:after="0"/>
              <w:rPr>
                <w:sz w:val="20"/>
                <w:szCs w:val="20"/>
                <w:color w:val="auto"/>
              </w:rPr>
            </w:pPr>
            <w:r>
              <w:rPr>
                <w:rFonts w:ascii="Courier New" w:cs="Courier New" w:eastAsia="Courier New" w:hAnsi="Courier New"/>
                <w:sz w:val="12"/>
                <w:szCs w:val="12"/>
                <w:b w:val="1"/>
                <w:bCs w:val="1"/>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Per unit</w:t>
            </w:r>
          </w:p>
        </w:tc>
        <w:tc>
          <w:tcPr>
            <w:tcW w:w="1100" w:type="dxa"/>
            <w:vAlign w:val="bottom"/>
          </w:tcPr>
          <w:p>
            <w:pPr>
              <w:jc w:val="right"/>
              <w:ind w:right="639"/>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Per unit</w:t>
            </w:r>
          </w:p>
        </w:tc>
      </w:tr>
      <w:tr>
        <w:trPr>
          <w:trHeight w:val="135"/>
        </w:trPr>
        <w:tc>
          <w:tcPr>
            <w:tcW w:w="4380" w:type="dxa"/>
            <w:vAlign w:val="bottom"/>
          </w:tcPr>
          <w:p>
            <w:pPr>
              <w:spacing w:after="0"/>
              <w:rPr>
                <w:sz w:val="11"/>
                <w:szCs w:val="11"/>
                <w:color w:val="auto"/>
              </w:rPr>
            </w:pPr>
          </w:p>
        </w:tc>
        <w:tc>
          <w:tcPr>
            <w:tcW w:w="236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w:t>
            </w:r>
          </w:p>
        </w:tc>
        <w:tc>
          <w:tcPr>
            <w:tcW w:w="1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Net income..............................................</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$36,106</w:t>
            </w:r>
          </w:p>
        </w:tc>
        <w:tc>
          <w:tcPr>
            <w:tcW w:w="10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$0.70</w:t>
            </w: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$31,568</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9"/>
              </w:rPr>
              <w:t>$0.62</w:t>
            </w: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Preferred distribution................................</w:t>
            </w:r>
          </w:p>
        </w:tc>
        <w:tc>
          <w:tcPr>
            <w:tcW w:w="132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(3,722)</w:t>
            </w:r>
          </w:p>
        </w:tc>
        <w:tc>
          <w:tcPr>
            <w:tcW w:w="1040" w:type="dxa"/>
            <w:vAlign w:val="bottom"/>
          </w:tcPr>
          <w:p>
            <w:pPr>
              <w:spacing w:after="0"/>
              <w:rPr>
                <w:sz w:val="20"/>
                <w:szCs w:val="20"/>
                <w:color w:val="auto"/>
              </w:rPr>
            </w:pPr>
            <w:r>
              <w:rPr>
                <w:rFonts w:ascii="Courier New" w:cs="Courier New" w:eastAsia="Courier New" w:hAnsi="Courier New"/>
                <w:sz w:val="12"/>
                <w:szCs w:val="12"/>
                <w:b w:val="1"/>
                <w:bCs w:val="1"/>
                <w:color w:val="auto"/>
              </w:rPr>
              <w:t>($0.07)</w:t>
            </w:r>
          </w:p>
        </w:tc>
        <w:tc>
          <w:tcPr>
            <w:tcW w:w="11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(2,296)</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($0.04)</w:t>
            </w:r>
          </w:p>
        </w:tc>
      </w:tr>
      <w:tr>
        <w:trPr>
          <w:trHeight w:val="135"/>
        </w:trPr>
        <w:tc>
          <w:tcPr>
            <w:tcW w:w="4380" w:type="dxa"/>
            <w:vAlign w:val="bottom"/>
          </w:tcPr>
          <w:p>
            <w:pPr>
              <w:spacing w:after="0"/>
              <w:rPr>
                <w:sz w:val="11"/>
                <w:szCs w:val="11"/>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Net income available to unitholders.....................</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32,384</w:t>
            </w:r>
          </w:p>
        </w:tc>
        <w:tc>
          <w:tcPr>
            <w:tcW w:w="10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$0.63</w:t>
            </w: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29,272</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9"/>
              </w:rPr>
              <w:t>$0.58</w:t>
            </w: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Depreciation and amortization-wholly-owned............</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18,396</w:t>
            </w:r>
          </w:p>
        </w:tc>
        <w:tc>
          <w:tcPr>
            <w:tcW w:w="10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$0.36</w:t>
            </w: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18,080</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9"/>
              </w:rPr>
              <w:t>$0.36</w:t>
            </w: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Depreciation and amortization-joint ventures..........</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2,299</w:t>
            </w:r>
          </w:p>
        </w:tc>
        <w:tc>
          <w:tcPr>
            <w:tcW w:w="10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$0.04</w:t>
            </w: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1,177</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9"/>
              </w:rPr>
              <w:t>$0.02</w:t>
            </w:r>
          </w:p>
        </w:tc>
      </w:tr>
      <w:tr>
        <w:trPr>
          <w:trHeight w:val="135"/>
        </w:trPr>
        <w:tc>
          <w:tcPr>
            <w:tcW w:w="4380" w:type="dxa"/>
            <w:vAlign w:val="bottom"/>
          </w:tcPr>
          <w:p>
            <w:pPr>
              <w:jc w:val="right"/>
              <w:ind w:right="819"/>
              <w:spacing w:after="0"/>
              <w:rPr>
                <w:sz w:val="20"/>
                <w:szCs w:val="20"/>
                <w:color w:val="auto"/>
              </w:rPr>
            </w:pPr>
            <w:r>
              <w:rPr>
                <w:rFonts w:ascii="Courier New" w:cs="Courier New" w:eastAsia="Courier New" w:hAnsi="Courier New"/>
                <w:sz w:val="12"/>
                <w:szCs w:val="12"/>
                <w:color w:val="auto"/>
              </w:rPr>
              <w:t>Amortization of deferred financing costs and</w:t>
            </w: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depreciation of non-rental real estate assets.....</w:t>
            </w:r>
          </w:p>
        </w:tc>
        <w:tc>
          <w:tcPr>
            <w:tcW w:w="132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(718)</w:t>
            </w:r>
          </w:p>
        </w:tc>
        <w:tc>
          <w:tcPr>
            <w:tcW w:w="1040" w:type="dxa"/>
            <w:vAlign w:val="bottom"/>
          </w:tcPr>
          <w:p>
            <w:pPr>
              <w:spacing w:after="0"/>
              <w:rPr>
                <w:sz w:val="20"/>
                <w:szCs w:val="20"/>
                <w:color w:val="auto"/>
              </w:rPr>
            </w:pPr>
            <w:r>
              <w:rPr>
                <w:rFonts w:ascii="Courier New" w:cs="Courier New" w:eastAsia="Courier New" w:hAnsi="Courier New"/>
                <w:sz w:val="12"/>
                <w:szCs w:val="12"/>
                <w:b w:val="1"/>
                <w:bCs w:val="1"/>
                <w:color w:val="auto"/>
              </w:rPr>
              <w:t>($0.01)</w:t>
            </w:r>
          </w:p>
        </w:tc>
        <w:tc>
          <w:tcPr>
            <w:tcW w:w="11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(600)</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($0.01)</w:t>
            </w: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Net gain on sale of assets............................</w:t>
            </w:r>
          </w:p>
        </w:tc>
        <w:tc>
          <w:tcPr>
            <w:tcW w:w="132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(65)</w:t>
            </w:r>
          </w:p>
        </w:tc>
        <w:tc>
          <w:tcPr>
            <w:tcW w:w="10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(908)</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($0.02)</w:t>
            </w:r>
          </w:p>
        </w:tc>
      </w:tr>
      <w:tr>
        <w:trPr>
          <w:trHeight w:val="135"/>
        </w:trPr>
        <w:tc>
          <w:tcPr>
            <w:tcW w:w="4380" w:type="dxa"/>
            <w:vAlign w:val="bottom"/>
          </w:tcPr>
          <w:p>
            <w:pPr>
              <w:spacing w:after="0"/>
              <w:rPr>
                <w:sz w:val="11"/>
                <w:szCs w:val="11"/>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FFO available to common unitholders......................</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$52,296</w:t>
            </w:r>
          </w:p>
        </w:tc>
        <w:tc>
          <w:tcPr>
            <w:tcW w:w="10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$1.02</w:t>
            </w: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$47,021</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9"/>
              </w:rPr>
              <w:t>$0.93</w:t>
            </w:r>
          </w:p>
        </w:tc>
      </w:tr>
      <w:tr>
        <w:trPr>
          <w:trHeight w:val="137"/>
        </w:trPr>
        <w:tc>
          <w:tcPr>
            <w:tcW w:w="4380" w:type="dxa"/>
            <w:vAlign w:val="bottom"/>
          </w:tcPr>
          <w:p>
            <w:pPr>
              <w:spacing w:after="0"/>
              <w:rPr>
                <w:sz w:val="11"/>
                <w:szCs w:val="11"/>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r>
      <w:tr>
        <w:trPr>
          <w:trHeight w:val="268"/>
        </w:trPr>
        <w:tc>
          <w:tcPr>
            <w:tcW w:w="43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Weighted average units outstanding:</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General partner.........................................</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44,157</w:t>
            </w:r>
          </w:p>
        </w:tc>
        <w:tc>
          <w:tcPr>
            <w:tcW w:w="1040" w:type="dxa"/>
            <w:vAlign w:val="bottom"/>
          </w:tcPr>
          <w:p>
            <w:pPr>
              <w:spacing w:after="0"/>
              <w:rPr>
                <w:sz w:val="11"/>
                <w:szCs w:val="11"/>
                <w:color w:val="auto"/>
              </w:rPr>
            </w:pP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43,304</w:t>
            </w:r>
          </w:p>
        </w:tc>
        <w:tc>
          <w:tcPr>
            <w:tcW w:w="840" w:type="dxa"/>
            <w:vAlign w:val="bottom"/>
          </w:tcPr>
          <w:p>
            <w:pPr>
              <w:spacing w:after="0"/>
              <w:rPr>
                <w:sz w:val="11"/>
                <w:szCs w:val="11"/>
                <w:color w:val="auto"/>
              </w:rPr>
            </w:pP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Limited partners........................................</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7,203</w:t>
            </w:r>
          </w:p>
        </w:tc>
        <w:tc>
          <w:tcPr>
            <w:tcW w:w="1040" w:type="dxa"/>
            <w:vAlign w:val="bottom"/>
          </w:tcPr>
          <w:p>
            <w:pPr>
              <w:spacing w:after="0"/>
              <w:rPr>
                <w:sz w:val="11"/>
                <w:szCs w:val="11"/>
                <w:color w:val="auto"/>
              </w:rPr>
            </w:pP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7,389</w:t>
            </w:r>
          </w:p>
        </w:tc>
        <w:tc>
          <w:tcPr>
            <w:tcW w:w="840" w:type="dxa"/>
            <w:vAlign w:val="bottom"/>
          </w:tcPr>
          <w:p>
            <w:pPr>
              <w:spacing w:after="0"/>
              <w:rPr>
                <w:sz w:val="11"/>
                <w:szCs w:val="11"/>
                <w:color w:val="auto"/>
              </w:rPr>
            </w:pPr>
          </w:p>
        </w:tc>
      </w:tr>
      <w:tr>
        <w:trPr>
          <w:trHeight w:val="135"/>
        </w:trPr>
        <w:tc>
          <w:tcPr>
            <w:tcW w:w="4380" w:type="dxa"/>
            <w:vAlign w:val="bottom"/>
          </w:tcPr>
          <w:p>
            <w:pPr>
              <w:spacing w:after="0"/>
              <w:rPr>
                <w:sz w:val="11"/>
                <w:szCs w:val="11"/>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spacing w:after="0"/>
              <w:rPr>
                <w:sz w:val="11"/>
                <w:szCs w:val="11"/>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spacing w:after="0"/>
              <w:rPr>
                <w:sz w:val="11"/>
                <w:szCs w:val="11"/>
                <w:color w:val="auto"/>
              </w:rPr>
            </w:pPr>
          </w:p>
        </w:tc>
      </w:tr>
      <w:tr>
        <w:trPr>
          <w:trHeight w:val="135"/>
        </w:trPr>
        <w:tc>
          <w:tcPr>
            <w:tcW w:w="43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Total...................................................</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51,360</w:t>
            </w:r>
          </w:p>
        </w:tc>
        <w:tc>
          <w:tcPr>
            <w:tcW w:w="1040" w:type="dxa"/>
            <w:vAlign w:val="bottom"/>
          </w:tcPr>
          <w:p>
            <w:pPr>
              <w:spacing w:after="0"/>
              <w:rPr>
                <w:sz w:val="11"/>
                <w:szCs w:val="11"/>
                <w:color w:val="auto"/>
              </w:rPr>
            </w:pPr>
          </w:p>
        </w:tc>
        <w:tc>
          <w:tcPr>
            <w:tcW w:w="11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50,693</w:t>
            </w:r>
          </w:p>
        </w:tc>
        <w:tc>
          <w:tcPr>
            <w:tcW w:w="840" w:type="dxa"/>
            <w:vAlign w:val="bottom"/>
          </w:tcPr>
          <w:p>
            <w:pPr>
              <w:spacing w:after="0"/>
              <w:rPr>
                <w:sz w:val="11"/>
                <w:szCs w:val="11"/>
                <w:color w:val="auto"/>
              </w:rPr>
            </w:pPr>
          </w:p>
        </w:tc>
      </w:tr>
      <w:tr>
        <w:trPr>
          <w:trHeight w:val="137"/>
        </w:trPr>
        <w:tc>
          <w:tcPr>
            <w:tcW w:w="4380" w:type="dxa"/>
            <w:vAlign w:val="bottom"/>
          </w:tcPr>
          <w:p>
            <w:pPr>
              <w:spacing w:after="0"/>
              <w:rPr>
                <w:sz w:val="11"/>
                <w:szCs w:val="11"/>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spacing w:after="0"/>
              <w:rPr>
                <w:sz w:val="11"/>
                <w:szCs w:val="11"/>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spacing w:after="0"/>
              <w:rPr>
                <w:sz w:val="11"/>
                <w:szCs w:val="11"/>
                <w:color w:val="auto"/>
              </w:rPr>
            </w:pPr>
          </w:p>
        </w:tc>
      </w:tr>
    </w:tbl>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4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60" w:type="dxa"/>
            <w:vAlign w:val="bottom"/>
            <w:gridSpan w:val="2"/>
          </w:tcPr>
          <w:p>
            <w:pPr>
              <w:jc w:val="right"/>
              <w:ind w:right="379"/>
              <w:spacing w:after="0"/>
              <w:rPr>
                <w:sz w:val="20"/>
                <w:szCs w:val="20"/>
                <w:color w:val="auto"/>
              </w:rPr>
            </w:pPr>
            <w:r>
              <w:rPr>
                <w:rFonts w:ascii="Courier New" w:cs="Courier New" w:eastAsia="Courier New" w:hAnsi="Courier New"/>
                <w:sz w:val="12"/>
                <w:szCs w:val="12"/>
                <w:b w:val="1"/>
                <w:bCs w:val="1"/>
                <w:color w:val="auto"/>
              </w:rPr>
              <w:t>Nine Months Ended</w:t>
            </w:r>
          </w:p>
        </w:tc>
        <w:tc>
          <w:tcPr>
            <w:tcW w:w="880" w:type="dxa"/>
            <w:vAlign w:val="bottom"/>
          </w:tcPr>
          <w:p>
            <w:pPr>
              <w:spacing w:after="0"/>
              <w:rPr>
                <w:sz w:val="11"/>
                <w:szCs w:val="11"/>
                <w:color w:val="auto"/>
              </w:rPr>
            </w:pPr>
          </w:p>
        </w:tc>
      </w:tr>
      <w:tr>
        <w:trPr>
          <w:trHeight w:val="137"/>
        </w:trPr>
        <w:tc>
          <w:tcPr>
            <w:tcW w:w="4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60" w:type="dxa"/>
            <w:vAlign w:val="bottom"/>
            <w:gridSpan w:val="2"/>
          </w:tcPr>
          <w:p>
            <w:pPr>
              <w:jc w:val="right"/>
              <w:ind w:right="519"/>
              <w:spacing w:after="0"/>
              <w:rPr>
                <w:sz w:val="20"/>
                <w:szCs w:val="20"/>
                <w:color w:val="auto"/>
              </w:rPr>
            </w:pPr>
            <w:r>
              <w:rPr>
                <w:rFonts w:ascii="Courier New" w:cs="Courier New" w:eastAsia="Courier New" w:hAnsi="Courier New"/>
                <w:sz w:val="12"/>
                <w:szCs w:val="12"/>
                <w:b w:val="1"/>
                <w:bCs w:val="1"/>
                <w:color w:val="auto"/>
              </w:rPr>
              <w:t>September 30,</w:t>
            </w:r>
          </w:p>
        </w:tc>
        <w:tc>
          <w:tcPr>
            <w:tcW w:w="880" w:type="dxa"/>
            <w:vAlign w:val="bottom"/>
          </w:tcPr>
          <w:p>
            <w:pPr>
              <w:spacing w:after="0"/>
              <w:rPr>
                <w:sz w:val="11"/>
                <w:szCs w:val="11"/>
                <w:color w:val="auto"/>
              </w:rPr>
            </w:pPr>
          </w:p>
        </w:tc>
      </w:tr>
      <w:tr>
        <w:trPr>
          <w:trHeight w:val="268"/>
        </w:trPr>
        <w:tc>
          <w:tcPr>
            <w:tcW w:w="4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40" w:type="dxa"/>
            <w:vAlign w:val="bottom"/>
          </w:tcPr>
          <w:p>
            <w:pPr>
              <w:jc w:val="right"/>
              <w:ind w:right="899"/>
              <w:spacing w:after="0"/>
              <w:rPr>
                <w:sz w:val="20"/>
                <w:szCs w:val="20"/>
                <w:color w:val="auto"/>
              </w:rPr>
            </w:pPr>
            <w:r>
              <w:rPr>
                <w:rFonts w:ascii="Courier New" w:cs="Courier New" w:eastAsia="Courier New" w:hAnsi="Courier New"/>
                <w:sz w:val="12"/>
                <w:szCs w:val="12"/>
                <w:b w:val="1"/>
                <w:bCs w:val="1"/>
                <w:color w:val="auto"/>
                <w:w w:val="90"/>
              </w:rPr>
              <w:t>2004</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2003</w:t>
            </w:r>
          </w:p>
        </w:tc>
        <w:tc>
          <w:tcPr>
            <w:tcW w:w="880" w:type="dxa"/>
            <w:vAlign w:val="bottom"/>
          </w:tcPr>
          <w:p>
            <w:pPr>
              <w:spacing w:after="0"/>
              <w:rPr>
                <w:sz w:val="23"/>
                <w:szCs w:val="23"/>
                <w:color w:val="auto"/>
              </w:rPr>
            </w:pPr>
          </w:p>
        </w:tc>
      </w:tr>
      <w:tr>
        <w:trPr>
          <w:trHeight w:val="135"/>
        </w:trPr>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(In thousands, except per unit data):</w:t>
            </w:r>
          </w:p>
        </w:tc>
        <w:tc>
          <w:tcPr>
            <w:tcW w:w="106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Per unit</w:t>
            </w:r>
          </w:p>
        </w:tc>
        <w:tc>
          <w:tcPr>
            <w:tcW w:w="102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Per unit</w:t>
            </w:r>
          </w:p>
        </w:tc>
      </w:tr>
      <w:tr>
        <w:trPr>
          <w:trHeight w:val="135"/>
        </w:trPr>
        <w:tc>
          <w:tcPr>
            <w:tcW w:w="4340" w:type="dxa"/>
            <w:vAlign w:val="bottom"/>
          </w:tcPr>
          <w:p>
            <w:pPr>
              <w:spacing w:after="0"/>
              <w:rPr>
                <w:sz w:val="11"/>
                <w:szCs w:val="11"/>
                <w:color w:val="auto"/>
              </w:rPr>
            </w:pPr>
          </w:p>
        </w:tc>
        <w:tc>
          <w:tcPr>
            <w:tcW w:w="23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9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Net income..............................................</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$100,983</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$1.97</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$87,001</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$1.75</w:t>
            </w: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Preferred distribution................................</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(8,314)</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($0.16)</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(6,888)</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($0.14)</w:t>
            </w:r>
          </w:p>
        </w:tc>
      </w:tr>
      <w:tr>
        <w:trPr>
          <w:trHeight w:val="135"/>
        </w:trPr>
        <w:tc>
          <w:tcPr>
            <w:tcW w:w="434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color w:val="auto"/>
                <w:w w:val="99"/>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Net income available to unitholders.....................</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92,669</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$1.81</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80,113</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$1.61</w:t>
            </w: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Depreciation and amortization-wholly-owned............</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54,150</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$1.06</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52,981</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$1.06</w:t>
            </w: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Depreciation and amortization-joint ventures..........</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5,842</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$0.11</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2,470</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$0.05</w:t>
            </w:r>
          </w:p>
        </w:tc>
      </w:tr>
      <w:tr>
        <w:trPr>
          <w:trHeight w:val="135"/>
        </w:trPr>
        <w:tc>
          <w:tcPr>
            <w:tcW w:w="4340" w:type="dxa"/>
            <w:vAlign w:val="bottom"/>
          </w:tcPr>
          <w:p>
            <w:pPr>
              <w:jc w:val="right"/>
              <w:ind w:right="779"/>
              <w:spacing w:after="0"/>
              <w:rPr>
                <w:sz w:val="20"/>
                <w:szCs w:val="20"/>
                <w:color w:val="auto"/>
              </w:rPr>
            </w:pPr>
            <w:r>
              <w:rPr>
                <w:rFonts w:ascii="Courier New" w:cs="Courier New" w:eastAsia="Courier New" w:hAnsi="Courier New"/>
                <w:sz w:val="12"/>
                <w:szCs w:val="12"/>
                <w:color w:val="auto"/>
              </w:rPr>
              <w:t>Amortization of deferred financing costs and</w:t>
            </w:r>
          </w:p>
        </w:tc>
        <w:tc>
          <w:tcPr>
            <w:tcW w:w="1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depreciation of non-rental real estate assets.....</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(2,083)</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($0.04)</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(1,783)</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($0.03)</w:t>
            </w: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Net gain on sale of assets............................</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(65)</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(5,625)</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($0.11)</w:t>
            </w:r>
          </w:p>
        </w:tc>
      </w:tr>
      <w:tr>
        <w:trPr>
          <w:trHeight w:val="135"/>
        </w:trPr>
        <w:tc>
          <w:tcPr>
            <w:tcW w:w="434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color w:val="auto"/>
                <w:w w:val="99"/>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FFO available to common unitholders......................</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$150,513</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$2.94</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$128,156</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$2.58</w:t>
            </w:r>
          </w:p>
        </w:tc>
      </w:tr>
      <w:tr>
        <w:trPr>
          <w:trHeight w:val="137"/>
        </w:trPr>
        <w:tc>
          <w:tcPr>
            <w:tcW w:w="434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color w:val="auto"/>
                <w:w w:val="99"/>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2"/>
                <w:szCs w:val="12"/>
                <w:color w:val="auto"/>
                <w:w w:val="98"/>
              </w:rPr>
              <w:t>===========</w:t>
            </w:r>
          </w:p>
        </w:tc>
      </w:tr>
      <w:tr>
        <w:trPr>
          <w:trHeight w:val="268"/>
        </w:trPr>
        <w:tc>
          <w:tcPr>
            <w:tcW w:w="434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Weighted average units outstanding:</w:t>
            </w:r>
          </w:p>
        </w:tc>
        <w:tc>
          <w:tcPr>
            <w:tcW w:w="10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General partner.........................................</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44,016</w:t>
            </w:r>
          </w:p>
        </w:tc>
        <w:tc>
          <w:tcPr>
            <w:tcW w:w="1240" w:type="dxa"/>
            <w:vAlign w:val="bottom"/>
          </w:tcPr>
          <w:p>
            <w:pPr>
              <w:spacing w:after="0"/>
              <w:rPr>
                <w:sz w:val="11"/>
                <w:szCs w:val="11"/>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42,302</w:t>
            </w:r>
          </w:p>
        </w:tc>
        <w:tc>
          <w:tcPr>
            <w:tcW w:w="880" w:type="dxa"/>
            <w:vAlign w:val="bottom"/>
          </w:tcPr>
          <w:p>
            <w:pPr>
              <w:spacing w:after="0"/>
              <w:rPr>
                <w:sz w:val="11"/>
                <w:szCs w:val="11"/>
                <w:color w:val="auto"/>
              </w:rPr>
            </w:pP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Limited partners........................................</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7,240</w:t>
            </w:r>
          </w:p>
        </w:tc>
        <w:tc>
          <w:tcPr>
            <w:tcW w:w="1240" w:type="dxa"/>
            <w:vAlign w:val="bottom"/>
          </w:tcPr>
          <w:p>
            <w:pPr>
              <w:spacing w:after="0"/>
              <w:rPr>
                <w:sz w:val="11"/>
                <w:szCs w:val="11"/>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7,464</w:t>
            </w:r>
          </w:p>
        </w:tc>
        <w:tc>
          <w:tcPr>
            <w:tcW w:w="880" w:type="dxa"/>
            <w:vAlign w:val="bottom"/>
          </w:tcPr>
          <w:p>
            <w:pPr>
              <w:spacing w:after="0"/>
              <w:rPr>
                <w:sz w:val="11"/>
                <w:szCs w:val="11"/>
                <w:color w:val="auto"/>
              </w:rPr>
            </w:pPr>
          </w:p>
        </w:tc>
      </w:tr>
      <w:tr>
        <w:trPr>
          <w:trHeight w:val="135"/>
        </w:trPr>
        <w:tc>
          <w:tcPr>
            <w:tcW w:w="434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spacing w:after="0"/>
              <w:rPr>
                <w:sz w:val="11"/>
                <w:szCs w:val="11"/>
                <w:color w:val="auto"/>
              </w:rPr>
            </w:pPr>
          </w:p>
        </w:tc>
      </w:tr>
      <w:tr>
        <w:trPr>
          <w:trHeight w:val="135"/>
        </w:trPr>
        <w:tc>
          <w:tcPr>
            <w:tcW w:w="43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Total...................................................</w:t>
            </w:r>
          </w:p>
        </w:tc>
        <w:tc>
          <w:tcPr>
            <w:tcW w:w="10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51,256</w:t>
            </w:r>
          </w:p>
        </w:tc>
        <w:tc>
          <w:tcPr>
            <w:tcW w:w="1240" w:type="dxa"/>
            <w:vAlign w:val="bottom"/>
          </w:tcPr>
          <w:p>
            <w:pPr>
              <w:spacing w:after="0"/>
              <w:rPr>
                <w:sz w:val="11"/>
                <w:szCs w:val="11"/>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49,766</w:t>
            </w:r>
          </w:p>
        </w:tc>
        <w:tc>
          <w:tcPr>
            <w:tcW w:w="880" w:type="dxa"/>
            <w:vAlign w:val="bottom"/>
          </w:tcPr>
          <w:p>
            <w:pPr>
              <w:spacing w:after="0"/>
              <w:rPr>
                <w:sz w:val="11"/>
                <w:szCs w:val="11"/>
                <w:color w:val="auto"/>
              </w:rPr>
            </w:pPr>
          </w:p>
        </w:tc>
      </w:tr>
      <w:tr>
        <w:trPr>
          <w:trHeight w:val="137"/>
        </w:trPr>
        <w:tc>
          <w:tcPr>
            <w:tcW w:w="434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spacing w:after="0"/>
              <w:rPr>
                <w:sz w:val="11"/>
                <w:szCs w:val="1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Economic Conditions</w:t>
      </w:r>
    </w:p>
    <w:p>
      <w:pPr>
        <w:spacing w:after="0" w:line="131"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Substantially all leases contain provisions, including escalations of base rents and percentage rentals calculated on gross sales, to mitigate the impact of inflation. Inflationary increases in common area maintenance and real estate tax expenses are substantially reimbursed by tenants. Virtually all tenants have met their lease obligations and the OP continues to attract and retain quality tenants. The OP intends to reduce operating and leasing risks by continually improving its tenant mix, rental rates and lease terms and by pursuing contracts with creditworthy upscale and national brand-name tenants.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1"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OP is exposed to changes in interest rates primarily from its floating rate debt arrangements. In December 2000, the OP implemented a policy to protect against interest rate and foreign exchange risk. The OP’s primary strategy is to protect against these risks by using derivative transactions as appropriate to minimize the variability that floating rate interest and foreign currency fluctuations could have on cash flow. In December 2000, a wholly owned subsidiary of the OP entered into an interest rate swap agreement effective January 2, 2001 with a financial institution for a notional amount of $69.3 million amortizing to $64.1 million to hedge against unfavorable fluctuations in the LIBOR rates of one of its term loans. The hedge effectively produces a fixed rate of 7.2625% on the notional amount until January 1, 2006.</w:t>
      </w:r>
    </w:p>
    <w:p>
      <w:pPr>
        <w:spacing w:after="0" w:line="97"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color w:val="auto"/>
        </w:rPr>
        <w:t>At September 30, 2004, a hypothetical 100 basis point adverse move (increase) in US Treasury and LIBOR rates applied to unhedged debt would adversely affect the OP’s annual interest cost by approximately $2.3 million annually.</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summary of the OP’s debt obligations at September 30, 2004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40" w:type="dxa"/>
            <w:vAlign w:val="bottom"/>
            <w:gridSpan w:val="2"/>
          </w:tcPr>
          <w:p>
            <w:pPr>
              <w:jc w:val="right"/>
              <w:ind w:right="299"/>
              <w:spacing w:after="0"/>
              <w:rPr>
                <w:sz w:val="20"/>
                <w:szCs w:val="20"/>
                <w:color w:val="auto"/>
              </w:rPr>
            </w:pPr>
            <w:r>
              <w:rPr>
                <w:rFonts w:ascii="Courier New" w:cs="Courier New" w:eastAsia="Courier New" w:hAnsi="Courier New"/>
                <w:sz w:val="12"/>
                <w:szCs w:val="12"/>
                <w:b w:val="1"/>
                <w:bCs w:val="1"/>
                <w:color w:val="auto"/>
              </w:rPr>
              <w:t>Expected Maturity Date</w:t>
            </w: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38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2005</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2006</w:t>
            </w:r>
          </w:p>
        </w:tc>
        <w:tc>
          <w:tcPr>
            <w:tcW w:w="8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2007</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2008</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2009</w:t>
            </w:r>
          </w:p>
        </w:tc>
        <w:tc>
          <w:tcPr>
            <w:tcW w:w="11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Thereafter</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Total</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rPr>
              <w:t>Fair Value</w:t>
            </w:r>
          </w:p>
        </w:tc>
      </w:tr>
      <w:tr>
        <w:trPr>
          <w:trHeight w:val="135"/>
        </w:trPr>
        <w:tc>
          <w:tcPr>
            <w:tcW w:w="1680" w:type="dxa"/>
            <w:vAlign w:val="bottom"/>
          </w:tcPr>
          <w:p>
            <w:pPr>
              <w:spacing w:after="0"/>
              <w:rPr>
                <w:sz w:val="11"/>
                <w:szCs w:val="11"/>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9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Fixed Rate Debt: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$49,975</w:t>
            </w:r>
          </w:p>
        </w:tc>
        <w:tc>
          <w:tcPr>
            <w:tcW w:w="6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$124,898</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$163,013</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$149,535</w:t>
            </w:r>
          </w:p>
        </w:tc>
        <w:tc>
          <w:tcPr>
            <w:tcW w:w="11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$553,314</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$1,040,735</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$1,120,336</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8.38%</w:t>
            </w:r>
          </w:p>
        </w:tc>
        <w:tc>
          <w:tcPr>
            <w:tcW w:w="6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7.25%</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6.99%</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5.21%</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7.05%</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6.86%</w:t>
            </w:r>
          </w:p>
        </w:tc>
        <w:tc>
          <w:tcPr>
            <w:tcW w:w="1140" w:type="dxa"/>
            <w:vAlign w:val="bottom"/>
          </w:tcPr>
          <w:p>
            <w:pPr>
              <w:spacing w:after="0"/>
              <w:rPr>
                <w:sz w:val="11"/>
                <w:szCs w:val="11"/>
                <w:color w:val="auto"/>
              </w:rPr>
            </w:pPr>
          </w:p>
        </w:tc>
      </w:tr>
      <w:tr>
        <w:trPr>
          <w:trHeight w:val="403"/>
        </w:trPr>
        <w:tc>
          <w:tcPr>
            <w:tcW w:w="1680" w:type="dxa"/>
            <w:vAlign w:val="bottom"/>
          </w:tcPr>
          <w:p>
            <w:pPr>
              <w:spacing w:after="0"/>
              <w:rPr>
                <w:sz w:val="20"/>
                <w:szCs w:val="20"/>
                <w:color w:val="auto"/>
              </w:rPr>
            </w:pPr>
            <w:r>
              <w:rPr>
                <w:rFonts w:ascii="Courier New" w:cs="Courier New" w:eastAsia="Courier New" w:hAnsi="Courier New"/>
                <w:sz w:val="12"/>
                <w:szCs w:val="12"/>
                <w:color w:val="auto"/>
              </w:rPr>
              <w:t>Variable Rate Debt:</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216,484</w:t>
            </w:r>
          </w:p>
        </w:tc>
        <w:tc>
          <w:tcPr>
            <w:tcW w:w="6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11,028</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60,725(1)</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288,237</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288,237</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2.50%</w:t>
            </w:r>
          </w:p>
        </w:tc>
        <w:tc>
          <w:tcPr>
            <w:tcW w:w="6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9.20%</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2.90%</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2.76%</w:t>
            </w:r>
          </w:p>
        </w:tc>
        <w:tc>
          <w:tcPr>
            <w:tcW w:w="1140" w:type="dxa"/>
            <w:vAlign w:val="bottom"/>
          </w:tcPr>
          <w:p>
            <w:pPr>
              <w:spacing w:after="0"/>
              <w:rPr>
                <w:sz w:val="11"/>
                <w:szCs w:val="11"/>
                <w:color w:val="auto"/>
              </w:rPr>
            </w:pPr>
          </w:p>
        </w:tc>
      </w:tr>
    </w:tbl>
    <w:p>
      <w:pPr>
        <w:sectPr>
          <w:pgSz w:w="11900" w:h="16838" w:orient="portrait"/>
          <w:cols w:equalWidth="0" w:num="1">
            <w:col w:w="11420"/>
          </w:cols>
          <w:pgMar w:left="240" w:top="118" w:right="239" w:bottom="27" w:gutter="0" w:footer="0" w:header="0"/>
        </w:sectPr>
      </w:pPr>
    </w:p>
    <w:bookmarkStart w:id="17" w:name="page18"/>
    <w:bookmarkEnd w:id="17"/>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Subject to an interest rate swap, which effectively produces a fixed rate of 7.2625% until January 1, 2006.</w:t>
      </w:r>
    </w:p>
    <w:p>
      <w:pPr>
        <w:spacing w:after="0" w:line="1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Item 4. Controls and Procedures</w:t>
      </w:r>
    </w:p>
    <w:p>
      <w:pPr>
        <w:spacing w:after="0" w:line="131"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The Company’s chief executive officer and chief financial officer evaluated the effectiveness of our disclosure controls and procedures (as defined in rule 13a-14c under the Securities Exchange Act of 1934, as amended) as of September 30, 2004 and, based on that evaluation, concluded that, as of the end of the period covered by this report, we had sufficient controls and procedures for recording, processing, summarizing and reporting information that is required to be disclosed in our reports under the Securities Exchange Act of 1934, as amended, within the time periods specified in the SEC’s rules and forms.</w:t>
      </w:r>
    </w:p>
    <w:p>
      <w:pPr>
        <w:spacing w:after="0" w:line="67" w:lineRule="exact"/>
        <w:rPr>
          <w:sz w:val="20"/>
          <w:szCs w:val="20"/>
          <w:color w:val="auto"/>
        </w:rPr>
      </w:pPr>
    </w:p>
    <w:p>
      <w:pPr>
        <w:ind w:right="20"/>
        <w:spacing w:after="0"/>
        <w:rPr>
          <w:sz w:val="20"/>
          <w:szCs w:val="20"/>
          <w:color w:val="auto"/>
        </w:rPr>
      </w:pPr>
      <w:r>
        <w:rPr>
          <w:rFonts w:ascii="Arial" w:cs="Arial" w:eastAsia="Arial" w:hAnsi="Arial"/>
          <w:sz w:val="22"/>
          <w:szCs w:val="22"/>
          <w:color w:val="auto"/>
        </w:rPr>
        <w:t>During the nine months ended September 30, 2004, there have not been any significant changes to our internal controls including any corrective actions with regard to significant deficiencies and material weaknesses or other factors that could significantly affect these controls.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1"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On June 24, 2004, a lawsuit was filed in the Court of Chancery in Essex County, New Jersey seeking to enjoin the merger. The complaint, which was brought by a purported stockholder of the Company, names the Company and each of the members of its board of directors as defendants.</w:t>
      </w:r>
    </w:p>
    <w:p>
      <w:pPr>
        <w:spacing w:after="0" w:line="10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complaint alleges that the defendants have violated fiduciary duties of care, loyalty, candor and independence owed to the public stockholders of the Company. The plaintiff seeks, among other things, class action certification, a declaration that the merger agreement is unenforceable, a preliminary and permanent injunction against the defendants from proceeding with or closing the merger unless and until the Company implements a procedure that is free from conflicts of interest and an award of attorneys’ fees and costs of suit.</w:t>
      </w:r>
    </w:p>
    <w:p>
      <w:pPr>
        <w:spacing w:after="0" w:line="107"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A settlement hearing was held on October 5, 2004 at which the court approved a settlement of the case involving certain additional disclosure and the payment by the Company of costs of approximately $0.9 million to the plaintiff’s attorneys.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131" w:lineRule="exact"/>
        <w:rPr>
          <w:sz w:val="20"/>
          <w:szCs w:val="20"/>
          <w:color w:val="auto"/>
        </w:rPr>
      </w:pPr>
    </w:p>
    <w:p>
      <w:pPr>
        <w:ind w:right="80" w:firstLine="594"/>
        <w:spacing w:after="0" w:line="252" w:lineRule="auto"/>
        <w:rPr>
          <w:sz w:val="20"/>
          <w:szCs w:val="20"/>
          <w:color w:val="auto"/>
        </w:rPr>
      </w:pPr>
      <w:r>
        <w:rPr>
          <w:rFonts w:ascii="Arial" w:cs="Arial" w:eastAsia="Arial" w:hAnsi="Arial"/>
          <w:sz w:val="21"/>
          <w:szCs w:val="21"/>
          <w:color w:val="auto"/>
        </w:rPr>
        <w:t>On October 13, 2004, a special meeting of the limited partners of CPG Partners, L.P. was held, at which the limited partners by unanimous vote approved the merger of CPG Partners, L.P. with Simon Property Group, L.P. and the Agreement and Plan of Merger, dated as of June 20, 2004, by and among Simon Property Group, Inc., Simon Property Group, L.P., Simon Acquisition I, LLC, Simon Acquisition II, LLC, Chelsea Property Group, Inc. and CPG Partners, L.P.</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 and Reports on Form 8-K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2580" w:type="dxa"/>
            <w:vAlign w:val="bottom"/>
            <w:gridSpan w:val="3"/>
          </w:tcPr>
          <w:p>
            <w:pPr>
              <w:ind w:left="340"/>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85"/>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1020" w:type="dxa"/>
            <w:vAlign w:val="bottom"/>
          </w:tcPr>
          <w:p>
            <w:pPr>
              <w:spacing w:after="0"/>
              <w:rPr>
                <w:sz w:val="20"/>
                <w:szCs w:val="20"/>
                <w:color w:val="auto"/>
              </w:rPr>
            </w:pPr>
            <w:r>
              <w:rPr>
                <w:rFonts w:ascii="Arial" w:cs="Arial" w:eastAsia="Arial" w:hAnsi="Arial"/>
                <w:sz w:val="22"/>
                <w:szCs w:val="22"/>
                <w:color w:val="auto"/>
              </w:rPr>
              <w:t>31.1</w:t>
            </w:r>
          </w:p>
        </w:tc>
        <w:tc>
          <w:tcPr>
            <w:tcW w:w="360" w:type="dxa"/>
            <w:vAlign w:val="bottom"/>
          </w:tcPr>
          <w:p>
            <w:pPr>
              <w:spacing w:after="0"/>
              <w:rPr>
                <w:sz w:val="24"/>
                <w:szCs w:val="24"/>
                <w:color w:val="auto"/>
              </w:rPr>
            </w:pPr>
          </w:p>
        </w:tc>
        <w:tc>
          <w:tcPr>
            <w:tcW w:w="2580" w:type="dxa"/>
            <w:vAlign w:val="bottom"/>
            <w:gridSpan w:val="3"/>
          </w:tcPr>
          <w:p>
            <w:pPr>
              <w:ind w:left="340"/>
              <w:spacing w:after="0"/>
              <w:rPr>
                <w:sz w:val="20"/>
                <w:szCs w:val="20"/>
                <w:color w:val="auto"/>
              </w:rPr>
            </w:pPr>
            <w:r>
              <w:rPr>
                <w:rFonts w:ascii="Arial" w:cs="Arial" w:eastAsia="Arial" w:hAnsi="Arial"/>
                <w:sz w:val="22"/>
                <w:szCs w:val="22"/>
                <w:color w:val="auto"/>
                <w:w w:val="88"/>
              </w:rPr>
              <w:t>Section 302 Certifications</w:t>
            </w:r>
          </w:p>
        </w:tc>
      </w:tr>
      <w:tr>
        <w:trPr>
          <w:trHeight w:val="275"/>
        </w:trPr>
        <w:tc>
          <w:tcPr>
            <w:tcW w:w="58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31.2</w:t>
            </w:r>
          </w:p>
        </w:tc>
        <w:tc>
          <w:tcPr>
            <w:tcW w:w="360" w:type="dxa"/>
            <w:vAlign w:val="bottom"/>
          </w:tcPr>
          <w:p>
            <w:pPr>
              <w:spacing w:after="0"/>
              <w:rPr>
                <w:sz w:val="23"/>
                <w:szCs w:val="23"/>
                <w:color w:val="auto"/>
              </w:rPr>
            </w:pPr>
          </w:p>
        </w:tc>
        <w:tc>
          <w:tcPr>
            <w:tcW w:w="2580" w:type="dxa"/>
            <w:vAlign w:val="bottom"/>
            <w:gridSpan w:val="3"/>
          </w:tcPr>
          <w:p>
            <w:pPr>
              <w:ind w:left="340"/>
              <w:spacing w:after="0"/>
              <w:rPr>
                <w:sz w:val="20"/>
                <w:szCs w:val="20"/>
                <w:color w:val="auto"/>
              </w:rPr>
            </w:pPr>
            <w:r>
              <w:rPr>
                <w:rFonts w:ascii="Arial" w:cs="Arial" w:eastAsia="Arial" w:hAnsi="Arial"/>
                <w:sz w:val="22"/>
                <w:szCs w:val="22"/>
                <w:color w:val="auto"/>
                <w:w w:val="88"/>
              </w:rPr>
              <w:t>Section 302 Certifications</w:t>
            </w:r>
          </w:p>
        </w:tc>
      </w:tr>
      <w:tr>
        <w:trPr>
          <w:trHeight w:val="455"/>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32.1</w:t>
            </w:r>
          </w:p>
        </w:tc>
        <w:tc>
          <w:tcPr>
            <w:tcW w:w="360" w:type="dxa"/>
            <w:vAlign w:val="bottom"/>
          </w:tcPr>
          <w:p>
            <w:pPr>
              <w:spacing w:after="0"/>
              <w:rPr>
                <w:sz w:val="24"/>
                <w:szCs w:val="24"/>
                <w:color w:val="auto"/>
              </w:rPr>
            </w:pPr>
          </w:p>
        </w:tc>
        <w:tc>
          <w:tcPr>
            <w:tcW w:w="2580" w:type="dxa"/>
            <w:vAlign w:val="bottom"/>
            <w:gridSpan w:val="3"/>
          </w:tcPr>
          <w:p>
            <w:pPr>
              <w:ind w:left="340"/>
              <w:spacing w:after="0"/>
              <w:rPr>
                <w:sz w:val="20"/>
                <w:szCs w:val="20"/>
                <w:color w:val="auto"/>
              </w:rPr>
            </w:pPr>
            <w:r>
              <w:rPr>
                <w:rFonts w:ascii="Arial" w:cs="Arial" w:eastAsia="Arial" w:hAnsi="Arial"/>
                <w:sz w:val="22"/>
                <w:szCs w:val="22"/>
                <w:color w:val="auto"/>
                <w:w w:val="88"/>
              </w:rPr>
              <w:t>Section 906 Certifications</w:t>
            </w:r>
          </w:p>
        </w:tc>
      </w:tr>
      <w:tr>
        <w:trPr>
          <w:trHeight w:val="275"/>
        </w:trPr>
        <w:tc>
          <w:tcPr>
            <w:tcW w:w="58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32.2</w:t>
            </w:r>
          </w:p>
        </w:tc>
        <w:tc>
          <w:tcPr>
            <w:tcW w:w="360" w:type="dxa"/>
            <w:vAlign w:val="bottom"/>
          </w:tcPr>
          <w:p>
            <w:pPr>
              <w:spacing w:after="0"/>
              <w:rPr>
                <w:sz w:val="23"/>
                <w:szCs w:val="23"/>
                <w:color w:val="auto"/>
              </w:rPr>
            </w:pPr>
          </w:p>
        </w:tc>
        <w:tc>
          <w:tcPr>
            <w:tcW w:w="2580" w:type="dxa"/>
            <w:vAlign w:val="bottom"/>
            <w:gridSpan w:val="3"/>
          </w:tcPr>
          <w:p>
            <w:pPr>
              <w:ind w:left="340"/>
              <w:spacing w:after="0"/>
              <w:rPr>
                <w:sz w:val="20"/>
                <w:szCs w:val="20"/>
                <w:color w:val="auto"/>
              </w:rPr>
            </w:pPr>
            <w:r>
              <w:rPr>
                <w:rFonts w:ascii="Arial" w:cs="Arial" w:eastAsia="Arial" w:hAnsi="Arial"/>
                <w:sz w:val="22"/>
                <w:szCs w:val="22"/>
                <w:color w:val="auto"/>
                <w:w w:val="88"/>
              </w:rPr>
              <w:t>Section 906 Certifications</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(b) None.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w:t>
      </w:r>
    </w:p>
    <w:p>
      <w:pPr>
        <w:spacing w:after="0" w:line="125" w:lineRule="exact"/>
        <w:rPr>
          <w:sz w:val="20"/>
          <w:szCs w:val="20"/>
          <w:color w:val="auto"/>
        </w:rPr>
      </w:pPr>
    </w:p>
    <w:p>
      <w:pPr>
        <w:ind w:right="100" w:firstLine="59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CPG Partners, L.P.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-17780</wp:posOffset>
            </wp:positionV>
            <wp:extent cx="2301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1875" cy="8890"/>
                    </a:xfrm>
                    <a:prstGeom prst="rect">
                      <a:avLst/>
                    </a:prstGeom>
                    <a:noFill/>
                  </pic:spPr>
                </pic:pic>
              </a:graphicData>
            </a:graphic>
          </wp:anchor>
        </w:drawing>
      </w:r>
    </w:p>
    <w:p>
      <w:pPr>
        <w:ind w:left="6100"/>
        <w:spacing w:after="0" w:line="238" w:lineRule="auto"/>
        <w:rPr>
          <w:sz w:val="20"/>
          <w:szCs w:val="20"/>
          <w:color w:val="auto"/>
        </w:rPr>
      </w:pPr>
      <w:r>
        <w:rPr>
          <w:rFonts w:ascii="Arial" w:cs="Arial" w:eastAsia="Arial" w:hAnsi="Arial"/>
          <w:sz w:val="22"/>
          <w:szCs w:val="22"/>
          <w:color w:val="auto"/>
        </w:rPr>
        <w:t>Michael J. Clarke</w:t>
      </w:r>
    </w:p>
    <w:p>
      <w:pPr>
        <w:ind w:left="6100"/>
        <w:spacing w:after="0"/>
        <w:rPr>
          <w:sz w:val="20"/>
          <w:szCs w:val="20"/>
          <w:color w:val="auto"/>
        </w:rPr>
      </w:pPr>
      <w:r>
        <w:rPr>
          <w:rFonts w:ascii="Arial" w:cs="Arial" w:eastAsia="Arial" w:hAnsi="Arial"/>
          <w:sz w:val="22"/>
          <w:szCs w:val="22"/>
          <w:color w:val="auto"/>
        </w:rPr>
        <w:t>Chief Financial Officer</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12, 2004</w:t>
      </w:r>
    </w:p>
    <w:p>
      <w:pPr>
        <w:sectPr>
          <w:pgSz w:w="11900" w:h="16838" w:orient="portrait"/>
          <w:cols w:equalWidth="0" w:num="1">
            <w:col w:w="11400"/>
          </w:cols>
          <w:pgMar w:left="240" w:top="118"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22"/>
          <w:szCs w:val="22"/>
          <w:b w:val="1"/>
          <w:bCs w:val="1"/>
          <w:color w:val="auto"/>
        </w:rPr>
        <w:t>CERTIFICATION</w:t>
      </w:r>
    </w:p>
    <w:p>
      <w:pPr>
        <w:spacing w:after="0" w:line="132" w:lineRule="exact"/>
        <w:rPr>
          <w:sz w:val="20"/>
          <w:szCs w:val="20"/>
          <w:color w:val="auto"/>
        </w:rPr>
      </w:pPr>
    </w:p>
    <w:p>
      <w:pPr>
        <w:ind w:right="80" w:firstLine="594"/>
        <w:spacing w:after="0" w:line="251" w:lineRule="auto"/>
        <w:rPr>
          <w:sz w:val="20"/>
          <w:szCs w:val="20"/>
          <w:color w:val="auto"/>
        </w:rPr>
      </w:pPr>
      <w:r>
        <w:rPr>
          <w:rFonts w:ascii="Arial" w:cs="Arial" w:eastAsia="Arial" w:hAnsi="Arial"/>
          <w:sz w:val="22"/>
          <w:szCs w:val="22"/>
          <w:color w:val="auto"/>
        </w:rPr>
        <w:t>I, David C. Bloom, Chief Executive Officer of Chelsea Property Group, Inc., the sole general partner of CPG Partners, L.P., (the "OP"), certify that:</w:t>
      </w:r>
    </w:p>
    <w:p>
      <w:pPr>
        <w:spacing w:after="0" w:line="92"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the OP;</w:t>
      </w:r>
    </w:p>
    <w:p>
      <w:pPr>
        <w:spacing w:after="0" w:line="138" w:lineRule="exact"/>
        <w:rPr>
          <w:rFonts w:ascii="Arial" w:cs="Arial" w:eastAsia="Arial" w:hAnsi="Arial"/>
          <w:sz w:val="22"/>
          <w:szCs w:val="22"/>
          <w:color w:val="auto"/>
        </w:rPr>
      </w:pPr>
    </w:p>
    <w:p>
      <w:pPr>
        <w:ind w:left="580" w:right="180" w:hanging="572"/>
        <w:spacing w:after="0"/>
        <w:tabs>
          <w:tab w:leader="none" w:pos="5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22"/>
          <w:szCs w:val="22"/>
          <w:color w:val="auto"/>
        </w:rPr>
      </w:pPr>
    </w:p>
    <w:p>
      <w:pPr>
        <w:ind w:left="580" w:hanging="572"/>
        <w:spacing w:after="0"/>
        <w:tabs>
          <w:tab w:leader="none" w:pos="5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22"/>
          <w:szCs w:val="22"/>
          <w:color w:val="auto"/>
        </w:rPr>
      </w:pPr>
    </w:p>
    <w:p>
      <w:pPr>
        <w:ind w:left="580" w:right="700" w:hanging="572"/>
        <w:spacing w:after="0" w:line="328" w:lineRule="auto"/>
        <w:tabs>
          <w:tab w:leader="none" w:pos="5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9"/>
          <w:szCs w:val="19"/>
          <w:color w:val="auto"/>
        </w:rPr>
      </w:pPr>
    </w:p>
    <w:p>
      <w:pPr>
        <w:ind w:left="1160" w:right="80" w:hanging="571"/>
        <w:spacing w:after="0" w:line="238" w:lineRule="auto"/>
        <w:tabs>
          <w:tab w:leader="none" w:pos="11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22"/>
          <w:szCs w:val="22"/>
          <w:color w:val="auto"/>
        </w:rPr>
      </w:pPr>
    </w:p>
    <w:p>
      <w:pPr>
        <w:ind w:left="1160" w:hanging="571"/>
        <w:spacing w:after="0"/>
        <w:tabs>
          <w:tab w:leader="none" w:pos="11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138" w:lineRule="exact"/>
        <w:rPr>
          <w:rFonts w:ascii="Arial" w:cs="Arial" w:eastAsia="Arial" w:hAnsi="Arial"/>
          <w:sz w:val="22"/>
          <w:szCs w:val="22"/>
          <w:color w:val="auto"/>
        </w:rPr>
      </w:pPr>
    </w:p>
    <w:p>
      <w:pPr>
        <w:ind w:left="1160" w:right="200" w:hanging="571"/>
        <w:spacing w:after="0"/>
        <w:tabs>
          <w:tab w:leader="none" w:pos="11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22"/>
          <w:szCs w:val="22"/>
          <w:color w:val="auto"/>
        </w:rPr>
      </w:pPr>
    </w:p>
    <w:p>
      <w:pPr>
        <w:ind w:left="1160" w:right="40" w:hanging="571"/>
        <w:spacing w:after="0" w:line="238" w:lineRule="auto"/>
        <w:tabs>
          <w:tab w:leader="none" w:pos="11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 affect, the registrant's internal control over financial reporting; and</w:t>
      </w:r>
    </w:p>
    <w:p>
      <w:pPr>
        <w:spacing w:after="0" w:line="117" w:lineRule="exact"/>
        <w:rPr>
          <w:rFonts w:ascii="Arial" w:cs="Arial" w:eastAsia="Arial" w:hAnsi="Arial"/>
          <w:sz w:val="22"/>
          <w:szCs w:val="22"/>
          <w:color w:val="auto"/>
        </w:rPr>
      </w:pPr>
    </w:p>
    <w:p>
      <w:pPr>
        <w:ind w:left="580" w:right="360" w:hanging="572"/>
        <w:spacing w:after="0"/>
        <w:tabs>
          <w:tab w:leader="none" w:pos="5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22"/>
          <w:szCs w:val="22"/>
          <w:color w:val="auto"/>
        </w:rPr>
      </w:pPr>
    </w:p>
    <w:p>
      <w:pPr>
        <w:jc w:val="both"/>
        <w:ind w:left="1160" w:right="420" w:hanging="571"/>
        <w:spacing w:after="0"/>
        <w:tabs>
          <w:tab w:leader="none" w:pos="11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22"/>
          <w:szCs w:val="22"/>
          <w:color w:val="auto"/>
        </w:rPr>
      </w:pPr>
    </w:p>
    <w:p>
      <w:pPr>
        <w:ind w:left="1160" w:right="180" w:hanging="571"/>
        <w:spacing w:after="0" w:line="251" w:lineRule="auto"/>
        <w:tabs>
          <w:tab w:leader="none" w:pos="11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12, 2004</w:t>
      </w:r>
    </w:p>
    <w:p>
      <w:pPr>
        <w:spacing w:after="0" w:line="125"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/s/ 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1993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3265" cy="8890"/>
                    </a:xfrm>
                    <a:prstGeom prst="rect">
                      <a:avLst/>
                    </a:prstGeom>
                    <a:noFill/>
                  </pic:spPr>
                </pic:pic>
              </a:graphicData>
            </a:graphic>
          </wp:anchor>
        </w:drawing>
      </w:r>
    </w:p>
    <w:p>
      <w:pPr>
        <w:ind w:left="5720"/>
        <w:spacing w:after="0" w:line="238" w:lineRule="auto"/>
        <w:rPr>
          <w:sz w:val="20"/>
          <w:szCs w:val="20"/>
          <w:color w:val="auto"/>
        </w:rPr>
      </w:pPr>
      <w:r>
        <w:rPr>
          <w:rFonts w:ascii="Arial" w:cs="Arial" w:eastAsia="Arial" w:hAnsi="Arial"/>
          <w:sz w:val="22"/>
          <w:szCs w:val="22"/>
          <w:color w:val="auto"/>
        </w:rPr>
        <w:t>David C. Bloom</w:t>
      </w:r>
    </w:p>
    <w:p>
      <w:pPr>
        <w:ind w:left="572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380"/>
          </w:cols>
          <w:pgMar w:left="240" w:top="112" w:right="2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22"/>
          <w:szCs w:val="22"/>
          <w:b w:val="1"/>
          <w:bCs w:val="1"/>
          <w:color w:val="auto"/>
        </w:rPr>
        <w:t>CERTIFICATION</w:t>
      </w:r>
    </w:p>
    <w:p>
      <w:pPr>
        <w:spacing w:after="0" w:line="132" w:lineRule="exact"/>
        <w:rPr>
          <w:sz w:val="20"/>
          <w:szCs w:val="20"/>
          <w:color w:val="auto"/>
        </w:rPr>
      </w:pPr>
    </w:p>
    <w:p>
      <w:pPr>
        <w:ind w:right="40" w:firstLine="594"/>
        <w:spacing w:after="0" w:line="251" w:lineRule="auto"/>
        <w:rPr>
          <w:sz w:val="20"/>
          <w:szCs w:val="20"/>
          <w:color w:val="auto"/>
        </w:rPr>
      </w:pPr>
      <w:r>
        <w:rPr>
          <w:rFonts w:ascii="Arial" w:cs="Arial" w:eastAsia="Arial" w:hAnsi="Arial"/>
          <w:sz w:val="22"/>
          <w:szCs w:val="22"/>
          <w:color w:val="auto"/>
        </w:rPr>
        <w:t>I, Michael J. Clarke, Chief Financial Officer of Chelsea Property Group, Inc., the sole general partner of CPG Partners, L.P., (the "OP"), certify that:</w:t>
      </w:r>
    </w:p>
    <w:p>
      <w:pPr>
        <w:spacing w:after="0" w:line="92"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the OP;</w:t>
      </w:r>
    </w:p>
    <w:p>
      <w:pPr>
        <w:spacing w:after="0" w:line="138" w:lineRule="exact"/>
        <w:rPr>
          <w:rFonts w:ascii="Arial" w:cs="Arial" w:eastAsia="Arial" w:hAnsi="Arial"/>
          <w:sz w:val="22"/>
          <w:szCs w:val="22"/>
          <w:color w:val="auto"/>
        </w:rPr>
      </w:pPr>
    </w:p>
    <w:p>
      <w:pPr>
        <w:ind w:left="580" w:right="180" w:hanging="572"/>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22"/>
          <w:szCs w:val="22"/>
          <w:color w:val="auto"/>
        </w:rPr>
      </w:pPr>
    </w:p>
    <w:p>
      <w:pPr>
        <w:ind w:left="580" w:hanging="572"/>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22"/>
          <w:szCs w:val="22"/>
          <w:color w:val="auto"/>
        </w:rPr>
      </w:pPr>
    </w:p>
    <w:p>
      <w:pPr>
        <w:ind w:left="580" w:right="700" w:hanging="572"/>
        <w:spacing w:after="0" w:line="328" w:lineRule="auto"/>
        <w:tabs>
          <w:tab w:leader="none" w:pos="5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9"/>
          <w:szCs w:val="19"/>
          <w:color w:val="auto"/>
        </w:rPr>
      </w:pPr>
    </w:p>
    <w:p>
      <w:pPr>
        <w:ind w:left="1160" w:right="80" w:hanging="571"/>
        <w:spacing w:after="0" w:line="238" w:lineRule="auto"/>
        <w:tabs>
          <w:tab w:leader="none" w:pos="11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22"/>
          <w:szCs w:val="22"/>
          <w:color w:val="auto"/>
        </w:rPr>
      </w:pPr>
    </w:p>
    <w:p>
      <w:pPr>
        <w:ind w:left="1160" w:hanging="571"/>
        <w:spacing w:after="0"/>
        <w:tabs>
          <w:tab w:leader="none" w:pos="11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138" w:lineRule="exact"/>
        <w:rPr>
          <w:rFonts w:ascii="Arial" w:cs="Arial" w:eastAsia="Arial" w:hAnsi="Arial"/>
          <w:sz w:val="22"/>
          <w:szCs w:val="22"/>
          <w:color w:val="auto"/>
        </w:rPr>
      </w:pPr>
    </w:p>
    <w:p>
      <w:pPr>
        <w:ind w:left="1160" w:right="200" w:hanging="571"/>
        <w:spacing w:after="0"/>
        <w:tabs>
          <w:tab w:leader="none" w:pos="11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22"/>
          <w:szCs w:val="22"/>
          <w:color w:val="auto"/>
        </w:rPr>
      </w:pPr>
    </w:p>
    <w:p>
      <w:pPr>
        <w:ind w:left="1160" w:right="40" w:hanging="571"/>
        <w:spacing w:after="0" w:line="238" w:lineRule="auto"/>
        <w:tabs>
          <w:tab w:leader="none" w:pos="11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 affect, the registrant's internal control over financial reporting; and</w:t>
      </w:r>
    </w:p>
    <w:p>
      <w:pPr>
        <w:spacing w:after="0" w:line="117" w:lineRule="exact"/>
        <w:rPr>
          <w:rFonts w:ascii="Arial" w:cs="Arial" w:eastAsia="Arial" w:hAnsi="Arial"/>
          <w:sz w:val="22"/>
          <w:szCs w:val="22"/>
          <w:color w:val="auto"/>
        </w:rPr>
      </w:pPr>
    </w:p>
    <w:p>
      <w:pPr>
        <w:ind w:left="580" w:right="360" w:hanging="572"/>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22"/>
          <w:szCs w:val="22"/>
          <w:color w:val="auto"/>
        </w:rPr>
      </w:pPr>
    </w:p>
    <w:p>
      <w:pPr>
        <w:jc w:val="both"/>
        <w:ind w:left="1160" w:right="420" w:hanging="571"/>
        <w:spacing w:after="0"/>
        <w:tabs>
          <w:tab w:leader="none" w:pos="11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22"/>
          <w:szCs w:val="22"/>
          <w:color w:val="auto"/>
        </w:rPr>
      </w:pPr>
    </w:p>
    <w:p>
      <w:pPr>
        <w:ind w:left="1160" w:right="180" w:hanging="571"/>
        <w:spacing w:after="0" w:line="251" w:lineRule="auto"/>
        <w:tabs>
          <w:tab w:leader="none" w:pos="11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12, 2004</w:t>
      </w:r>
    </w:p>
    <w:p>
      <w:pPr>
        <w:spacing w:after="0" w:line="125"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130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0425" cy="8890"/>
                    </a:xfrm>
                    <a:prstGeom prst="rect">
                      <a:avLst/>
                    </a:prstGeom>
                    <a:noFill/>
                  </pic:spPr>
                </pic:pic>
              </a:graphicData>
            </a:graphic>
          </wp:anchor>
        </w:drawing>
      </w:r>
    </w:p>
    <w:p>
      <w:pPr>
        <w:ind w:left="5720"/>
        <w:spacing w:after="0" w:line="238" w:lineRule="auto"/>
        <w:rPr>
          <w:sz w:val="20"/>
          <w:szCs w:val="20"/>
          <w:color w:val="auto"/>
        </w:rPr>
      </w:pPr>
      <w:r>
        <w:rPr>
          <w:rFonts w:ascii="Arial" w:cs="Arial" w:eastAsia="Arial" w:hAnsi="Arial"/>
          <w:sz w:val="22"/>
          <w:szCs w:val="22"/>
          <w:color w:val="auto"/>
        </w:rPr>
        <w:t>Michael J. Clarke</w:t>
      </w:r>
    </w:p>
    <w:p>
      <w:pPr>
        <w:ind w:left="57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1380"/>
          </w:cols>
          <w:pgMar w:left="240" w:top="111" w:right="27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22"/>
          <w:szCs w:val="22"/>
          <w:color w:val="auto"/>
        </w:rPr>
        <w:t>CERTIFICATION</w:t>
      </w:r>
    </w:p>
    <w:p>
      <w:pPr>
        <w:spacing w:after="0" w:line="126" w:lineRule="exact"/>
        <w:rPr>
          <w:sz w:val="20"/>
          <w:szCs w:val="20"/>
          <w:color w:val="auto"/>
        </w:rPr>
      </w:pPr>
    </w:p>
    <w:p>
      <w:pPr>
        <w:ind w:right="480"/>
        <w:spacing w:after="0" w:line="274" w:lineRule="auto"/>
        <w:rPr>
          <w:sz w:val="20"/>
          <w:szCs w:val="20"/>
          <w:color w:val="auto"/>
        </w:rPr>
      </w:pPr>
      <w:r>
        <w:rPr>
          <w:rFonts w:ascii="Arial" w:cs="Arial" w:eastAsia="Arial" w:hAnsi="Arial"/>
          <w:sz w:val="21"/>
          <w:szCs w:val="21"/>
          <w:color w:val="auto"/>
        </w:rPr>
        <w:t>I, David Bloom, Chief Executive Officer of Chelsea Property Group, Inc., the sole general partner of CPG Partners, L.P., (the "OP"), pursuant to Section 906 of the Sarbanes-Oxley Act of 2002, do hereby certify as follows:</w:t>
      </w:r>
    </w:p>
    <w:p>
      <w:pPr>
        <w:spacing w:after="0" w:line="70" w:lineRule="exact"/>
        <w:rPr>
          <w:sz w:val="20"/>
          <w:szCs w:val="20"/>
          <w:color w:val="auto"/>
        </w:rPr>
      </w:pPr>
    </w:p>
    <w:p>
      <w:pPr>
        <w:ind w:left="580" w:hanging="572"/>
        <w:spacing w:after="0" w:line="251" w:lineRule="auto"/>
        <w:tabs>
          <w:tab w:leader="none" w:pos="5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quarterly report on Form 10-Q of the OP for the period ended September 30, 2004 fully complies with the requirements of Section 13(a) or 15(d) of the Securities Exchange Act of 1934; and</w:t>
      </w:r>
    </w:p>
    <w:p>
      <w:pPr>
        <w:spacing w:after="0" w:line="105" w:lineRule="exact"/>
        <w:rPr>
          <w:rFonts w:ascii="Arial" w:cs="Arial" w:eastAsia="Arial" w:hAnsi="Arial"/>
          <w:sz w:val="22"/>
          <w:szCs w:val="22"/>
          <w:color w:val="auto"/>
        </w:rPr>
      </w:pPr>
    </w:p>
    <w:p>
      <w:pPr>
        <w:ind w:left="580" w:right="120" w:hanging="572"/>
        <w:spacing w:after="0" w:line="251" w:lineRule="auto"/>
        <w:tabs>
          <w:tab w:leader="none" w:pos="5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12th day of November 2004.</w:t>
      </w:r>
    </w:p>
    <w:p>
      <w:pPr>
        <w:spacing w:after="0" w:line="125"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/s/ David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193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6115" cy="8890"/>
                    </a:xfrm>
                    <a:prstGeom prst="rect">
                      <a:avLst/>
                    </a:prstGeom>
                    <a:noFill/>
                  </pic:spPr>
                </pic:pic>
              </a:graphicData>
            </a:graphic>
          </wp:anchor>
        </w:drawing>
      </w:r>
    </w:p>
    <w:p>
      <w:pPr>
        <w:ind w:left="5720"/>
        <w:spacing w:after="0" w:line="238" w:lineRule="auto"/>
        <w:rPr>
          <w:sz w:val="20"/>
          <w:szCs w:val="20"/>
          <w:color w:val="auto"/>
        </w:rPr>
      </w:pPr>
      <w:r>
        <w:rPr>
          <w:rFonts w:ascii="Arial" w:cs="Arial" w:eastAsia="Arial" w:hAnsi="Arial"/>
          <w:sz w:val="22"/>
          <w:szCs w:val="22"/>
          <w:color w:val="auto"/>
        </w:rPr>
        <w:t>David Bloom</w:t>
      </w:r>
    </w:p>
    <w:p>
      <w:pPr>
        <w:ind w:left="5720"/>
        <w:spacing w:after="0"/>
        <w:rPr>
          <w:sz w:val="20"/>
          <w:szCs w:val="20"/>
          <w:color w:val="auto"/>
        </w:rPr>
      </w:pPr>
      <w:r>
        <w:rPr>
          <w:rFonts w:ascii="Arial" w:cs="Arial" w:eastAsia="Arial" w:hAnsi="Arial"/>
          <w:sz w:val="22"/>
          <w:szCs w:val="22"/>
          <w:color w:val="auto"/>
        </w:rPr>
        <w:t>Chief Executive Officer</w:t>
      </w:r>
    </w:p>
    <w:p>
      <w:pPr>
        <w:spacing w:after="0" w:line="256"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p>
      <w:pPr>
        <w:sectPr>
          <w:pgSz w:w="11900" w:h="16838" w:orient="portrait"/>
          <w:cols w:equalWidth="0" w:num="1">
            <w:col w:w="11320"/>
          </w:cols>
          <w:pgMar w:left="240" w:top="118" w:right="3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22"/>
          <w:szCs w:val="22"/>
          <w:color w:val="auto"/>
        </w:rPr>
        <w:t>CERTIFICATION</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I, Michael J. Clarke, Chief Financial Officer of Chelsea Property Group, Inc., the sole general partner of CPG Partners, L.P., (the "OP"), pursuant to Section 906 of the Sarbanes-Oxley Act of 2002, do hereby certify as follows:</w:t>
      </w:r>
    </w:p>
    <w:p>
      <w:pPr>
        <w:spacing w:after="0" w:line="70" w:lineRule="exact"/>
        <w:rPr>
          <w:sz w:val="20"/>
          <w:szCs w:val="20"/>
          <w:color w:val="auto"/>
        </w:rPr>
      </w:pPr>
    </w:p>
    <w:p>
      <w:pPr>
        <w:ind w:left="580" w:hanging="572"/>
        <w:spacing w:after="0" w:line="251" w:lineRule="auto"/>
        <w:tabs>
          <w:tab w:leader="none" w:pos="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quarterly report on Form 10-Q of the OP for the period ended September 30, 2004 fully complies with the requirements of Section 13(a) or 15(d) of the Securities Exchange Act of 1934; and</w:t>
      </w:r>
    </w:p>
    <w:p>
      <w:pPr>
        <w:spacing w:after="0" w:line="105" w:lineRule="exact"/>
        <w:rPr>
          <w:rFonts w:ascii="Arial" w:cs="Arial" w:eastAsia="Arial" w:hAnsi="Arial"/>
          <w:sz w:val="22"/>
          <w:szCs w:val="22"/>
          <w:color w:val="auto"/>
        </w:rPr>
      </w:pPr>
    </w:p>
    <w:p>
      <w:pPr>
        <w:ind w:left="580" w:right="120" w:hanging="572"/>
        <w:spacing w:after="0" w:line="251" w:lineRule="auto"/>
        <w:tabs>
          <w:tab w:leader="none" w:pos="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12th day of November 2004.</w:t>
      </w:r>
    </w:p>
    <w:p>
      <w:pPr>
        <w:spacing w:after="0" w:line="125"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0961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6135" cy="8890"/>
                    </a:xfrm>
                    <a:prstGeom prst="rect">
                      <a:avLst/>
                    </a:prstGeom>
                    <a:noFill/>
                  </pic:spPr>
                </pic:pic>
              </a:graphicData>
            </a:graphic>
          </wp:anchor>
        </w:drawing>
      </w:r>
    </w:p>
    <w:p>
      <w:pPr>
        <w:ind w:left="5720"/>
        <w:spacing w:after="0" w:line="238" w:lineRule="auto"/>
        <w:rPr>
          <w:sz w:val="20"/>
          <w:szCs w:val="20"/>
          <w:color w:val="auto"/>
        </w:rPr>
      </w:pPr>
      <w:r>
        <w:rPr>
          <w:rFonts w:ascii="Arial" w:cs="Arial" w:eastAsia="Arial" w:hAnsi="Arial"/>
          <w:sz w:val="22"/>
          <w:szCs w:val="22"/>
          <w:color w:val="auto"/>
        </w:rPr>
        <w:t>Michael J. Clarke</w:t>
      </w:r>
    </w:p>
    <w:p>
      <w:pPr>
        <w:ind w:left="5720"/>
        <w:spacing w:after="0"/>
        <w:rPr>
          <w:sz w:val="20"/>
          <w:szCs w:val="20"/>
          <w:color w:val="auto"/>
        </w:rPr>
      </w:pPr>
      <w:r>
        <w:rPr>
          <w:rFonts w:ascii="Arial" w:cs="Arial" w:eastAsia="Arial" w:hAnsi="Arial"/>
          <w:sz w:val="22"/>
          <w:szCs w:val="22"/>
          <w:color w:val="auto"/>
        </w:rPr>
        <w:t>Chief Financial Officer</w:t>
      </w:r>
    </w:p>
    <w:p>
      <w:pPr>
        <w:spacing w:after="0" w:line="256"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sectPr>
      <w:pgSz w:w="11900" w:h="16838" w:orient="portrait"/>
      <w:cols w:equalWidth="0" w:num="1">
        <w:col w:w="11320"/>
      </w:cols>
      <w:pgMar w:left="2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4"/>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2019-12-14T06:58:33Z</dcterms:created>
  <dcterms:modified xsi:type="dcterms:W3CDTF">2019-12-14T06:58:33Z</dcterms:modified>
</cp:coreProperties>
</file>