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ind w:left="0" w:right="0" w:hanging="0"/>
        <w:jc w:val="left"/>
        <w:rPr>
          <w:sz w:val="4"/>
          <w:szCs w:val="4"/>
        </w:rPr>
      </w:pPr>
      <w:r>
        <w:rPr>
          <w:sz w:val="4"/>
          <w:szCs w:val="4"/>
        </w:rPr>
      </w:r>
      <w:bookmarkStart w:id="0" w:name="tm2624890d3_fwp.htm"/>
      <w:bookmarkStart w:id="1" w:name="kstm2624890d3_fwp"/>
      <w:bookmarkStart w:id="2" w:name="tm2624890d3_fwp.htm"/>
      <w:bookmarkStart w:id="3" w:name="kstm2624890d3_fwp"/>
      <w:bookmarkEnd w:id="2"/>
      <w:bookmarkEnd w:id="3"/>
    </w:p>
    <w:tbl>
      <w:tblPr>
        <w:tblW w:w="8510" w:type="dxa"/>
        <w:jc w:val="left"/>
        <w:tblInd w:w="0" w:type="dxa"/>
        <w:tblLayout w:type="fixed"/>
        <w:tblCellMar>
          <w:top w:w="0" w:type="dxa"/>
          <w:left w:w="0" w:type="dxa"/>
          <w:bottom w:w="0" w:type="dxa"/>
          <w:right w:w="0" w:type="dxa"/>
        </w:tblCellMar>
      </w:tblPr>
      <w:tblGrid>
        <w:gridCol w:w="2640"/>
        <w:gridCol w:w="5870"/>
      </w:tblGrid>
      <w:tr>
        <w:trPr/>
        <w:tc>
          <w:tcPr>
            <w:tcW w:w="2640" w:type="dxa"/>
            <w:tcBorders/>
            <w:vAlign w:val="center"/>
          </w:tcPr>
          <w:p>
            <w:pPr>
              <w:pStyle w:val="TableContents"/>
              <w:bidi w:val="0"/>
              <w:spacing w:before="0" w:after="283"/>
              <w:jc w:val="left"/>
              <w:rPr/>
            </w:pPr>
            <w:r>
              <w:rPr/>
              <w:drawing>
                <wp:inline distT="0" distB="0" distL="0" distR="0">
                  <wp:extent cx="16668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666750"/>
                          </a:xfrm>
                          <a:prstGeom prst="rect">
                            <a:avLst/>
                          </a:prstGeom>
                        </pic:spPr>
                      </pic:pic>
                    </a:graphicData>
                  </a:graphic>
                </wp:inline>
              </w:drawing>
            </w:r>
          </w:p>
        </w:tc>
        <w:tc>
          <w:tcPr>
            <w:tcW w:w="5870" w:type="dxa"/>
            <w:tcBorders/>
            <w:vAlign w:val="center"/>
          </w:tcPr>
          <w:p>
            <w:pPr>
              <w:pStyle w:val="TableContents"/>
              <w:bidi w:val="0"/>
              <w:spacing w:before="0" w:after="283"/>
              <w:jc w:val="right"/>
              <w:rPr/>
            </w:pPr>
            <w:r>
              <w:rPr/>
              <w:t xml:space="preserve">Dated September 9, 2026 </w:t>
              <w:br/>
              <w:t>Registration Statement No. 333-277297-01</w:t>
              <w:br/>
              <w:t xml:space="preserve">Relating to </w:t>
              <w:br/>
              <w:t xml:space="preserve">Preliminary Prospectus Supplement dated September 9, 2026 </w:t>
              <w:br/>
              <w:t xml:space="preserve">and </w:t>
            </w:r>
            <w:r>
              <w:rPr>
                <w:rFonts w:ascii="Times New Roman;Times;Serif" w:hAnsi="Times New Roman;Times;Serif"/>
                <w:sz w:val="20"/>
              </w:rPr>
              <w:br/>
              <w:t>Prospectus dated January 6</w:t>
            </w:r>
            <w:r>
              <w:rPr/>
              <w:t>,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5.250% NOTES DUE 2032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7"/>
        <w:gridCol w:w="7748"/>
      </w:tblGrid>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Property Group, L.P.</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Registered</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Ratings*:</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A3 (Positive) / A (Stable) (Moody’s/S&amp;P)</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Size:</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$400,000,000</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15, 2032</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(Interest Rate):</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5.250% per annum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15 and August 15, commencing on February 15, 2027</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4.375% due August 31, 2031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Price and Yield:</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99-00 / 4.602%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+65 basis points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5.252%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Price to Public:</w:t>
            </w:r>
          </w:p>
        </w:tc>
        <w:tc>
          <w:tcPr>
            <w:tcW w:w="7748" w:type="dxa"/>
            <w:tcBorders/>
            <w:vAlign w:val="center"/>
          </w:tcPr>
          <w:p>
            <w:pPr>
              <w:pStyle w:val="TableContents"/>
              <w:bidi w:val="0"/>
              <w:spacing w:before="0" w:after="283"/>
              <w:jc w:val="both"/>
              <w:rPr/>
            </w:pPr>
            <w:r>
              <w:rPr>
                <w:rFonts w:ascii="Times New Roman;Times;Serif" w:hAnsi="Times New Roman;Times;Serif"/>
                <w:sz w:val="20"/>
              </w:rPr>
              <w:t>99.995% plus accrued interest from September 16, 2026</w:t>
            </w:r>
            <w:r>
              <w:rPr/>
              <w:t xml:space="preserve"> if settlement occurs after that date</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w:t>
            </w:r>
          </w:p>
        </w:tc>
        <w:tc>
          <w:tcPr>
            <w:tcW w:w="7748" w:type="dxa"/>
            <w:tcBorders/>
            <w:vAlign w:val="center"/>
          </w:tcPr>
          <w:p>
            <w:pPr>
              <w:pStyle w:val="TableContents"/>
              <w:bidi w:val="0"/>
              <w:spacing w:before="0" w:after="283"/>
              <w:jc w:val="both"/>
              <w:rPr/>
            </w:pPr>
            <w:r>
              <w:rPr>
                <w:rFonts w:ascii="Times New Roman;Times;Serif" w:hAnsi="Times New Roman;Times;Serif"/>
                <w:sz w:val="20"/>
              </w:rPr>
              <w:t>Make-whole call prior to January 15, 2032</w:t>
            </w:r>
            <w:r>
              <w:rPr/>
              <w:t xml:space="preserve"> based on U.S. Treasury +10 basis points or at par on or after January 15, 2032</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7748" w:type="dxa"/>
            <w:tcBorders/>
            <w:vAlign w:val="center"/>
          </w:tcPr>
          <w:p>
            <w:pPr>
              <w:pStyle w:val="TableContents"/>
              <w:bidi w:val="0"/>
              <w:spacing w:before="0" w:after="283"/>
              <w:jc w:val="both"/>
              <w:rPr/>
            </w:pPr>
            <w:r>
              <w:rPr>
                <w:rFonts w:ascii="Times New Roman;Times;Serif" w:hAnsi="Times New Roman;Times;Serif"/>
                <w:sz w:val="20"/>
              </w:rPr>
              <w:t>T+5</w:t>
            </w:r>
            <w:r>
              <w:rPr/>
              <w:t>; September 16, 2026</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w:t>
            </w:r>
          </w:p>
        </w:tc>
        <w:tc>
          <w:tcPr>
            <w:tcW w:w="7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828807 EC7 / US828807EC76  </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7748" w:type="dxa"/>
            <w:tcBorders/>
            <w:vAlign w:val="center"/>
          </w:tcPr>
          <w:p>
            <w:pPr>
              <w:pStyle w:val="TableContents"/>
              <w:bidi w:val="0"/>
              <w:spacing w:before="0" w:after="283"/>
              <w:jc w:val="both"/>
              <w:rPr/>
            </w:pPr>
            <w:r>
              <w:rPr/>
              <w:t>J.P. Morgan Securities LLC</w:t>
              <w:br/>
              <w:t xml:space="preserve">Mizuho Securities USA LLC </w:t>
              <w:br/>
              <w:t xml:space="preserve">PNC Capital Markets LLC </w:t>
              <w:br/>
              <w:t xml:space="preserve">Wells Fargo Securities, LLC </w:t>
              <w:br/>
              <w:t xml:space="preserve">BBVA Securities Inc. </w:t>
              <w:br/>
              <w:t>Citigroup Global Markets Inc.</w:t>
              <w:br/>
              <w:t xml:space="preserve">Natixis Securities Americas LLC </w:t>
              <w:br/>
              <w:t xml:space="preserve">RBC Capital Markets, LLC </w:t>
              <w:br/>
              <w:t xml:space="preserve">TD Securities (USA) LLC </w:t>
              <w:br/>
              <w:t xml:space="preserve">Truist Securities, Inc. </w:t>
              <w:br/>
              <w:t>U.S. Bancorp Investments, Inc.</w:t>
            </w:r>
          </w:p>
        </w:tc>
      </w:tr>
      <w:tr>
        <w:trPr/>
        <w:tc>
          <w:tcPr>
            <w:tcW w:w="2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7748" w:type="dxa"/>
            <w:tcBorders/>
            <w:vAlign w:val="center"/>
          </w:tcPr>
          <w:p>
            <w:pPr>
              <w:pStyle w:val="TableContents"/>
              <w:bidi w:val="0"/>
              <w:spacing w:before="0" w:after="283"/>
              <w:jc w:val="both"/>
              <w:rPr/>
            </w:pPr>
            <w:r>
              <w:rPr/>
              <w:t xml:space="preserve">Credit Agricole Securities (USA) Inc. </w:t>
              <w:br/>
              <w:t xml:space="preserve">Fifth Third Securities, Inc. </w:t>
              <w:br/>
              <w:t>M&amp;T Securities, Inc.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42"/>
        <w:gridCol w:w="9263"/>
      </w:tblGrid>
      <w:tr>
        <w:trPr/>
        <w:tc>
          <w:tcPr>
            <w:tcW w:w="9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263" w:type="dxa"/>
            <w:tcBorders/>
            <w:vAlign w:val="center"/>
          </w:tcPr>
          <w:p>
            <w:pPr>
              <w:pStyle w:val="TableContents"/>
              <w:bidi w:val="0"/>
              <w:spacing w:before="0" w:after="283"/>
              <w:jc w:val="both"/>
              <w:rPr/>
            </w:pPr>
            <w:r>
              <w:rPr>
                <w:rFonts w:ascii="Times New Roman;Times;Serif" w:hAnsi="Times New Roman;Times;Serif"/>
                <w:sz w:val="20"/>
              </w:rPr>
              <w:t xml:space="preserve">The Issuer intends to use the net proceeds of the offering </w:t>
            </w:r>
            <w:r>
              <w:rPr/>
              <w:t>to fund the repayment of all or a portion of its $750 million outstanding principal amount of its 3.250% notes due 2026, and to use any remaining net proceeds for general business purposes, including to repay other unsecured indebtedness.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concurrently priced $400,000,000 aggregate principal amount of 5.650% senior unsecured notes due 2036.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intended for the sole use of the person to whom it is provided by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xml:space="preserve"> Alternatively, the Issuer, any underwriter or any dealer participating in the offering will arrange to send you the prospectus and related preliminary prospectus supplement if you request it by contacting J.P. Morgan Securities LLC collect at 1-212-834-4533; Mizuho Securities USA LLC toll-free at 1-866-271-7403; PNC Capital Markets LLC toll-free at 1-855-881-0697; or Wells Fargo Securities, LLC toll-free at 1-800-645-3751.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electronic messaging system.</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3455</Characters>
  <CharactersWithSpaces>4077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